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8C7A" w14:textId="7ECC7C3C" w:rsidR="007F62E4" w:rsidRPr="00381DA2" w:rsidRDefault="007F62E4" w:rsidP="003A66EF">
      <w:pPr>
        <w:tabs>
          <w:tab w:val="left" w:pos="450"/>
          <w:tab w:val="left" w:pos="720"/>
        </w:tabs>
        <w:spacing w:after="0" w:line="276" w:lineRule="auto"/>
        <w:ind w:right="9"/>
        <w:jc w:val="right"/>
        <w:rPr>
          <w:rFonts w:asciiTheme="majorHAnsi" w:eastAsia="Times New Roman" w:hAnsiTheme="majorHAnsi" w:cstheme="minorHAnsi"/>
          <w:bCs/>
          <w:sz w:val="24"/>
          <w:szCs w:val="24"/>
        </w:rPr>
      </w:pPr>
      <w:r w:rsidRPr="00381DA2">
        <w:rPr>
          <w:rFonts w:asciiTheme="majorHAnsi" w:eastAsia="Times New Roman" w:hAnsiTheme="majorHAnsi" w:cstheme="minorHAnsi"/>
          <w:bCs/>
          <w:sz w:val="24"/>
          <w:szCs w:val="24"/>
        </w:rPr>
        <w:t>Anexă</w:t>
      </w:r>
    </w:p>
    <w:p w14:paraId="2DDC0042" w14:textId="77777777" w:rsidR="007F62E4" w:rsidRPr="00381DA2" w:rsidRDefault="007F62E4" w:rsidP="003A66EF">
      <w:pPr>
        <w:tabs>
          <w:tab w:val="left" w:pos="450"/>
          <w:tab w:val="left" w:pos="720"/>
        </w:tabs>
        <w:spacing w:after="0" w:line="276" w:lineRule="auto"/>
        <w:ind w:right="9"/>
        <w:jc w:val="right"/>
        <w:rPr>
          <w:rFonts w:asciiTheme="majorHAnsi" w:eastAsia="Times New Roman" w:hAnsiTheme="majorHAnsi" w:cstheme="minorHAnsi"/>
          <w:bCs/>
          <w:sz w:val="24"/>
          <w:szCs w:val="24"/>
        </w:rPr>
      </w:pPr>
      <w:r w:rsidRPr="00381DA2">
        <w:rPr>
          <w:rFonts w:asciiTheme="majorHAnsi" w:eastAsia="Times New Roman" w:hAnsiTheme="majorHAnsi" w:cstheme="minorHAnsi"/>
          <w:bCs/>
          <w:sz w:val="24"/>
          <w:szCs w:val="24"/>
        </w:rPr>
        <w:t xml:space="preserve">la Hotărârea Curții de Conturi </w:t>
      </w:r>
    </w:p>
    <w:p w14:paraId="6C02B8F1" w14:textId="37F917B0" w:rsidR="007F62E4" w:rsidRPr="00381DA2" w:rsidRDefault="009147DC" w:rsidP="003A66EF">
      <w:pPr>
        <w:tabs>
          <w:tab w:val="left" w:pos="450"/>
          <w:tab w:val="left" w:pos="720"/>
          <w:tab w:val="left" w:pos="7342"/>
          <w:tab w:val="left" w:pos="8222"/>
          <w:tab w:val="right" w:pos="10157"/>
        </w:tabs>
        <w:spacing w:after="0" w:line="276" w:lineRule="auto"/>
        <w:ind w:right="9"/>
        <w:jc w:val="right"/>
        <w:rPr>
          <w:rFonts w:asciiTheme="majorHAnsi" w:eastAsia="Times New Roman" w:hAnsiTheme="majorHAnsi" w:cstheme="minorHAnsi"/>
          <w:bCs/>
          <w:color w:val="1F4E79" w:themeColor="accent1" w:themeShade="80"/>
          <w:sz w:val="24"/>
          <w:szCs w:val="24"/>
        </w:rPr>
      </w:pPr>
      <w:r w:rsidRPr="00381DA2">
        <w:rPr>
          <w:rFonts w:asciiTheme="majorHAnsi" w:eastAsia="Times New Roman" w:hAnsiTheme="majorHAnsi" w:cstheme="minorHAnsi"/>
          <w:bCs/>
          <w:sz w:val="24"/>
          <w:szCs w:val="24"/>
        </w:rPr>
        <w:tab/>
      </w:r>
      <w:r w:rsidRPr="00381DA2">
        <w:rPr>
          <w:rFonts w:asciiTheme="majorHAnsi" w:eastAsia="Times New Roman" w:hAnsiTheme="majorHAnsi" w:cstheme="minorHAnsi"/>
          <w:bCs/>
          <w:sz w:val="24"/>
          <w:szCs w:val="24"/>
        </w:rPr>
        <w:tab/>
      </w:r>
      <w:r w:rsidR="007F62E4" w:rsidRPr="00381DA2">
        <w:rPr>
          <w:rFonts w:asciiTheme="majorHAnsi" w:eastAsia="Times New Roman" w:hAnsiTheme="majorHAnsi" w:cstheme="minorHAnsi"/>
          <w:bCs/>
          <w:sz w:val="24"/>
          <w:szCs w:val="24"/>
        </w:rPr>
        <w:t>nr.</w:t>
      </w:r>
      <w:r w:rsidR="001E6673">
        <w:rPr>
          <w:rFonts w:asciiTheme="majorHAnsi" w:eastAsia="Times New Roman" w:hAnsiTheme="majorHAnsi" w:cstheme="minorHAnsi"/>
          <w:bCs/>
          <w:sz w:val="24"/>
          <w:szCs w:val="24"/>
        </w:rPr>
        <w:t xml:space="preserve"> 8 </w:t>
      </w:r>
      <w:r w:rsidR="00CF0A6A">
        <w:rPr>
          <w:rFonts w:asciiTheme="majorHAnsi" w:eastAsia="Times New Roman" w:hAnsiTheme="majorHAnsi" w:cstheme="minorHAnsi"/>
          <w:bCs/>
          <w:sz w:val="24"/>
          <w:szCs w:val="24"/>
        </w:rPr>
        <w:t xml:space="preserve">din </w:t>
      </w:r>
      <w:r w:rsidR="00243413" w:rsidRPr="00381DA2">
        <w:rPr>
          <w:rFonts w:asciiTheme="majorHAnsi" w:eastAsia="Times New Roman" w:hAnsiTheme="majorHAnsi" w:cstheme="minorHAnsi"/>
          <w:bCs/>
          <w:sz w:val="24"/>
          <w:szCs w:val="24"/>
        </w:rPr>
        <w:t>2</w:t>
      </w:r>
      <w:r w:rsidR="00BD4B01">
        <w:rPr>
          <w:rFonts w:asciiTheme="majorHAnsi" w:eastAsia="Times New Roman" w:hAnsiTheme="majorHAnsi" w:cstheme="minorHAnsi"/>
          <w:bCs/>
          <w:sz w:val="24"/>
          <w:szCs w:val="24"/>
        </w:rPr>
        <w:t>8</w:t>
      </w:r>
      <w:r w:rsidR="00B51784" w:rsidRPr="00381DA2">
        <w:rPr>
          <w:rFonts w:asciiTheme="majorHAnsi" w:eastAsia="Times New Roman" w:hAnsiTheme="majorHAnsi" w:cstheme="minorHAnsi"/>
          <w:bCs/>
          <w:sz w:val="24"/>
          <w:szCs w:val="24"/>
        </w:rPr>
        <w:t xml:space="preserve"> februarie</w:t>
      </w:r>
      <w:r w:rsidR="007F62E4" w:rsidRPr="00381DA2">
        <w:rPr>
          <w:rFonts w:asciiTheme="majorHAnsi" w:eastAsia="Times New Roman" w:hAnsiTheme="majorHAnsi" w:cstheme="minorHAnsi"/>
          <w:bCs/>
          <w:sz w:val="24"/>
          <w:szCs w:val="24"/>
        </w:rPr>
        <w:t xml:space="preserve"> 202</w:t>
      </w:r>
      <w:r w:rsidR="005069A3" w:rsidRPr="00381DA2">
        <w:rPr>
          <w:rFonts w:asciiTheme="majorHAnsi" w:eastAsia="Times New Roman" w:hAnsiTheme="majorHAnsi" w:cstheme="minorHAnsi"/>
          <w:bCs/>
          <w:sz w:val="24"/>
          <w:szCs w:val="24"/>
        </w:rPr>
        <w:t>3</w:t>
      </w:r>
      <w:r w:rsidR="00EC1EAF" w:rsidRPr="00381DA2">
        <w:rPr>
          <w:rFonts w:asciiTheme="majorHAnsi" w:eastAsia="Times New Roman" w:hAnsiTheme="majorHAnsi" w:cstheme="minorHAnsi"/>
          <w:bCs/>
          <w:sz w:val="24"/>
          <w:szCs w:val="24"/>
        </w:rPr>
        <w:t xml:space="preserve">     </w:t>
      </w:r>
    </w:p>
    <w:p w14:paraId="3F7DF501" w14:textId="77777777" w:rsidR="007F62E4" w:rsidRPr="00381DA2" w:rsidRDefault="007F62E4" w:rsidP="003A66EF">
      <w:pPr>
        <w:spacing w:after="0" w:line="276" w:lineRule="auto"/>
        <w:rPr>
          <w:rFonts w:asciiTheme="majorHAnsi" w:hAnsiTheme="majorHAnsi" w:cstheme="minorHAnsi"/>
          <w:i/>
          <w:sz w:val="24"/>
          <w:szCs w:val="24"/>
        </w:rPr>
      </w:pPr>
      <w:r w:rsidRPr="00381DA2">
        <w:rPr>
          <w:rFonts w:asciiTheme="majorHAnsi" w:hAnsiTheme="majorHAnsi" w:cstheme="minorHAnsi"/>
          <w:noProof/>
          <w:lang w:val="en-US"/>
        </w:rPr>
        <w:drawing>
          <wp:anchor distT="0" distB="3810" distL="114300" distR="118110" simplePos="0" relativeHeight="251682816" behindDoc="0" locked="0" layoutInCell="1" allowOverlap="1" wp14:anchorId="52D76284" wp14:editId="2BEB4B9B">
            <wp:simplePos x="0" y="0"/>
            <wp:positionH relativeFrom="column">
              <wp:posOffset>2497666</wp:posOffset>
            </wp:positionH>
            <wp:positionV relativeFrom="paragraph">
              <wp:posOffset>70908</wp:posOffset>
            </wp:positionV>
            <wp:extent cx="967740" cy="967740"/>
            <wp:effectExtent l="0" t="0" r="3810" b="3810"/>
            <wp:wrapSquare wrapText="bothSides"/>
            <wp:docPr id="15"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14:paraId="5E2D0027" w14:textId="77777777" w:rsidR="007F62E4" w:rsidRPr="00381DA2" w:rsidRDefault="007F62E4" w:rsidP="003A66EF">
      <w:pPr>
        <w:spacing w:after="0" w:line="276" w:lineRule="auto"/>
        <w:rPr>
          <w:rFonts w:asciiTheme="majorHAnsi" w:hAnsiTheme="majorHAnsi" w:cstheme="minorHAnsi"/>
          <w:i/>
          <w:sz w:val="24"/>
          <w:szCs w:val="24"/>
        </w:rPr>
      </w:pPr>
    </w:p>
    <w:p w14:paraId="7F6BBB5F" w14:textId="77777777" w:rsidR="007F62E4" w:rsidRPr="00381DA2" w:rsidRDefault="007F62E4" w:rsidP="003A66EF">
      <w:pPr>
        <w:spacing w:after="0" w:line="276" w:lineRule="auto"/>
        <w:rPr>
          <w:rFonts w:asciiTheme="majorHAnsi" w:hAnsiTheme="majorHAnsi" w:cstheme="minorHAnsi"/>
          <w:i/>
          <w:sz w:val="24"/>
          <w:szCs w:val="24"/>
        </w:rPr>
      </w:pPr>
    </w:p>
    <w:p w14:paraId="6300183B" w14:textId="77777777" w:rsidR="007F62E4" w:rsidRPr="00381DA2" w:rsidRDefault="007F62E4" w:rsidP="003A66EF">
      <w:pPr>
        <w:spacing w:after="0" w:line="276" w:lineRule="auto"/>
        <w:rPr>
          <w:rFonts w:asciiTheme="majorHAnsi" w:hAnsiTheme="majorHAnsi" w:cstheme="minorHAnsi"/>
          <w:i/>
          <w:sz w:val="24"/>
          <w:szCs w:val="24"/>
        </w:rPr>
      </w:pPr>
    </w:p>
    <w:p w14:paraId="15AE7EDB" w14:textId="77777777" w:rsidR="007F62E4" w:rsidRPr="00381DA2" w:rsidRDefault="007F62E4" w:rsidP="003A66EF">
      <w:pPr>
        <w:spacing w:after="0" w:line="276" w:lineRule="auto"/>
        <w:rPr>
          <w:rFonts w:asciiTheme="majorHAnsi" w:hAnsiTheme="majorHAnsi" w:cstheme="minorHAnsi"/>
          <w:i/>
          <w:sz w:val="24"/>
          <w:szCs w:val="24"/>
        </w:rPr>
      </w:pPr>
    </w:p>
    <w:p w14:paraId="62454EDB" w14:textId="77777777" w:rsidR="007F62E4" w:rsidRDefault="007F62E4" w:rsidP="003A66EF">
      <w:pPr>
        <w:spacing w:after="0" w:line="276" w:lineRule="auto"/>
        <w:rPr>
          <w:rFonts w:asciiTheme="majorHAnsi" w:hAnsiTheme="majorHAnsi" w:cstheme="minorHAnsi"/>
          <w:i/>
          <w:sz w:val="24"/>
          <w:szCs w:val="24"/>
        </w:rPr>
      </w:pPr>
    </w:p>
    <w:p w14:paraId="17EF0359" w14:textId="77777777" w:rsidR="008A2049" w:rsidRDefault="008A2049" w:rsidP="003A66EF">
      <w:pPr>
        <w:spacing w:after="0" w:line="276" w:lineRule="auto"/>
        <w:rPr>
          <w:rFonts w:asciiTheme="majorHAnsi" w:hAnsiTheme="majorHAnsi" w:cstheme="minorHAnsi"/>
          <w:i/>
          <w:sz w:val="24"/>
          <w:szCs w:val="24"/>
        </w:rPr>
      </w:pPr>
    </w:p>
    <w:p w14:paraId="4760345D" w14:textId="77777777" w:rsidR="008A2049" w:rsidRPr="00381DA2" w:rsidRDefault="008A2049" w:rsidP="003A66EF">
      <w:pPr>
        <w:spacing w:after="0" w:line="276" w:lineRule="auto"/>
        <w:rPr>
          <w:rFonts w:asciiTheme="majorHAnsi" w:hAnsiTheme="majorHAnsi" w:cstheme="minorHAnsi"/>
          <w:i/>
          <w:sz w:val="24"/>
          <w:szCs w:val="24"/>
        </w:rPr>
      </w:pPr>
    </w:p>
    <w:p w14:paraId="50C5B51E" w14:textId="77777777" w:rsidR="007F62E4" w:rsidRPr="00381DA2" w:rsidRDefault="007F62E4" w:rsidP="003A66EF">
      <w:pPr>
        <w:spacing w:after="0" w:line="276" w:lineRule="auto"/>
        <w:jc w:val="center"/>
        <w:rPr>
          <w:rFonts w:asciiTheme="majorHAnsi" w:hAnsiTheme="majorHAnsi" w:cstheme="minorHAnsi"/>
          <w:b/>
          <w:sz w:val="40"/>
          <w:szCs w:val="40"/>
        </w:rPr>
      </w:pPr>
      <w:r w:rsidRPr="00381DA2">
        <w:rPr>
          <w:rFonts w:asciiTheme="majorHAnsi" w:hAnsiTheme="majorHAnsi" w:cstheme="minorHAnsi"/>
          <w:b/>
          <w:sz w:val="40"/>
          <w:szCs w:val="40"/>
        </w:rPr>
        <w:t>CURTEA DE CONTURI A REPUBLICII MOLDOVA</w:t>
      </w:r>
    </w:p>
    <w:p w14:paraId="4BC217DD" w14:textId="77777777" w:rsidR="007F62E4" w:rsidRPr="00381DA2" w:rsidRDefault="007F62E4" w:rsidP="003A66EF">
      <w:pPr>
        <w:spacing w:after="0" w:line="276" w:lineRule="auto"/>
        <w:rPr>
          <w:rFonts w:asciiTheme="majorHAnsi" w:hAnsiTheme="majorHAnsi" w:cstheme="minorHAnsi"/>
          <w:sz w:val="24"/>
          <w:szCs w:val="24"/>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7F62E4" w:rsidRPr="00381DA2" w14:paraId="35668F39" w14:textId="77777777" w:rsidTr="00A349CC">
        <w:trPr>
          <w:trHeight w:val="396"/>
          <w:jc w:val="center"/>
        </w:trPr>
        <w:tc>
          <w:tcPr>
            <w:tcW w:w="9350" w:type="dxa"/>
            <w:tcBorders>
              <w:top w:val="thinThickSmallGap" w:sz="12" w:space="0" w:color="00000A"/>
              <w:bottom w:val="thickThinSmallGap" w:sz="12" w:space="0" w:color="00000A"/>
            </w:tcBorders>
            <w:shd w:val="clear" w:color="auto" w:fill="auto"/>
          </w:tcPr>
          <w:p w14:paraId="701A5C90" w14:textId="77777777" w:rsidR="007F62E4" w:rsidRPr="00381DA2" w:rsidRDefault="007F62E4" w:rsidP="003A66EF">
            <w:pPr>
              <w:spacing w:after="0" w:line="276" w:lineRule="auto"/>
              <w:ind w:left="-108" w:right="-120"/>
              <w:jc w:val="center"/>
              <w:rPr>
                <w:rFonts w:asciiTheme="majorHAnsi" w:hAnsiTheme="majorHAnsi" w:cstheme="minorHAnsi"/>
                <w:sz w:val="20"/>
                <w:szCs w:val="20"/>
              </w:rPr>
            </w:pPr>
            <w:r w:rsidRPr="00381DA2">
              <w:rPr>
                <w:rFonts w:asciiTheme="majorHAnsi" w:hAnsiTheme="majorHAnsi" w:cstheme="minorHAnsi"/>
                <w:sz w:val="20"/>
                <w:szCs w:val="20"/>
              </w:rPr>
              <w:t>MD-2001, mun. Chișinău, bd. Ștefan cel Mare și Sfânt,69, tel.: (+373) 22 23 25 79, fax: (+373) 22 23 30 20,</w:t>
            </w:r>
            <w:r w:rsidR="00EC1EAF" w:rsidRPr="00381DA2">
              <w:rPr>
                <w:rFonts w:asciiTheme="majorHAnsi" w:hAnsiTheme="majorHAnsi" w:cstheme="minorHAnsi"/>
                <w:sz w:val="20"/>
                <w:szCs w:val="20"/>
              </w:rPr>
              <w:t xml:space="preserve"> </w:t>
            </w:r>
          </w:p>
          <w:p w14:paraId="3E5DF401" w14:textId="77777777" w:rsidR="007F62E4" w:rsidRPr="00381DA2" w:rsidRDefault="002D6EAA" w:rsidP="003A66EF">
            <w:pPr>
              <w:spacing w:after="0" w:line="276" w:lineRule="auto"/>
              <w:ind w:left="-108" w:right="-120"/>
              <w:jc w:val="center"/>
              <w:rPr>
                <w:rFonts w:asciiTheme="majorHAnsi" w:hAnsiTheme="majorHAnsi" w:cstheme="minorHAnsi"/>
              </w:rPr>
            </w:pPr>
            <w:hyperlink r:id="rId9">
              <w:r w:rsidR="007F62E4" w:rsidRPr="00381DA2">
                <w:rPr>
                  <w:rStyle w:val="LegturInternet"/>
                  <w:rFonts w:asciiTheme="majorHAnsi" w:hAnsiTheme="majorHAnsi" w:cstheme="minorHAnsi"/>
                  <w:sz w:val="20"/>
                  <w:szCs w:val="20"/>
                </w:rPr>
                <w:t>www.ccrm.md</w:t>
              </w:r>
            </w:hyperlink>
            <w:r w:rsidR="007F62E4" w:rsidRPr="00381DA2">
              <w:rPr>
                <w:rFonts w:asciiTheme="majorHAnsi" w:hAnsiTheme="majorHAnsi" w:cstheme="minorHAnsi"/>
                <w:sz w:val="20"/>
                <w:szCs w:val="20"/>
                <w:u w:val="single"/>
              </w:rPr>
              <w:t>;</w:t>
            </w:r>
            <w:r w:rsidR="007F62E4" w:rsidRPr="00381DA2">
              <w:rPr>
                <w:rFonts w:asciiTheme="majorHAnsi" w:hAnsiTheme="majorHAnsi" w:cstheme="minorHAnsi"/>
                <w:sz w:val="20"/>
                <w:szCs w:val="20"/>
              </w:rPr>
              <w:t xml:space="preserve"> e-mail: </w:t>
            </w:r>
            <w:hyperlink r:id="rId10">
              <w:r w:rsidR="007F62E4" w:rsidRPr="00381DA2">
                <w:rPr>
                  <w:rStyle w:val="LegturInternet"/>
                  <w:rFonts w:asciiTheme="majorHAnsi" w:hAnsiTheme="majorHAnsi" w:cstheme="minorHAnsi"/>
                  <w:sz w:val="20"/>
                  <w:szCs w:val="20"/>
                </w:rPr>
                <w:t>ccrm@ccrm.md</w:t>
              </w:r>
            </w:hyperlink>
          </w:p>
        </w:tc>
      </w:tr>
    </w:tbl>
    <w:p w14:paraId="3A9154C6" w14:textId="77777777" w:rsidR="007F62E4" w:rsidRPr="00381DA2" w:rsidRDefault="007F62E4" w:rsidP="003A66EF">
      <w:pPr>
        <w:spacing w:after="0" w:line="276" w:lineRule="auto"/>
        <w:rPr>
          <w:rFonts w:asciiTheme="majorHAnsi" w:eastAsia="Times New Roman" w:hAnsiTheme="majorHAnsi" w:cstheme="minorHAnsi"/>
          <w:b/>
          <w:bCs/>
          <w:color w:val="1F4E79" w:themeColor="accent1" w:themeShade="80"/>
          <w:sz w:val="24"/>
          <w:szCs w:val="24"/>
        </w:rPr>
      </w:pPr>
    </w:p>
    <w:p w14:paraId="746E0C50" w14:textId="77777777" w:rsidR="007F62E4" w:rsidRPr="00381DA2" w:rsidRDefault="007F62E4" w:rsidP="003A66EF">
      <w:pPr>
        <w:tabs>
          <w:tab w:val="left" w:pos="450"/>
          <w:tab w:val="left" w:pos="720"/>
        </w:tabs>
        <w:spacing w:after="0" w:line="276" w:lineRule="auto"/>
        <w:ind w:right="9"/>
        <w:jc w:val="center"/>
        <w:rPr>
          <w:rFonts w:asciiTheme="majorHAnsi" w:eastAsia="Times New Roman" w:hAnsiTheme="majorHAnsi" w:cstheme="minorHAnsi"/>
          <w:b/>
          <w:bCs/>
          <w:sz w:val="32"/>
          <w:szCs w:val="32"/>
        </w:rPr>
      </w:pPr>
      <w:r w:rsidRPr="00381DA2">
        <w:rPr>
          <w:rFonts w:asciiTheme="majorHAnsi" w:eastAsia="Times New Roman" w:hAnsiTheme="majorHAnsi" w:cstheme="minorHAnsi"/>
          <w:b/>
          <w:bCs/>
          <w:sz w:val="32"/>
          <w:szCs w:val="32"/>
        </w:rPr>
        <w:t>RAPORTUL</w:t>
      </w:r>
    </w:p>
    <w:p w14:paraId="3CDB57D7" w14:textId="77777777" w:rsidR="008A2049" w:rsidRDefault="00BD4563" w:rsidP="008A2049">
      <w:pPr>
        <w:tabs>
          <w:tab w:val="left" w:pos="450"/>
          <w:tab w:val="left" w:pos="720"/>
        </w:tabs>
        <w:spacing w:after="0" w:line="276" w:lineRule="auto"/>
        <w:ind w:right="14"/>
        <w:jc w:val="center"/>
        <w:rPr>
          <w:rFonts w:asciiTheme="majorHAnsi" w:eastAsia="Times New Roman" w:hAnsiTheme="majorHAnsi" w:cstheme="minorHAnsi"/>
          <w:b/>
          <w:bCs/>
          <w:sz w:val="32"/>
          <w:szCs w:val="32"/>
        </w:rPr>
      </w:pPr>
      <w:bookmarkStart w:id="0" w:name="_Toc107930583"/>
      <w:bookmarkStart w:id="1" w:name="_Toc107993928"/>
      <w:bookmarkStart w:id="2" w:name="_Toc76377755"/>
      <w:bookmarkStart w:id="3" w:name="_Toc48732715"/>
      <w:bookmarkStart w:id="4" w:name="_Toc76371127"/>
      <w:r>
        <w:rPr>
          <w:rFonts w:asciiTheme="majorHAnsi" w:eastAsia="Times New Roman" w:hAnsiTheme="majorHAnsi" w:cstheme="minorHAnsi"/>
          <w:b/>
          <w:bCs/>
          <w:sz w:val="32"/>
          <w:szCs w:val="32"/>
        </w:rPr>
        <w:t xml:space="preserve">auditului </w:t>
      </w:r>
      <w:r w:rsidRPr="00BD4563">
        <w:rPr>
          <w:rFonts w:asciiTheme="majorHAnsi" w:eastAsia="Times New Roman" w:hAnsiTheme="majorHAnsi" w:cstheme="minorHAnsi"/>
          <w:b/>
          <w:bCs/>
          <w:sz w:val="32"/>
          <w:szCs w:val="32"/>
        </w:rPr>
        <w:t>conformității asupra utilizării resurselor financiare publice alocate pentru administrarea sistemului de acordare a asistenței juridice garantate de stat în ani</w:t>
      </w:r>
      <w:r w:rsidR="00BD4B01">
        <w:rPr>
          <w:rFonts w:asciiTheme="majorHAnsi" w:eastAsia="Times New Roman" w:hAnsiTheme="majorHAnsi" w:cstheme="minorHAnsi"/>
          <w:b/>
          <w:bCs/>
          <w:sz w:val="32"/>
          <w:szCs w:val="32"/>
        </w:rPr>
        <w:t>i</w:t>
      </w:r>
      <w:r w:rsidRPr="00BD4563">
        <w:rPr>
          <w:rFonts w:asciiTheme="majorHAnsi" w:eastAsia="Times New Roman" w:hAnsiTheme="majorHAnsi" w:cstheme="minorHAnsi"/>
          <w:b/>
          <w:bCs/>
          <w:sz w:val="32"/>
          <w:szCs w:val="32"/>
        </w:rPr>
        <w:t xml:space="preserve"> 2020-2022</w:t>
      </w:r>
    </w:p>
    <w:p w14:paraId="45C5B9D5" w14:textId="77777777" w:rsidR="008A2049" w:rsidRDefault="008A2049" w:rsidP="008A2049">
      <w:pPr>
        <w:tabs>
          <w:tab w:val="left" w:pos="450"/>
          <w:tab w:val="left" w:pos="720"/>
        </w:tabs>
        <w:spacing w:after="0" w:line="276" w:lineRule="auto"/>
        <w:ind w:right="14"/>
        <w:jc w:val="center"/>
        <w:rPr>
          <w:rFonts w:asciiTheme="majorHAnsi" w:eastAsia="Times New Roman" w:hAnsiTheme="majorHAnsi" w:cstheme="minorHAnsi"/>
          <w:b/>
          <w:bCs/>
          <w:sz w:val="32"/>
          <w:szCs w:val="32"/>
        </w:rPr>
      </w:pPr>
    </w:p>
    <w:p w14:paraId="4D76FB57" w14:textId="77777777" w:rsidR="008A2049" w:rsidRDefault="008A2049" w:rsidP="008A2049">
      <w:pPr>
        <w:tabs>
          <w:tab w:val="left" w:pos="450"/>
          <w:tab w:val="left" w:pos="720"/>
        </w:tabs>
        <w:spacing w:after="0" w:line="276" w:lineRule="auto"/>
        <w:ind w:right="14"/>
        <w:jc w:val="center"/>
        <w:rPr>
          <w:rFonts w:asciiTheme="majorHAnsi" w:eastAsia="Times New Roman" w:hAnsiTheme="majorHAnsi" w:cstheme="minorHAnsi"/>
          <w:b/>
          <w:bCs/>
          <w:sz w:val="32"/>
          <w:szCs w:val="32"/>
        </w:rPr>
      </w:pPr>
    </w:p>
    <w:p w14:paraId="68952613" w14:textId="77777777" w:rsidR="00E770B7" w:rsidRDefault="00096862" w:rsidP="003A66EF">
      <w:pPr>
        <w:tabs>
          <w:tab w:val="left" w:pos="450"/>
          <w:tab w:val="left" w:pos="720"/>
        </w:tabs>
        <w:spacing w:after="0" w:line="276" w:lineRule="auto"/>
        <w:ind w:right="14"/>
        <w:jc w:val="center"/>
        <w:rPr>
          <w:rFonts w:asciiTheme="majorHAnsi" w:eastAsia="Times New Roman" w:hAnsiTheme="majorHAnsi" w:cstheme="minorHAnsi"/>
          <w:b/>
          <w:bCs/>
          <w:sz w:val="32"/>
          <w:szCs w:val="32"/>
        </w:rPr>
      </w:pPr>
      <w:r w:rsidRPr="00096862">
        <w:rPr>
          <w:rFonts w:asciiTheme="majorHAnsi" w:eastAsia="Times New Roman" w:hAnsiTheme="majorHAnsi" w:cstheme="minorHAnsi"/>
          <w:b/>
          <w:bCs/>
          <w:noProof/>
          <w:sz w:val="32"/>
          <w:szCs w:val="32"/>
          <w:lang w:val="en-US"/>
        </w:rPr>
        <w:drawing>
          <wp:inline distT="0" distB="0" distL="0" distR="0" wp14:anchorId="7CC03120" wp14:editId="7429A530">
            <wp:extent cx="5135587" cy="3857396"/>
            <wp:effectExtent l="0" t="0" r="8255" b="0"/>
            <wp:docPr id="17" name="Picture 17" descr="d:\a_certan\Desktop\Asistența garantată de stat\RAPORTARE\sedinta\spech_prezentare\prezenta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certan\Desktop\Asistența garantată de stat\RAPORTARE\sedinta\spech_prezentare\prezentari\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617" cy="3870938"/>
                    </a:xfrm>
                    <a:prstGeom prst="rect">
                      <a:avLst/>
                    </a:prstGeom>
                    <a:ln>
                      <a:noFill/>
                    </a:ln>
                    <a:effectLst>
                      <a:softEdge rad="112500"/>
                    </a:effectLst>
                  </pic:spPr>
                </pic:pic>
              </a:graphicData>
            </a:graphic>
          </wp:inline>
        </w:drawing>
      </w:r>
    </w:p>
    <w:p w14:paraId="3CE28F34" w14:textId="77777777" w:rsidR="00096862" w:rsidRDefault="00096862" w:rsidP="003A66EF">
      <w:pPr>
        <w:tabs>
          <w:tab w:val="left" w:pos="450"/>
          <w:tab w:val="left" w:pos="720"/>
        </w:tabs>
        <w:spacing w:after="0" w:line="276" w:lineRule="auto"/>
        <w:ind w:right="14"/>
        <w:jc w:val="center"/>
        <w:rPr>
          <w:rFonts w:asciiTheme="majorHAnsi" w:eastAsia="Times New Roman" w:hAnsiTheme="majorHAnsi" w:cstheme="minorHAnsi"/>
          <w:b/>
          <w:bCs/>
          <w:sz w:val="32"/>
          <w:szCs w:val="32"/>
        </w:rPr>
      </w:pPr>
    </w:p>
    <w:p w14:paraId="5A9C91BC" w14:textId="77777777" w:rsidR="00E770B7" w:rsidRPr="00272144" w:rsidRDefault="00E770B7" w:rsidP="003A66EF">
      <w:pPr>
        <w:tabs>
          <w:tab w:val="left" w:pos="450"/>
          <w:tab w:val="left" w:pos="720"/>
        </w:tabs>
        <w:spacing w:after="0" w:line="276" w:lineRule="auto"/>
        <w:ind w:right="14"/>
        <w:jc w:val="center"/>
        <w:rPr>
          <w:rFonts w:asciiTheme="majorHAnsi" w:eastAsia="Times New Roman" w:hAnsiTheme="majorHAnsi" w:cstheme="minorHAnsi"/>
          <w:b/>
          <w:bCs/>
          <w:sz w:val="32"/>
          <w:szCs w:val="32"/>
        </w:rPr>
      </w:pPr>
    </w:p>
    <w:p w14:paraId="438FBCF4" w14:textId="77777777" w:rsidR="00724B8E" w:rsidRPr="00381DA2" w:rsidRDefault="00724B8E" w:rsidP="003A66EF">
      <w:pPr>
        <w:spacing w:line="276" w:lineRule="auto"/>
        <w:rPr>
          <w:rFonts w:asciiTheme="majorHAnsi" w:hAnsiTheme="majorHAnsi" w:cstheme="minorHAnsi"/>
          <w:b/>
          <w:shd w:val="clear" w:color="auto" w:fill="FFFFFF"/>
        </w:rPr>
      </w:pPr>
      <w:r w:rsidRPr="00381DA2">
        <w:rPr>
          <w:rFonts w:asciiTheme="majorHAnsi" w:hAnsiTheme="majorHAnsi" w:cstheme="minorHAnsi"/>
          <w:b/>
          <w:shd w:val="clear" w:color="auto" w:fill="FFFFFF"/>
        </w:rPr>
        <w:t>CUPRINS:</w:t>
      </w:r>
      <w:bookmarkEnd w:id="0"/>
      <w:bookmarkEnd w:id="1"/>
    </w:p>
    <w:sdt>
      <w:sdtPr>
        <w:rPr>
          <w:rFonts w:asciiTheme="majorHAnsi" w:hAnsiTheme="majorHAnsi" w:cstheme="minorHAnsi"/>
          <w:b w:val="0"/>
          <w:noProof w:val="0"/>
        </w:rPr>
        <w:id w:val="-684897302"/>
        <w:docPartObj>
          <w:docPartGallery w:val="Table of Contents"/>
          <w:docPartUnique/>
        </w:docPartObj>
      </w:sdtPr>
      <w:sdtEndPr>
        <w:rPr>
          <w:bCs/>
        </w:rPr>
      </w:sdtEndPr>
      <w:sdtContent>
        <w:p w14:paraId="4B6860B4" w14:textId="5E07D1D8" w:rsidR="00AC63C6" w:rsidRDefault="005E5602">
          <w:pPr>
            <w:pStyle w:val="TOC1"/>
            <w:rPr>
              <w:rFonts w:eastAsiaTheme="minorEastAsia" w:cstheme="minorBidi"/>
              <w:b w:val="0"/>
              <w:lang w:val="en-US"/>
            </w:rPr>
          </w:pPr>
          <w:r w:rsidRPr="00381DA2">
            <w:rPr>
              <w:rFonts w:asciiTheme="majorHAnsi" w:hAnsiTheme="majorHAnsi" w:cstheme="minorHAnsi"/>
            </w:rPr>
            <w:fldChar w:fldCharType="begin"/>
          </w:r>
          <w:r w:rsidRPr="00381DA2">
            <w:rPr>
              <w:rFonts w:asciiTheme="majorHAnsi" w:hAnsiTheme="majorHAnsi" w:cstheme="minorHAnsi"/>
            </w:rPr>
            <w:instrText xml:space="preserve"> TOC \o "1-3" \h \z \u </w:instrText>
          </w:r>
          <w:r w:rsidRPr="00381DA2">
            <w:rPr>
              <w:rFonts w:asciiTheme="majorHAnsi" w:hAnsiTheme="majorHAnsi" w:cstheme="minorHAnsi"/>
            </w:rPr>
            <w:fldChar w:fldCharType="separate"/>
          </w:r>
          <w:hyperlink w:anchor="_Toc128640797" w:history="1">
            <w:r w:rsidR="00AC63C6" w:rsidRPr="00A321B6">
              <w:rPr>
                <w:rStyle w:val="Hyperlink"/>
                <w:rFonts w:cstheme="minorHAnsi"/>
                <w:shd w:val="clear" w:color="auto" w:fill="FFFFFF"/>
              </w:rPr>
              <w:t>LISTA ACRONIMELOR</w:t>
            </w:r>
            <w:r w:rsidR="00AC63C6">
              <w:rPr>
                <w:webHidden/>
              </w:rPr>
              <w:tab/>
            </w:r>
            <w:r w:rsidR="00AC63C6">
              <w:rPr>
                <w:webHidden/>
              </w:rPr>
              <w:fldChar w:fldCharType="begin"/>
            </w:r>
            <w:r w:rsidR="00AC63C6">
              <w:rPr>
                <w:webHidden/>
              </w:rPr>
              <w:instrText xml:space="preserve"> PAGEREF _Toc128640797 \h </w:instrText>
            </w:r>
            <w:r w:rsidR="00AC63C6">
              <w:rPr>
                <w:webHidden/>
              </w:rPr>
            </w:r>
            <w:r w:rsidR="00AC63C6">
              <w:rPr>
                <w:webHidden/>
              </w:rPr>
              <w:fldChar w:fldCharType="separate"/>
            </w:r>
            <w:r w:rsidR="00623D39">
              <w:rPr>
                <w:webHidden/>
              </w:rPr>
              <w:t>3</w:t>
            </w:r>
            <w:r w:rsidR="00AC63C6">
              <w:rPr>
                <w:webHidden/>
              </w:rPr>
              <w:fldChar w:fldCharType="end"/>
            </w:r>
          </w:hyperlink>
        </w:p>
        <w:p w14:paraId="7E52C6A2" w14:textId="17E19B66" w:rsidR="00AC63C6" w:rsidRDefault="002D6EAA">
          <w:pPr>
            <w:pStyle w:val="TOC1"/>
            <w:rPr>
              <w:rFonts w:eastAsiaTheme="minorEastAsia" w:cstheme="minorBidi"/>
              <w:b w:val="0"/>
              <w:lang w:val="en-US"/>
            </w:rPr>
          </w:pPr>
          <w:hyperlink w:anchor="_Toc128640798" w:history="1">
            <w:r w:rsidR="00AC63C6" w:rsidRPr="00A321B6">
              <w:rPr>
                <w:rStyle w:val="Hyperlink"/>
                <w:rFonts w:cstheme="minorHAnsi"/>
              </w:rPr>
              <w:t>GLOSAR</w:t>
            </w:r>
            <w:r w:rsidR="00AC63C6">
              <w:rPr>
                <w:webHidden/>
              </w:rPr>
              <w:tab/>
            </w:r>
            <w:r w:rsidR="00AC63C6">
              <w:rPr>
                <w:webHidden/>
              </w:rPr>
              <w:fldChar w:fldCharType="begin"/>
            </w:r>
            <w:r w:rsidR="00AC63C6">
              <w:rPr>
                <w:webHidden/>
              </w:rPr>
              <w:instrText xml:space="preserve"> PAGEREF _Toc128640798 \h </w:instrText>
            </w:r>
            <w:r w:rsidR="00AC63C6">
              <w:rPr>
                <w:webHidden/>
              </w:rPr>
            </w:r>
            <w:r w:rsidR="00AC63C6">
              <w:rPr>
                <w:webHidden/>
              </w:rPr>
              <w:fldChar w:fldCharType="separate"/>
            </w:r>
            <w:r w:rsidR="00623D39">
              <w:rPr>
                <w:webHidden/>
              </w:rPr>
              <w:t>3</w:t>
            </w:r>
            <w:r w:rsidR="00AC63C6">
              <w:rPr>
                <w:webHidden/>
              </w:rPr>
              <w:fldChar w:fldCharType="end"/>
            </w:r>
          </w:hyperlink>
        </w:p>
        <w:p w14:paraId="489B2E9C" w14:textId="136A4DDF" w:rsidR="00AC63C6" w:rsidRDefault="002D6EAA">
          <w:pPr>
            <w:pStyle w:val="TOC1"/>
            <w:rPr>
              <w:rFonts w:eastAsiaTheme="minorEastAsia" w:cstheme="minorBidi"/>
              <w:b w:val="0"/>
              <w:lang w:val="en-US"/>
            </w:rPr>
          </w:pPr>
          <w:hyperlink w:anchor="_Toc128640799" w:history="1">
            <w:r w:rsidR="00AC63C6" w:rsidRPr="00A321B6">
              <w:rPr>
                <w:rStyle w:val="Hyperlink"/>
              </w:rPr>
              <w:t>I.</w:t>
            </w:r>
            <w:r w:rsidR="00AC63C6">
              <w:rPr>
                <w:rFonts w:eastAsiaTheme="minorEastAsia" w:cstheme="minorBidi"/>
                <w:b w:val="0"/>
                <w:lang w:val="en-US"/>
              </w:rPr>
              <w:tab/>
            </w:r>
            <w:r w:rsidR="00AC63C6" w:rsidRPr="00A321B6">
              <w:rPr>
                <w:rStyle w:val="Hyperlink"/>
                <w:rFonts w:cstheme="minorHAnsi"/>
                <w:shd w:val="clear" w:color="auto" w:fill="FFFFFF"/>
              </w:rPr>
              <w:t>SINTEZA</w:t>
            </w:r>
            <w:r w:rsidR="00AC63C6">
              <w:rPr>
                <w:webHidden/>
              </w:rPr>
              <w:tab/>
            </w:r>
            <w:r w:rsidR="00AC63C6">
              <w:rPr>
                <w:webHidden/>
              </w:rPr>
              <w:fldChar w:fldCharType="begin"/>
            </w:r>
            <w:r w:rsidR="00AC63C6">
              <w:rPr>
                <w:webHidden/>
              </w:rPr>
              <w:instrText xml:space="preserve"> PAGEREF _Toc128640799 \h </w:instrText>
            </w:r>
            <w:r w:rsidR="00AC63C6">
              <w:rPr>
                <w:webHidden/>
              </w:rPr>
            </w:r>
            <w:r w:rsidR="00AC63C6">
              <w:rPr>
                <w:webHidden/>
              </w:rPr>
              <w:fldChar w:fldCharType="separate"/>
            </w:r>
            <w:r w:rsidR="00623D39">
              <w:rPr>
                <w:webHidden/>
              </w:rPr>
              <w:t>4</w:t>
            </w:r>
            <w:r w:rsidR="00AC63C6">
              <w:rPr>
                <w:webHidden/>
              </w:rPr>
              <w:fldChar w:fldCharType="end"/>
            </w:r>
          </w:hyperlink>
        </w:p>
        <w:p w14:paraId="0457F6F5" w14:textId="7F1FAE07" w:rsidR="00AC63C6" w:rsidRDefault="002D6EAA">
          <w:pPr>
            <w:pStyle w:val="TOC1"/>
            <w:rPr>
              <w:rFonts w:eastAsiaTheme="minorEastAsia" w:cstheme="minorBidi"/>
              <w:b w:val="0"/>
              <w:lang w:val="en-US"/>
            </w:rPr>
          </w:pPr>
          <w:hyperlink w:anchor="_Toc128640800" w:history="1">
            <w:r w:rsidR="00AC63C6" w:rsidRPr="00A321B6">
              <w:rPr>
                <w:rStyle w:val="Hyperlink"/>
              </w:rPr>
              <w:t>II.</w:t>
            </w:r>
            <w:r w:rsidR="00AC63C6">
              <w:rPr>
                <w:rFonts w:eastAsiaTheme="minorEastAsia" w:cstheme="minorBidi"/>
                <w:b w:val="0"/>
                <w:lang w:val="en-US"/>
              </w:rPr>
              <w:tab/>
            </w:r>
            <w:r w:rsidR="00AC63C6" w:rsidRPr="00A321B6">
              <w:rPr>
                <w:rStyle w:val="Hyperlink"/>
                <w:rFonts w:cstheme="minorHAnsi"/>
                <w:shd w:val="clear" w:color="auto" w:fill="FFFFFF"/>
              </w:rPr>
              <w:t>PREZENTARE GENERALĂ</w:t>
            </w:r>
            <w:r w:rsidR="00AC63C6">
              <w:rPr>
                <w:webHidden/>
              </w:rPr>
              <w:tab/>
            </w:r>
            <w:r w:rsidR="00AC63C6">
              <w:rPr>
                <w:webHidden/>
              </w:rPr>
              <w:fldChar w:fldCharType="begin"/>
            </w:r>
            <w:r w:rsidR="00AC63C6">
              <w:rPr>
                <w:webHidden/>
              </w:rPr>
              <w:instrText xml:space="preserve"> PAGEREF _Toc128640800 \h </w:instrText>
            </w:r>
            <w:r w:rsidR="00AC63C6">
              <w:rPr>
                <w:webHidden/>
              </w:rPr>
            </w:r>
            <w:r w:rsidR="00AC63C6">
              <w:rPr>
                <w:webHidden/>
              </w:rPr>
              <w:fldChar w:fldCharType="separate"/>
            </w:r>
            <w:r w:rsidR="00623D39">
              <w:rPr>
                <w:webHidden/>
              </w:rPr>
              <w:t>6</w:t>
            </w:r>
            <w:r w:rsidR="00AC63C6">
              <w:rPr>
                <w:webHidden/>
              </w:rPr>
              <w:fldChar w:fldCharType="end"/>
            </w:r>
          </w:hyperlink>
        </w:p>
        <w:p w14:paraId="3DA9D824" w14:textId="09F9EFCB" w:rsidR="00AC63C6" w:rsidRDefault="002D6EAA">
          <w:pPr>
            <w:pStyle w:val="TOC3"/>
            <w:rPr>
              <w:rFonts w:eastAsiaTheme="minorEastAsia" w:cstheme="minorBidi"/>
              <w:b w:val="0"/>
              <w:color w:val="auto"/>
            </w:rPr>
          </w:pPr>
          <w:hyperlink w:anchor="_Toc128640801" w:history="1">
            <w:r w:rsidR="00AC63C6" w:rsidRPr="00A321B6">
              <w:rPr>
                <w:rStyle w:val="Hyperlink"/>
                <w:rFonts w:cstheme="minorHAnsi"/>
                <w:lang w:eastAsia="ru-RU"/>
              </w:rPr>
              <w:t>2.1. Domeniul auditat</w:t>
            </w:r>
            <w:r w:rsidR="00AC63C6">
              <w:rPr>
                <w:webHidden/>
              </w:rPr>
              <w:tab/>
            </w:r>
            <w:r w:rsidR="00AC63C6">
              <w:rPr>
                <w:webHidden/>
              </w:rPr>
              <w:fldChar w:fldCharType="begin"/>
            </w:r>
            <w:r w:rsidR="00AC63C6">
              <w:rPr>
                <w:webHidden/>
              </w:rPr>
              <w:instrText xml:space="preserve"> PAGEREF _Toc128640801 \h </w:instrText>
            </w:r>
            <w:r w:rsidR="00AC63C6">
              <w:rPr>
                <w:webHidden/>
              </w:rPr>
            </w:r>
            <w:r w:rsidR="00AC63C6">
              <w:rPr>
                <w:webHidden/>
              </w:rPr>
              <w:fldChar w:fldCharType="separate"/>
            </w:r>
            <w:r w:rsidR="00623D39">
              <w:rPr>
                <w:webHidden/>
              </w:rPr>
              <w:t>6</w:t>
            </w:r>
            <w:r w:rsidR="00AC63C6">
              <w:rPr>
                <w:webHidden/>
              </w:rPr>
              <w:fldChar w:fldCharType="end"/>
            </w:r>
          </w:hyperlink>
        </w:p>
        <w:p w14:paraId="37D5AD54" w14:textId="0C42C3CC" w:rsidR="00AC63C6" w:rsidRDefault="002D6EAA">
          <w:pPr>
            <w:pStyle w:val="TOC3"/>
            <w:rPr>
              <w:rFonts w:eastAsiaTheme="minorEastAsia" w:cstheme="minorBidi"/>
              <w:b w:val="0"/>
              <w:color w:val="auto"/>
            </w:rPr>
          </w:pPr>
          <w:hyperlink w:anchor="_Toc128640802" w:history="1">
            <w:r w:rsidR="00AC63C6" w:rsidRPr="00A321B6">
              <w:rPr>
                <w:rStyle w:val="Hyperlink"/>
                <w:rFonts w:cstheme="minorHAnsi"/>
              </w:rPr>
              <w:t>2.2. Date de context general privind sistemul de AJGS</w:t>
            </w:r>
            <w:r w:rsidR="00AC63C6">
              <w:rPr>
                <w:webHidden/>
              </w:rPr>
              <w:tab/>
            </w:r>
            <w:r w:rsidR="00AC63C6">
              <w:rPr>
                <w:webHidden/>
              </w:rPr>
              <w:fldChar w:fldCharType="begin"/>
            </w:r>
            <w:r w:rsidR="00AC63C6">
              <w:rPr>
                <w:webHidden/>
              </w:rPr>
              <w:instrText xml:space="preserve"> PAGEREF _Toc128640802 \h </w:instrText>
            </w:r>
            <w:r w:rsidR="00AC63C6">
              <w:rPr>
                <w:webHidden/>
              </w:rPr>
            </w:r>
            <w:r w:rsidR="00AC63C6">
              <w:rPr>
                <w:webHidden/>
              </w:rPr>
              <w:fldChar w:fldCharType="separate"/>
            </w:r>
            <w:r w:rsidR="00623D39">
              <w:rPr>
                <w:webHidden/>
              </w:rPr>
              <w:t>8</w:t>
            </w:r>
            <w:r w:rsidR="00AC63C6">
              <w:rPr>
                <w:webHidden/>
              </w:rPr>
              <w:fldChar w:fldCharType="end"/>
            </w:r>
          </w:hyperlink>
        </w:p>
        <w:p w14:paraId="1B673799" w14:textId="4C8FC2C5" w:rsidR="00AC63C6" w:rsidRDefault="002D6EAA">
          <w:pPr>
            <w:pStyle w:val="TOC1"/>
            <w:rPr>
              <w:rFonts w:eastAsiaTheme="minorEastAsia" w:cstheme="minorBidi"/>
              <w:b w:val="0"/>
              <w:lang w:val="en-US"/>
            </w:rPr>
          </w:pPr>
          <w:hyperlink w:anchor="_Toc128640803" w:history="1">
            <w:r w:rsidR="00AC63C6" w:rsidRPr="00A321B6">
              <w:rPr>
                <w:rStyle w:val="Hyperlink"/>
              </w:rPr>
              <w:t>III.</w:t>
            </w:r>
            <w:r w:rsidR="00AC63C6">
              <w:rPr>
                <w:rFonts w:eastAsiaTheme="minorEastAsia" w:cstheme="minorBidi"/>
                <w:b w:val="0"/>
                <w:lang w:val="en-US"/>
              </w:rPr>
              <w:tab/>
            </w:r>
            <w:r w:rsidR="00AC63C6" w:rsidRPr="00A321B6">
              <w:rPr>
                <w:rStyle w:val="Hyperlink"/>
                <w:rFonts w:cstheme="minorHAnsi"/>
                <w:shd w:val="clear" w:color="auto" w:fill="FFFFFF"/>
              </w:rPr>
              <w:t>SFERA ȘI ABORDAREA AUDITULUI</w:t>
            </w:r>
            <w:r w:rsidR="00AC63C6">
              <w:rPr>
                <w:webHidden/>
              </w:rPr>
              <w:tab/>
            </w:r>
            <w:r w:rsidR="00AC63C6">
              <w:rPr>
                <w:webHidden/>
              </w:rPr>
              <w:fldChar w:fldCharType="begin"/>
            </w:r>
            <w:r w:rsidR="00AC63C6">
              <w:rPr>
                <w:webHidden/>
              </w:rPr>
              <w:instrText xml:space="preserve"> PAGEREF _Toc128640803 \h </w:instrText>
            </w:r>
            <w:r w:rsidR="00AC63C6">
              <w:rPr>
                <w:webHidden/>
              </w:rPr>
            </w:r>
            <w:r w:rsidR="00AC63C6">
              <w:rPr>
                <w:webHidden/>
              </w:rPr>
              <w:fldChar w:fldCharType="separate"/>
            </w:r>
            <w:r w:rsidR="00623D39">
              <w:rPr>
                <w:webHidden/>
              </w:rPr>
              <w:t>10</w:t>
            </w:r>
            <w:r w:rsidR="00AC63C6">
              <w:rPr>
                <w:webHidden/>
              </w:rPr>
              <w:fldChar w:fldCharType="end"/>
            </w:r>
          </w:hyperlink>
        </w:p>
        <w:p w14:paraId="61CCB861" w14:textId="3F8949E7" w:rsidR="00AC63C6" w:rsidRDefault="002D6EAA">
          <w:pPr>
            <w:pStyle w:val="TOC3"/>
            <w:rPr>
              <w:rFonts w:eastAsiaTheme="minorEastAsia" w:cstheme="minorBidi"/>
              <w:b w:val="0"/>
              <w:color w:val="auto"/>
            </w:rPr>
          </w:pPr>
          <w:hyperlink w:anchor="_Toc128640804" w:history="1">
            <w:r w:rsidR="00AC63C6" w:rsidRPr="00A321B6">
              <w:rPr>
                <w:rStyle w:val="Hyperlink"/>
                <w:rFonts w:cstheme="minorHAnsi"/>
                <w:shd w:val="clear" w:color="auto" w:fill="FFFFFF"/>
              </w:rPr>
              <w:t>3.1. Mandatul legal și scopul auditului</w:t>
            </w:r>
            <w:r w:rsidR="00AC63C6">
              <w:rPr>
                <w:webHidden/>
              </w:rPr>
              <w:tab/>
            </w:r>
            <w:r w:rsidR="00AC63C6">
              <w:rPr>
                <w:webHidden/>
              </w:rPr>
              <w:fldChar w:fldCharType="begin"/>
            </w:r>
            <w:r w:rsidR="00AC63C6">
              <w:rPr>
                <w:webHidden/>
              </w:rPr>
              <w:instrText xml:space="preserve"> PAGEREF _Toc128640804 \h </w:instrText>
            </w:r>
            <w:r w:rsidR="00AC63C6">
              <w:rPr>
                <w:webHidden/>
              </w:rPr>
            </w:r>
            <w:r w:rsidR="00AC63C6">
              <w:rPr>
                <w:webHidden/>
              </w:rPr>
              <w:fldChar w:fldCharType="separate"/>
            </w:r>
            <w:r w:rsidR="00623D39">
              <w:rPr>
                <w:webHidden/>
              </w:rPr>
              <w:t>10</w:t>
            </w:r>
            <w:r w:rsidR="00AC63C6">
              <w:rPr>
                <w:webHidden/>
              </w:rPr>
              <w:fldChar w:fldCharType="end"/>
            </w:r>
          </w:hyperlink>
        </w:p>
        <w:p w14:paraId="05CA4C3D" w14:textId="3CAD258B" w:rsidR="00AC63C6" w:rsidRDefault="002D6EAA">
          <w:pPr>
            <w:pStyle w:val="TOC3"/>
            <w:rPr>
              <w:rFonts w:eastAsiaTheme="minorEastAsia" w:cstheme="minorBidi"/>
              <w:b w:val="0"/>
              <w:color w:val="auto"/>
            </w:rPr>
          </w:pPr>
          <w:hyperlink w:anchor="_Toc128640805" w:history="1">
            <w:r w:rsidR="00AC63C6" w:rsidRPr="00A321B6">
              <w:rPr>
                <w:rStyle w:val="Hyperlink"/>
                <w:rFonts w:cstheme="minorHAnsi"/>
                <w:shd w:val="clear" w:color="auto" w:fill="FFFFFF"/>
              </w:rPr>
              <w:t>3.2. Abordarea auditului</w:t>
            </w:r>
            <w:r w:rsidR="00AC63C6">
              <w:rPr>
                <w:webHidden/>
              </w:rPr>
              <w:tab/>
            </w:r>
            <w:r w:rsidR="00AC63C6">
              <w:rPr>
                <w:webHidden/>
              </w:rPr>
              <w:fldChar w:fldCharType="begin"/>
            </w:r>
            <w:r w:rsidR="00AC63C6">
              <w:rPr>
                <w:webHidden/>
              </w:rPr>
              <w:instrText xml:space="preserve"> PAGEREF _Toc128640805 \h </w:instrText>
            </w:r>
            <w:r w:rsidR="00AC63C6">
              <w:rPr>
                <w:webHidden/>
              </w:rPr>
            </w:r>
            <w:r w:rsidR="00AC63C6">
              <w:rPr>
                <w:webHidden/>
              </w:rPr>
              <w:fldChar w:fldCharType="separate"/>
            </w:r>
            <w:r w:rsidR="00623D39">
              <w:rPr>
                <w:webHidden/>
              </w:rPr>
              <w:t>10</w:t>
            </w:r>
            <w:r w:rsidR="00AC63C6">
              <w:rPr>
                <w:webHidden/>
              </w:rPr>
              <w:fldChar w:fldCharType="end"/>
            </w:r>
          </w:hyperlink>
        </w:p>
        <w:p w14:paraId="3CDB8253" w14:textId="0A756C05" w:rsidR="00AC63C6" w:rsidRDefault="002D6EAA">
          <w:pPr>
            <w:pStyle w:val="TOC3"/>
            <w:rPr>
              <w:rFonts w:eastAsiaTheme="minorEastAsia" w:cstheme="minorBidi"/>
              <w:b w:val="0"/>
              <w:color w:val="auto"/>
            </w:rPr>
          </w:pPr>
          <w:hyperlink w:anchor="_Toc128640806" w:history="1">
            <w:r w:rsidR="00AC63C6" w:rsidRPr="00A321B6">
              <w:rPr>
                <w:rStyle w:val="Hyperlink"/>
                <w:rFonts w:eastAsiaTheme="minorHAnsi" w:cstheme="minorHAnsi"/>
                <w:shd w:val="clear" w:color="auto" w:fill="FFFFFF"/>
              </w:rPr>
              <w:t>3.3. Responsabilitatea echipei de audit</w:t>
            </w:r>
            <w:r w:rsidR="00AC63C6">
              <w:rPr>
                <w:webHidden/>
              </w:rPr>
              <w:tab/>
            </w:r>
            <w:r w:rsidR="00AC63C6">
              <w:rPr>
                <w:webHidden/>
              </w:rPr>
              <w:fldChar w:fldCharType="begin"/>
            </w:r>
            <w:r w:rsidR="00AC63C6">
              <w:rPr>
                <w:webHidden/>
              </w:rPr>
              <w:instrText xml:space="preserve"> PAGEREF _Toc128640806 \h </w:instrText>
            </w:r>
            <w:r w:rsidR="00AC63C6">
              <w:rPr>
                <w:webHidden/>
              </w:rPr>
            </w:r>
            <w:r w:rsidR="00AC63C6">
              <w:rPr>
                <w:webHidden/>
              </w:rPr>
              <w:fldChar w:fldCharType="separate"/>
            </w:r>
            <w:r w:rsidR="00623D39">
              <w:rPr>
                <w:webHidden/>
              </w:rPr>
              <w:t>11</w:t>
            </w:r>
            <w:r w:rsidR="00AC63C6">
              <w:rPr>
                <w:webHidden/>
              </w:rPr>
              <w:fldChar w:fldCharType="end"/>
            </w:r>
          </w:hyperlink>
        </w:p>
        <w:p w14:paraId="4C236C8A" w14:textId="6995DAEF" w:rsidR="00AC63C6" w:rsidRDefault="002D6EAA">
          <w:pPr>
            <w:pStyle w:val="TOC1"/>
            <w:rPr>
              <w:rFonts w:eastAsiaTheme="minorEastAsia" w:cstheme="minorBidi"/>
              <w:b w:val="0"/>
              <w:lang w:val="en-US"/>
            </w:rPr>
          </w:pPr>
          <w:hyperlink w:anchor="_Toc128640807" w:history="1">
            <w:r w:rsidR="00AC63C6" w:rsidRPr="00A321B6">
              <w:rPr>
                <w:rStyle w:val="Hyperlink"/>
              </w:rPr>
              <w:t>IV.</w:t>
            </w:r>
            <w:r w:rsidR="00AC63C6">
              <w:rPr>
                <w:rFonts w:eastAsiaTheme="minorEastAsia" w:cstheme="minorBidi"/>
                <w:b w:val="0"/>
                <w:lang w:val="en-US"/>
              </w:rPr>
              <w:tab/>
            </w:r>
            <w:r w:rsidR="00AC63C6" w:rsidRPr="00A321B6">
              <w:rPr>
                <w:rStyle w:val="Hyperlink"/>
                <w:rFonts w:cstheme="minorHAnsi"/>
                <w:shd w:val="clear" w:color="auto" w:fill="FFFFFF"/>
              </w:rPr>
              <w:t>CONSTATĂRI</w:t>
            </w:r>
            <w:r w:rsidR="00AC63C6">
              <w:rPr>
                <w:webHidden/>
              </w:rPr>
              <w:tab/>
            </w:r>
            <w:r w:rsidR="00AC63C6">
              <w:rPr>
                <w:webHidden/>
              </w:rPr>
              <w:fldChar w:fldCharType="begin"/>
            </w:r>
            <w:r w:rsidR="00AC63C6">
              <w:rPr>
                <w:webHidden/>
              </w:rPr>
              <w:instrText xml:space="preserve"> PAGEREF _Toc128640807 \h </w:instrText>
            </w:r>
            <w:r w:rsidR="00AC63C6">
              <w:rPr>
                <w:webHidden/>
              </w:rPr>
            </w:r>
            <w:r w:rsidR="00AC63C6">
              <w:rPr>
                <w:webHidden/>
              </w:rPr>
              <w:fldChar w:fldCharType="separate"/>
            </w:r>
            <w:r w:rsidR="00623D39">
              <w:rPr>
                <w:webHidden/>
              </w:rPr>
              <w:t>11</w:t>
            </w:r>
            <w:r w:rsidR="00AC63C6">
              <w:rPr>
                <w:webHidden/>
              </w:rPr>
              <w:fldChar w:fldCharType="end"/>
            </w:r>
          </w:hyperlink>
        </w:p>
        <w:p w14:paraId="0607C16E" w14:textId="64BE2B03" w:rsidR="00AC63C6" w:rsidRDefault="002D6EAA">
          <w:pPr>
            <w:pStyle w:val="TOC2"/>
            <w:rPr>
              <w:rFonts w:eastAsiaTheme="minorEastAsia" w:cstheme="minorBidi"/>
              <w:b w:val="0"/>
            </w:rPr>
          </w:pPr>
          <w:hyperlink w:anchor="_Toc128640808" w:history="1">
            <w:r w:rsidR="00AC63C6" w:rsidRPr="00A321B6">
              <w:rPr>
                <w:rStyle w:val="Hyperlink"/>
                <w:rFonts w:cstheme="minorHAnsi"/>
              </w:rPr>
              <w:t>4.1. OBIECTIVUL nr.1: Instrumentele de reglementare asigură direcționarea asistenței juridice către beneficiarii eligibili?</w:t>
            </w:r>
            <w:r w:rsidR="00AC63C6">
              <w:rPr>
                <w:webHidden/>
              </w:rPr>
              <w:tab/>
            </w:r>
            <w:r w:rsidR="00AC63C6">
              <w:rPr>
                <w:webHidden/>
              </w:rPr>
              <w:fldChar w:fldCharType="begin"/>
            </w:r>
            <w:r w:rsidR="00AC63C6">
              <w:rPr>
                <w:webHidden/>
              </w:rPr>
              <w:instrText xml:space="preserve"> PAGEREF _Toc128640808 \h </w:instrText>
            </w:r>
            <w:r w:rsidR="00AC63C6">
              <w:rPr>
                <w:webHidden/>
              </w:rPr>
            </w:r>
            <w:r w:rsidR="00AC63C6">
              <w:rPr>
                <w:webHidden/>
              </w:rPr>
              <w:fldChar w:fldCharType="separate"/>
            </w:r>
            <w:r w:rsidR="00623D39">
              <w:rPr>
                <w:webHidden/>
              </w:rPr>
              <w:t>11</w:t>
            </w:r>
            <w:r w:rsidR="00AC63C6">
              <w:rPr>
                <w:webHidden/>
              </w:rPr>
              <w:fldChar w:fldCharType="end"/>
            </w:r>
          </w:hyperlink>
        </w:p>
        <w:p w14:paraId="72943D86" w14:textId="003E6E64" w:rsidR="00AC63C6" w:rsidRPr="00AC63C6" w:rsidRDefault="002D6EAA">
          <w:pPr>
            <w:pStyle w:val="TOC3"/>
            <w:rPr>
              <w:rFonts w:eastAsiaTheme="minorEastAsia" w:cstheme="minorBidi"/>
              <w:b w:val="0"/>
              <w:i/>
              <w:color w:val="auto"/>
            </w:rPr>
          </w:pPr>
          <w:hyperlink w:anchor="_Toc128640809" w:history="1">
            <w:r w:rsidR="00AC63C6" w:rsidRPr="00AC63C6">
              <w:rPr>
                <w:rStyle w:val="Hyperlink"/>
                <w:rFonts w:cstheme="minorHAnsi"/>
                <w:b w:val="0"/>
                <w:i/>
              </w:rPr>
              <w:t>4.1.1.</w:t>
            </w:r>
            <w:r w:rsidR="00AC63C6" w:rsidRPr="00AC63C6">
              <w:rPr>
                <w:rFonts w:eastAsiaTheme="minorEastAsia" w:cstheme="minorBidi"/>
                <w:b w:val="0"/>
                <w:i/>
                <w:color w:val="auto"/>
              </w:rPr>
              <w:tab/>
            </w:r>
            <w:r w:rsidR="00AC63C6" w:rsidRPr="00AC63C6">
              <w:rPr>
                <w:rStyle w:val="Hyperlink"/>
                <w:rFonts w:cstheme="minorHAnsi"/>
                <w:b w:val="0"/>
                <w:i/>
              </w:rPr>
              <w:t>Fondurile alocate pentru AJGS sunt prioritar direcționate beneficiarilor la solicitările instituțiilor de drept ale statului.</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_Toc128640809 \h </w:instrText>
            </w:r>
            <w:r w:rsidR="00AC63C6" w:rsidRPr="00AC63C6">
              <w:rPr>
                <w:b w:val="0"/>
                <w:i/>
                <w:webHidden/>
              </w:rPr>
            </w:r>
            <w:r w:rsidR="00AC63C6" w:rsidRPr="00AC63C6">
              <w:rPr>
                <w:b w:val="0"/>
                <w:i/>
                <w:webHidden/>
              </w:rPr>
              <w:fldChar w:fldCharType="separate"/>
            </w:r>
            <w:r w:rsidR="00623D39">
              <w:rPr>
                <w:b w:val="0"/>
                <w:i/>
                <w:webHidden/>
              </w:rPr>
              <w:t>11</w:t>
            </w:r>
            <w:r w:rsidR="00AC63C6" w:rsidRPr="00AC63C6">
              <w:rPr>
                <w:b w:val="0"/>
                <w:i/>
                <w:webHidden/>
              </w:rPr>
              <w:fldChar w:fldCharType="end"/>
            </w:r>
          </w:hyperlink>
        </w:p>
        <w:p w14:paraId="3C093019" w14:textId="69662D68" w:rsidR="00AC63C6" w:rsidRPr="00AC63C6" w:rsidRDefault="002D6EAA">
          <w:pPr>
            <w:pStyle w:val="TOC3"/>
            <w:rPr>
              <w:rFonts w:eastAsiaTheme="minorEastAsia" w:cstheme="minorBidi"/>
              <w:b w:val="0"/>
              <w:i/>
              <w:color w:val="auto"/>
            </w:rPr>
          </w:pPr>
          <w:hyperlink w:anchor="_Toc128640810" w:history="1">
            <w:r w:rsidR="00AC63C6" w:rsidRPr="00AC63C6">
              <w:rPr>
                <w:rStyle w:val="Hyperlink"/>
                <w:rFonts w:cstheme="minorHAnsi"/>
                <w:b w:val="0"/>
                <w:i/>
              </w:rPr>
              <w:t>4.1.2.</w:t>
            </w:r>
            <w:r w:rsidR="00AC63C6" w:rsidRPr="00AC63C6">
              <w:rPr>
                <w:rFonts w:eastAsiaTheme="minorEastAsia" w:cstheme="minorBidi"/>
                <w:b w:val="0"/>
                <w:i/>
                <w:color w:val="auto"/>
              </w:rPr>
              <w:tab/>
            </w:r>
            <w:r w:rsidR="00AC63C6" w:rsidRPr="00AC63C6">
              <w:rPr>
                <w:rStyle w:val="Hyperlink"/>
                <w:rFonts w:cstheme="minorHAnsi"/>
                <w:b w:val="0"/>
                <w:i/>
              </w:rPr>
              <w:t>Valorificarea mijloacelor publice pentru asistența juridică garantată de stat este afectată de caracterul interpretabil al normelor juridice în domeniu.</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_Toc128640810 \h </w:instrText>
            </w:r>
            <w:r w:rsidR="00AC63C6" w:rsidRPr="00AC63C6">
              <w:rPr>
                <w:b w:val="0"/>
                <w:i/>
                <w:webHidden/>
              </w:rPr>
            </w:r>
            <w:r w:rsidR="00AC63C6" w:rsidRPr="00AC63C6">
              <w:rPr>
                <w:b w:val="0"/>
                <w:i/>
                <w:webHidden/>
              </w:rPr>
              <w:fldChar w:fldCharType="separate"/>
            </w:r>
            <w:r w:rsidR="00623D39">
              <w:rPr>
                <w:b w:val="0"/>
                <w:i/>
                <w:webHidden/>
              </w:rPr>
              <w:t>14</w:t>
            </w:r>
            <w:r w:rsidR="00AC63C6" w:rsidRPr="00AC63C6">
              <w:rPr>
                <w:b w:val="0"/>
                <w:i/>
                <w:webHidden/>
              </w:rPr>
              <w:fldChar w:fldCharType="end"/>
            </w:r>
          </w:hyperlink>
        </w:p>
        <w:p w14:paraId="4786F0A5" w14:textId="71CF7D23" w:rsidR="00AC63C6" w:rsidRPr="00AC63C6" w:rsidRDefault="002D6EAA">
          <w:pPr>
            <w:pStyle w:val="TOC3"/>
            <w:rPr>
              <w:rFonts w:eastAsiaTheme="minorEastAsia" w:cstheme="minorBidi"/>
              <w:b w:val="0"/>
              <w:i/>
              <w:color w:val="auto"/>
            </w:rPr>
          </w:pPr>
          <w:hyperlink w:anchor="_Toc128640811" w:history="1">
            <w:r w:rsidR="00AC63C6" w:rsidRPr="00AC63C6">
              <w:rPr>
                <w:rStyle w:val="Hyperlink"/>
                <w:rFonts w:cstheme="minorHAnsi"/>
                <w:b w:val="0"/>
                <w:i/>
              </w:rPr>
              <w:t>4.1.3.</w:t>
            </w:r>
            <w:r w:rsidR="00AC63C6" w:rsidRPr="00AC63C6">
              <w:rPr>
                <w:rFonts w:eastAsiaTheme="minorEastAsia" w:cstheme="minorBidi"/>
                <w:b w:val="0"/>
                <w:i/>
                <w:color w:val="auto"/>
              </w:rPr>
              <w:tab/>
            </w:r>
            <w:r w:rsidR="00AC63C6" w:rsidRPr="00AC63C6">
              <w:rPr>
                <w:rStyle w:val="Hyperlink"/>
                <w:rFonts w:cstheme="minorHAnsi"/>
                <w:b w:val="0"/>
                <w:i/>
              </w:rPr>
              <w:t>Există deficiențe la solicitarea și acordarea AJGS persoanelor juridice.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_Toc128640811 \h </w:instrText>
            </w:r>
            <w:r w:rsidR="00AC63C6" w:rsidRPr="00AC63C6">
              <w:rPr>
                <w:b w:val="0"/>
                <w:i/>
                <w:webHidden/>
              </w:rPr>
            </w:r>
            <w:r w:rsidR="00AC63C6" w:rsidRPr="00AC63C6">
              <w:rPr>
                <w:b w:val="0"/>
                <w:i/>
                <w:webHidden/>
              </w:rPr>
              <w:fldChar w:fldCharType="separate"/>
            </w:r>
            <w:r w:rsidR="00623D39">
              <w:rPr>
                <w:b w:val="0"/>
                <w:i/>
                <w:webHidden/>
              </w:rPr>
              <w:t>18</w:t>
            </w:r>
            <w:r w:rsidR="00AC63C6" w:rsidRPr="00AC63C6">
              <w:rPr>
                <w:b w:val="0"/>
                <w:i/>
                <w:webHidden/>
              </w:rPr>
              <w:fldChar w:fldCharType="end"/>
            </w:r>
          </w:hyperlink>
        </w:p>
        <w:p w14:paraId="1ECAC14F" w14:textId="7111D854" w:rsidR="00AC63C6" w:rsidRPr="00AC63C6" w:rsidRDefault="002D6EAA">
          <w:pPr>
            <w:pStyle w:val="TOC3"/>
            <w:rPr>
              <w:rFonts w:eastAsiaTheme="minorEastAsia" w:cstheme="minorBidi"/>
              <w:b w:val="0"/>
              <w:i/>
              <w:color w:val="auto"/>
            </w:rPr>
          </w:pPr>
          <w:hyperlink w:anchor="_Toc128640812" w:history="1">
            <w:r w:rsidR="00AC63C6" w:rsidRPr="00AC63C6">
              <w:rPr>
                <w:rStyle w:val="Hyperlink"/>
                <w:rFonts w:cstheme="minorHAnsi"/>
                <w:b w:val="0"/>
                <w:i/>
              </w:rPr>
              <w:t>4.1.4.</w:t>
            </w:r>
            <w:r w:rsidR="00AC63C6" w:rsidRPr="00AC63C6">
              <w:rPr>
                <w:rFonts w:eastAsiaTheme="minorEastAsia" w:cstheme="minorBidi"/>
                <w:b w:val="0"/>
                <w:i/>
                <w:color w:val="auto"/>
              </w:rPr>
              <w:tab/>
            </w:r>
            <w:r w:rsidR="00AC63C6" w:rsidRPr="00AC63C6">
              <w:rPr>
                <w:rStyle w:val="Hyperlink"/>
                <w:rFonts w:cstheme="minorHAnsi"/>
                <w:b w:val="0"/>
                <w:i/>
              </w:rPr>
              <w:t>Se atestă neaplicabilitatea, cât și caracterul desuet al unor norme ale Regulamentului la determinarea venitului solicitantului de AJGS.</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_Toc128640812 \h </w:instrText>
            </w:r>
            <w:r w:rsidR="00AC63C6" w:rsidRPr="00AC63C6">
              <w:rPr>
                <w:b w:val="0"/>
                <w:i/>
                <w:webHidden/>
              </w:rPr>
            </w:r>
            <w:r w:rsidR="00AC63C6" w:rsidRPr="00AC63C6">
              <w:rPr>
                <w:b w:val="0"/>
                <w:i/>
                <w:webHidden/>
              </w:rPr>
              <w:fldChar w:fldCharType="separate"/>
            </w:r>
            <w:r w:rsidR="00623D39">
              <w:rPr>
                <w:b w:val="0"/>
                <w:i/>
                <w:webHidden/>
              </w:rPr>
              <w:t>20</w:t>
            </w:r>
            <w:r w:rsidR="00AC63C6" w:rsidRPr="00AC63C6">
              <w:rPr>
                <w:b w:val="0"/>
                <w:i/>
                <w:webHidden/>
              </w:rPr>
              <w:fldChar w:fldCharType="end"/>
            </w:r>
          </w:hyperlink>
        </w:p>
        <w:p w14:paraId="6366C598" w14:textId="56DFCC74" w:rsidR="00AC63C6" w:rsidRPr="00AC63C6" w:rsidRDefault="002D6EAA">
          <w:pPr>
            <w:pStyle w:val="TOC3"/>
            <w:rPr>
              <w:rFonts w:eastAsiaTheme="minorEastAsia" w:cstheme="minorBidi"/>
              <w:b w:val="0"/>
              <w:i/>
              <w:color w:val="auto"/>
            </w:rPr>
          </w:pPr>
          <w:hyperlink w:anchor="_Toc128640813" w:history="1">
            <w:r w:rsidR="00AC63C6" w:rsidRPr="00AC63C6">
              <w:rPr>
                <w:rStyle w:val="Hyperlink"/>
                <w:rFonts w:cstheme="minorHAnsi"/>
                <w:b w:val="0"/>
                <w:i/>
              </w:rPr>
              <w:t>4.1.5.</w:t>
            </w:r>
            <w:r w:rsidR="00AC63C6" w:rsidRPr="00AC63C6">
              <w:rPr>
                <w:rFonts w:eastAsiaTheme="minorEastAsia" w:cstheme="minorBidi"/>
                <w:b w:val="0"/>
                <w:i/>
                <w:color w:val="auto"/>
              </w:rPr>
              <w:tab/>
            </w:r>
            <w:r w:rsidR="00AC63C6" w:rsidRPr="00AC63C6">
              <w:rPr>
                <w:rStyle w:val="Hyperlink"/>
                <w:rFonts w:cstheme="minorHAnsi"/>
                <w:b w:val="0"/>
                <w:i/>
              </w:rPr>
              <w:t>Lipsește un mecanism fiabil care ar oferi un echilibru între coraportul dintre multiplele solicitări ale asistenței juridice garantate de stat și raționalizarea utilizării banilor publici.</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_Toc128640813 \h </w:instrText>
            </w:r>
            <w:r w:rsidR="00AC63C6" w:rsidRPr="00AC63C6">
              <w:rPr>
                <w:b w:val="0"/>
                <w:i/>
                <w:webHidden/>
              </w:rPr>
            </w:r>
            <w:r w:rsidR="00AC63C6" w:rsidRPr="00AC63C6">
              <w:rPr>
                <w:b w:val="0"/>
                <w:i/>
                <w:webHidden/>
              </w:rPr>
              <w:fldChar w:fldCharType="separate"/>
            </w:r>
            <w:r w:rsidR="00623D39">
              <w:rPr>
                <w:b w:val="0"/>
                <w:i/>
                <w:webHidden/>
              </w:rPr>
              <w:t>23</w:t>
            </w:r>
            <w:r w:rsidR="00AC63C6" w:rsidRPr="00AC63C6">
              <w:rPr>
                <w:b w:val="0"/>
                <w:i/>
                <w:webHidden/>
              </w:rPr>
              <w:fldChar w:fldCharType="end"/>
            </w:r>
          </w:hyperlink>
        </w:p>
        <w:p w14:paraId="78B74683" w14:textId="19567AEA" w:rsidR="00AC63C6" w:rsidRPr="00AC63C6" w:rsidRDefault="002D6EAA">
          <w:pPr>
            <w:pStyle w:val="TOC3"/>
            <w:rPr>
              <w:rFonts w:eastAsiaTheme="minorEastAsia" w:cstheme="minorBidi"/>
              <w:b w:val="0"/>
              <w:i/>
              <w:color w:val="auto"/>
            </w:rPr>
          </w:pPr>
          <w:hyperlink w:anchor="_Toc128640814" w:history="1">
            <w:r w:rsidR="00AC63C6" w:rsidRPr="00AC63C6">
              <w:rPr>
                <w:rStyle w:val="Hyperlink"/>
                <w:rFonts w:cstheme="minorHAnsi"/>
                <w:b w:val="0"/>
                <w:i/>
              </w:rPr>
              <w:t>4.1.6.</w:t>
            </w:r>
            <w:r w:rsidR="00AC63C6" w:rsidRPr="00AC63C6">
              <w:rPr>
                <w:rFonts w:eastAsiaTheme="minorEastAsia" w:cstheme="minorBidi"/>
                <w:b w:val="0"/>
                <w:i/>
                <w:color w:val="auto"/>
              </w:rPr>
              <w:tab/>
            </w:r>
            <w:r w:rsidR="00AC63C6" w:rsidRPr="00AC63C6">
              <w:rPr>
                <w:rStyle w:val="Hyperlink"/>
                <w:rFonts w:cstheme="minorHAnsi"/>
                <w:b w:val="0"/>
                <w:i/>
              </w:rPr>
              <w:t>Unele prevederi ale Regulamentului de funcționare a OT ale CNAJGS nu sunt subordonate prevederilor legale, ceea ce permite oferirea asistenței juridice unor persoane neeligibile.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_Toc128640814 \h </w:instrText>
            </w:r>
            <w:r w:rsidR="00AC63C6" w:rsidRPr="00AC63C6">
              <w:rPr>
                <w:b w:val="0"/>
                <w:i/>
                <w:webHidden/>
              </w:rPr>
            </w:r>
            <w:r w:rsidR="00AC63C6" w:rsidRPr="00AC63C6">
              <w:rPr>
                <w:b w:val="0"/>
                <w:i/>
                <w:webHidden/>
              </w:rPr>
              <w:fldChar w:fldCharType="separate"/>
            </w:r>
            <w:r w:rsidR="00623D39">
              <w:rPr>
                <w:b w:val="0"/>
                <w:i/>
                <w:webHidden/>
              </w:rPr>
              <w:t>23</w:t>
            </w:r>
            <w:r w:rsidR="00AC63C6" w:rsidRPr="00AC63C6">
              <w:rPr>
                <w:b w:val="0"/>
                <w:i/>
                <w:webHidden/>
              </w:rPr>
              <w:fldChar w:fldCharType="end"/>
            </w:r>
          </w:hyperlink>
        </w:p>
        <w:p w14:paraId="2A18F7D1" w14:textId="5580C51B" w:rsidR="00AC63C6" w:rsidRPr="00AC63C6" w:rsidRDefault="002D6EAA">
          <w:pPr>
            <w:pStyle w:val="TOC3"/>
            <w:rPr>
              <w:rFonts w:eastAsiaTheme="minorEastAsia" w:cstheme="minorBidi"/>
              <w:b w:val="0"/>
              <w:i/>
              <w:color w:val="auto"/>
            </w:rPr>
          </w:pPr>
          <w:hyperlink w:anchor="_Toc128640815" w:history="1">
            <w:r w:rsidR="00AC63C6" w:rsidRPr="00AC63C6">
              <w:rPr>
                <w:rStyle w:val="Hyperlink"/>
                <w:rFonts w:cstheme="minorHAnsi"/>
                <w:b w:val="0"/>
                <w:i/>
              </w:rPr>
              <w:t>4.1.7.</w:t>
            </w:r>
            <w:r w:rsidR="00AC63C6" w:rsidRPr="00AC63C6">
              <w:rPr>
                <w:rFonts w:eastAsiaTheme="minorEastAsia" w:cstheme="minorBidi"/>
                <w:b w:val="0"/>
                <w:i/>
                <w:color w:val="auto"/>
              </w:rPr>
              <w:tab/>
            </w:r>
            <w:r w:rsidR="00AC63C6" w:rsidRPr="00AC63C6">
              <w:rPr>
                <w:rStyle w:val="Hyperlink"/>
                <w:rFonts w:cstheme="minorHAnsi"/>
                <w:b w:val="0"/>
                <w:i/>
              </w:rPr>
              <w:t>CNAJGS nu a asigurat reglementarea volumului de lucru în cazul avocaților contractați la cerere.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_Toc128640815 \h </w:instrText>
            </w:r>
            <w:r w:rsidR="00AC63C6" w:rsidRPr="00AC63C6">
              <w:rPr>
                <w:b w:val="0"/>
                <w:i/>
                <w:webHidden/>
              </w:rPr>
            </w:r>
            <w:r w:rsidR="00AC63C6" w:rsidRPr="00AC63C6">
              <w:rPr>
                <w:b w:val="0"/>
                <w:i/>
                <w:webHidden/>
              </w:rPr>
              <w:fldChar w:fldCharType="separate"/>
            </w:r>
            <w:r w:rsidR="00623D39">
              <w:rPr>
                <w:b w:val="0"/>
                <w:i/>
                <w:webHidden/>
              </w:rPr>
              <w:t>24</w:t>
            </w:r>
            <w:r w:rsidR="00AC63C6" w:rsidRPr="00AC63C6">
              <w:rPr>
                <w:b w:val="0"/>
                <w:i/>
                <w:webHidden/>
              </w:rPr>
              <w:fldChar w:fldCharType="end"/>
            </w:r>
          </w:hyperlink>
        </w:p>
        <w:p w14:paraId="1AE7D9E1" w14:textId="229B9B6A" w:rsidR="00AC63C6" w:rsidRDefault="002D6EAA">
          <w:pPr>
            <w:pStyle w:val="TOC2"/>
            <w:rPr>
              <w:rFonts w:eastAsiaTheme="minorEastAsia" w:cstheme="minorBidi"/>
              <w:b w:val="0"/>
            </w:rPr>
          </w:pPr>
          <w:hyperlink w:anchor="_Toc128640816" w:history="1">
            <w:r w:rsidR="00AC63C6" w:rsidRPr="00A321B6">
              <w:rPr>
                <w:rStyle w:val="Hyperlink"/>
                <w:rFonts w:cstheme="minorHAnsi"/>
              </w:rPr>
              <w:t>4.2 OBIECTIVUL nr.2: Factorii responsabili au asigurat conformitatea procesului de valorificare a resurselor pentru serviciile de asistență juridică garantată de stat?</w:t>
            </w:r>
            <w:r w:rsidR="00AC63C6">
              <w:rPr>
                <w:webHidden/>
              </w:rPr>
              <w:tab/>
            </w:r>
            <w:r w:rsidR="00AC63C6">
              <w:rPr>
                <w:webHidden/>
              </w:rPr>
              <w:fldChar w:fldCharType="begin"/>
            </w:r>
            <w:r w:rsidR="00AC63C6">
              <w:rPr>
                <w:webHidden/>
              </w:rPr>
              <w:instrText xml:space="preserve"> PAGEREF _Toc128640816 \h </w:instrText>
            </w:r>
            <w:r w:rsidR="00AC63C6">
              <w:rPr>
                <w:webHidden/>
              </w:rPr>
            </w:r>
            <w:r w:rsidR="00AC63C6">
              <w:rPr>
                <w:webHidden/>
              </w:rPr>
              <w:fldChar w:fldCharType="separate"/>
            </w:r>
            <w:r w:rsidR="00623D39">
              <w:rPr>
                <w:webHidden/>
              </w:rPr>
              <w:t>26</w:t>
            </w:r>
            <w:r w:rsidR="00AC63C6">
              <w:rPr>
                <w:webHidden/>
              </w:rPr>
              <w:fldChar w:fldCharType="end"/>
            </w:r>
          </w:hyperlink>
        </w:p>
        <w:p w14:paraId="4B9E551E" w14:textId="6A870D14" w:rsidR="00AC63C6" w:rsidRPr="00AC63C6" w:rsidRDefault="002D6EAA">
          <w:pPr>
            <w:pStyle w:val="TOC3"/>
            <w:rPr>
              <w:rFonts w:eastAsiaTheme="minorEastAsia" w:cstheme="minorBidi"/>
              <w:b w:val="0"/>
              <w:i/>
              <w:color w:val="auto"/>
            </w:rPr>
          </w:pPr>
          <w:hyperlink w:anchor="_Toc128640817" w:history="1">
            <w:r w:rsidR="00AC63C6" w:rsidRPr="00AC63C6">
              <w:rPr>
                <w:rStyle w:val="Hyperlink"/>
                <w:rFonts w:cstheme="minorHAnsi"/>
                <w:b w:val="0"/>
                <w:bCs/>
                <w:i/>
              </w:rPr>
              <w:t>4.2.1.</w:t>
            </w:r>
            <w:r w:rsidR="00AC63C6" w:rsidRPr="00AC63C6">
              <w:rPr>
                <w:rFonts w:eastAsiaTheme="minorEastAsia" w:cstheme="minorBidi"/>
                <w:b w:val="0"/>
                <w:i/>
                <w:color w:val="auto"/>
              </w:rPr>
              <w:tab/>
            </w:r>
            <w:r w:rsidR="00AC63C6" w:rsidRPr="00AC63C6">
              <w:rPr>
                <w:rStyle w:val="Hyperlink"/>
                <w:rFonts w:cstheme="minorHAnsi"/>
                <w:b w:val="0"/>
                <w:bCs/>
                <w:i/>
              </w:rPr>
              <w:t>Procesul de remunerare a asistenței juridice calificate de stat necesită a fi îmbunătățit, ceea ce nemijlocit ar conduce la raționalizarea utilizării banilor publici.</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_Toc128640817 \h </w:instrText>
            </w:r>
            <w:r w:rsidR="00AC63C6" w:rsidRPr="00AC63C6">
              <w:rPr>
                <w:b w:val="0"/>
                <w:i/>
                <w:webHidden/>
              </w:rPr>
            </w:r>
            <w:r w:rsidR="00AC63C6" w:rsidRPr="00AC63C6">
              <w:rPr>
                <w:b w:val="0"/>
                <w:i/>
                <w:webHidden/>
              </w:rPr>
              <w:fldChar w:fldCharType="separate"/>
            </w:r>
            <w:r w:rsidR="00623D39">
              <w:rPr>
                <w:b w:val="0"/>
                <w:i/>
                <w:webHidden/>
              </w:rPr>
              <w:t>27</w:t>
            </w:r>
            <w:r w:rsidR="00AC63C6" w:rsidRPr="00AC63C6">
              <w:rPr>
                <w:b w:val="0"/>
                <w:i/>
                <w:webHidden/>
              </w:rPr>
              <w:fldChar w:fldCharType="end"/>
            </w:r>
          </w:hyperlink>
        </w:p>
        <w:p w14:paraId="14344B93" w14:textId="5BA142CF" w:rsidR="00AC63C6" w:rsidRPr="00AC63C6" w:rsidRDefault="002D6EAA">
          <w:pPr>
            <w:pStyle w:val="TOC3"/>
            <w:rPr>
              <w:rFonts w:eastAsiaTheme="minorEastAsia" w:cstheme="minorBidi"/>
              <w:b w:val="0"/>
              <w:i/>
              <w:color w:val="auto"/>
            </w:rPr>
          </w:pPr>
          <w:hyperlink w:anchor="_Toc128640818" w:history="1">
            <w:r w:rsidR="00AC63C6" w:rsidRPr="00AC63C6">
              <w:rPr>
                <w:rStyle w:val="Hyperlink"/>
                <w:rFonts w:cstheme="minorHAnsi"/>
                <w:b w:val="0"/>
                <w:i/>
              </w:rPr>
              <w:t>4.2.2.</w:t>
            </w:r>
            <w:r w:rsidR="00AC63C6" w:rsidRPr="00AC63C6">
              <w:rPr>
                <w:rFonts w:eastAsiaTheme="minorEastAsia" w:cstheme="minorBidi"/>
                <w:b w:val="0"/>
                <w:i/>
                <w:color w:val="auto"/>
              </w:rPr>
              <w:tab/>
            </w:r>
            <w:r w:rsidR="00AC63C6" w:rsidRPr="00AC63C6">
              <w:rPr>
                <w:rStyle w:val="Hyperlink"/>
                <w:rFonts w:cstheme="minorHAnsi"/>
                <w:b w:val="0"/>
                <w:i/>
              </w:rPr>
              <w:t>OT ale CNAJGS nu au respectat punctual reglementările privind achitarea în avans a remunerării avocaților pentru serviciile juridice oferite.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_Toc128640818 \h </w:instrText>
            </w:r>
            <w:r w:rsidR="00AC63C6" w:rsidRPr="00AC63C6">
              <w:rPr>
                <w:b w:val="0"/>
                <w:i/>
                <w:webHidden/>
              </w:rPr>
            </w:r>
            <w:r w:rsidR="00AC63C6" w:rsidRPr="00AC63C6">
              <w:rPr>
                <w:b w:val="0"/>
                <w:i/>
                <w:webHidden/>
              </w:rPr>
              <w:fldChar w:fldCharType="separate"/>
            </w:r>
            <w:r w:rsidR="00623D39">
              <w:rPr>
                <w:b w:val="0"/>
                <w:i/>
                <w:webHidden/>
              </w:rPr>
              <w:t>32</w:t>
            </w:r>
            <w:r w:rsidR="00AC63C6" w:rsidRPr="00AC63C6">
              <w:rPr>
                <w:b w:val="0"/>
                <w:i/>
                <w:webHidden/>
              </w:rPr>
              <w:fldChar w:fldCharType="end"/>
            </w:r>
          </w:hyperlink>
        </w:p>
        <w:p w14:paraId="3543FA8E" w14:textId="3A2189CC" w:rsidR="00AC63C6" w:rsidRPr="00AC63C6" w:rsidRDefault="002D6EAA">
          <w:pPr>
            <w:pStyle w:val="TOC3"/>
            <w:rPr>
              <w:rFonts w:eastAsiaTheme="minorEastAsia" w:cstheme="minorBidi"/>
              <w:b w:val="0"/>
              <w:i/>
              <w:color w:val="auto"/>
            </w:rPr>
          </w:pPr>
          <w:hyperlink w:anchor="_Toc128640819" w:history="1">
            <w:r w:rsidR="00AC63C6" w:rsidRPr="00AC63C6">
              <w:rPr>
                <w:rStyle w:val="Hyperlink"/>
                <w:b w:val="0"/>
                <w:i/>
              </w:rPr>
              <w:t>4.2.3.</w:t>
            </w:r>
            <w:r w:rsidR="00AC63C6" w:rsidRPr="00AC63C6">
              <w:rPr>
                <w:rFonts w:eastAsiaTheme="minorEastAsia" w:cstheme="minorBidi"/>
                <w:b w:val="0"/>
                <w:i/>
                <w:color w:val="auto"/>
              </w:rPr>
              <w:tab/>
            </w:r>
            <w:r w:rsidR="00AC63C6" w:rsidRPr="00AC63C6">
              <w:rPr>
                <w:rStyle w:val="Hyperlink"/>
                <w:b w:val="0"/>
                <w:i/>
              </w:rPr>
              <w:t>Procesul de monitorizare a calității serviciilor de asistență juridică garantată de stat este parțial funcțional.</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_Toc128640819 \h </w:instrText>
            </w:r>
            <w:r w:rsidR="00AC63C6" w:rsidRPr="00AC63C6">
              <w:rPr>
                <w:b w:val="0"/>
                <w:i/>
                <w:webHidden/>
              </w:rPr>
            </w:r>
            <w:r w:rsidR="00AC63C6" w:rsidRPr="00AC63C6">
              <w:rPr>
                <w:b w:val="0"/>
                <w:i/>
                <w:webHidden/>
              </w:rPr>
              <w:fldChar w:fldCharType="separate"/>
            </w:r>
            <w:r w:rsidR="00623D39">
              <w:rPr>
                <w:b w:val="0"/>
                <w:i/>
                <w:webHidden/>
              </w:rPr>
              <w:t>33</w:t>
            </w:r>
            <w:r w:rsidR="00AC63C6" w:rsidRPr="00AC63C6">
              <w:rPr>
                <w:b w:val="0"/>
                <w:i/>
                <w:webHidden/>
              </w:rPr>
              <w:fldChar w:fldCharType="end"/>
            </w:r>
          </w:hyperlink>
        </w:p>
        <w:p w14:paraId="0BEFDD40" w14:textId="08AED353" w:rsidR="00AC63C6" w:rsidRPr="00AC63C6" w:rsidRDefault="002D6EAA">
          <w:pPr>
            <w:pStyle w:val="TOC3"/>
            <w:rPr>
              <w:rFonts w:eastAsiaTheme="minorEastAsia" w:cstheme="minorBidi"/>
              <w:b w:val="0"/>
              <w:i/>
              <w:color w:val="auto"/>
            </w:rPr>
          </w:pPr>
          <w:hyperlink w:anchor="_Toc128640820" w:history="1">
            <w:r w:rsidR="00AC63C6" w:rsidRPr="00AC63C6">
              <w:rPr>
                <w:rStyle w:val="Hyperlink"/>
                <w:rFonts w:cstheme="minorHAnsi"/>
                <w:b w:val="0"/>
                <w:i/>
              </w:rPr>
              <w:t>4.2.4.</w:t>
            </w:r>
            <w:r w:rsidR="00AC63C6" w:rsidRPr="00AC63C6">
              <w:rPr>
                <w:rFonts w:eastAsiaTheme="minorEastAsia" w:cstheme="minorBidi"/>
                <w:b w:val="0"/>
                <w:i/>
                <w:color w:val="auto"/>
              </w:rPr>
              <w:tab/>
            </w:r>
            <w:r w:rsidR="00AC63C6" w:rsidRPr="00AC63C6">
              <w:rPr>
                <w:rStyle w:val="Hyperlink"/>
                <w:rFonts w:cstheme="minorHAnsi"/>
                <w:b w:val="0"/>
                <w:i/>
              </w:rPr>
              <w:t>Funcționarea defectuoasă a mecanismului de restituire a cheltuielilor de acordare a asistenței juridice calificate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_Toc128640820 \h </w:instrText>
            </w:r>
            <w:r w:rsidR="00AC63C6" w:rsidRPr="00AC63C6">
              <w:rPr>
                <w:b w:val="0"/>
                <w:i/>
                <w:webHidden/>
              </w:rPr>
            </w:r>
            <w:r w:rsidR="00AC63C6" w:rsidRPr="00AC63C6">
              <w:rPr>
                <w:b w:val="0"/>
                <w:i/>
                <w:webHidden/>
              </w:rPr>
              <w:fldChar w:fldCharType="separate"/>
            </w:r>
            <w:r w:rsidR="00623D39">
              <w:rPr>
                <w:b w:val="0"/>
                <w:i/>
                <w:webHidden/>
              </w:rPr>
              <w:t>36</w:t>
            </w:r>
            <w:r w:rsidR="00AC63C6" w:rsidRPr="00AC63C6">
              <w:rPr>
                <w:b w:val="0"/>
                <w:i/>
                <w:webHidden/>
              </w:rPr>
              <w:fldChar w:fldCharType="end"/>
            </w:r>
          </w:hyperlink>
        </w:p>
        <w:p w14:paraId="0C07948E" w14:textId="7F272CC9" w:rsidR="00AC63C6" w:rsidRDefault="002D6EAA">
          <w:pPr>
            <w:pStyle w:val="TOC2"/>
            <w:rPr>
              <w:rFonts w:eastAsiaTheme="minorEastAsia" w:cstheme="minorBidi"/>
              <w:b w:val="0"/>
            </w:rPr>
          </w:pPr>
          <w:hyperlink w:anchor="_Toc128640821" w:history="1">
            <w:r w:rsidR="00AC63C6" w:rsidRPr="00A321B6">
              <w:rPr>
                <w:rStyle w:val="Hyperlink"/>
                <w:rFonts w:cstheme="minorHAnsi"/>
              </w:rPr>
              <w:t>OBIECTIVUL nr.3: Organele de administrare ale sistemului de AJGS sunt organizate conform principiilor bunei  guvernări?</w:t>
            </w:r>
            <w:r w:rsidR="00AC63C6">
              <w:rPr>
                <w:webHidden/>
              </w:rPr>
              <w:tab/>
            </w:r>
            <w:r w:rsidR="00AC63C6">
              <w:rPr>
                <w:webHidden/>
              </w:rPr>
              <w:fldChar w:fldCharType="begin"/>
            </w:r>
            <w:r w:rsidR="00AC63C6">
              <w:rPr>
                <w:webHidden/>
              </w:rPr>
              <w:instrText xml:space="preserve"> PAGEREF _Toc128640821 \h </w:instrText>
            </w:r>
            <w:r w:rsidR="00AC63C6">
              <w:rPr>
                <w:webHidden/>
              </w:rPr>
            </w:r>
            <w:r w:rsidR="00AC63C6">
              <w:rPr>
                <w:webHidden/>
              </w:rPr>
              <w:fldChar w:fldCharType="separate"/>
            </w:r>
            <w:r w:rsidR="00623D39">
              <w:rPr>
                <w:webHidden/>
              </w:rPr>
              <w:t>38</w:t>
            </w:r>
            <w:r w:rsidR="00AC63C6">
              <w:rPr>
                <w:webHidden/>
              </w:rPr>
              <w:fldChar w:fldCharType="end"/>
            </w:r>
          </w:hyperlink>
        </w:p>
        <w:p w14:paraId="19DAB6D2" w14:textId="74D0D473" w:rsidR="00AC63C6" w:rsidRPr="00AC63C6" w:rsidRDefault="002D6EAA">
          <w:pPr>
            <w:pStyle w:val="TOC3"/>
            <w:rPr>
              <w:rFonts w:eastAsiaTheme="minorEastAsia" w:cstheme="minorBidi"/>
              <w:b w:val="0"/>
              <w:i/>
              <w:color w:val="auto"/>
            </w:rPr>
          </w:pPr>
          <w:hyperlink w:anchor="_Toc128640822" w:history="1">
            <w:r w:rsidR="00AC63C6" w:rsidRPr="00AC63C6">
              <w:rPr>
                <w:rStyle w:val="Hyperlink"/>
                <w:rFonts w:cstheme="minorHAnsi"/>
                <w:b w:val="0"/>
                <w:i/>
              </w:rPr>
              <w:t>4.3.1.</w:t>
            </w:r>
            <w:r w:rsidR="00AC63C6" w:rsidRPr="00AC63C6">
              <w:rPr>
                <w:rFonts w:eastAsiaTheme="minorEastAsia" w:cstheme="minorBidi"/>
                <w:b w:val="0"/>
                <w:i/>
                <w:color w:val="auto"/>
              </w:rPr>
              <w:tab/>
            </w:r>
            <w:r w:rsidR="00AC63C6" w:rsidRPr="00AC63C6">
              <w:rPr>
                <w:rStyle w:val="Hyperlink"/>
                <w:rFonts w:cstheme="minorHAnsi"/>
                <w:b w:val="0"/>
                <w:i/>
              </w:rPr>
              <w:t>Ambiguitățile în instituționalizarea organelor responsabile de administrarea procesului de  AJGS</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_Toc128640822 \h </w:instrText>
            </w:r>
            <w:r w:rsidR="00AC63C6" w:rsidRPr="00AC63C6">
              <w:rPr>
                <w:b w:val="0"/>
                <w:i/>
                <w:webHidden/>
              </w:rPr>
            </w:r>
            <w:r w:rsidR="00AC63C6" w:rsidRPr="00AC63C6">
              <w:rPr>
                <w:b w:val="0"/>
                <w:i/>
                <w:webHidden/>
              </w:rPr>
              <w:fldChar w:fldCharType="separate"/>
            </w:r>
            <w:r w:rsidR="00623D39">
              <w:rPr>
                <w:b w:val="0"/>
                <w:i/>
                <w:webHidden/>
              </w:rPr>
              <w:t>38</w:t>
            </w:r>
            <w:r w:rsidR="00AC63C6" w:rsidRPr="00AC63C6">
              <w:rPr>
                <w:b w:val="0"/>
                <w:i/>
                <w:webHidden/>
              </w:rPr>
              <w:fldChar w:fldCharType="end"/>
            </w:r>
          </w:hyperlink>
        </w:p>
        <w:p w14:paraId="76A468B5" w14:textId="010E81A8" w:rsidR="00AC63C6" w:rsidRPr="00AC63C6" w:rsidRDefault="002D6EAA">
          <w:pPr>
            <w:pStyle w:val="TOC3"/>
            <w:rPr>
              <w:rFonts w:eastAsiaTheme="minorEastAsia" w:cstheme="minorBidi"/>
              <w:b w:val="0"/>
              <w:i/>
              <w:color w:val="auto"/>
            </w:rPr>
          </w:pPr>
          <w:hyperlink w:anchor="_Toc128640823" w:history="1">
            <w:r w:rsidR="00AC63C6" w:rsidRPr="00AC63C6">
              <w:rPr>
                <w:rStyle w:val="Hyperlink"/>
                <w:rFonts w:cstheme="minorHAnsi"/>
                <w:b w:val="0"/>
                <w:i/>
              </w:rPr>
              <w:t>4.3.2.</w:t>
            </w:r>
            <w:r w:rsidR="00AC63C6" w:rsidRPr="00AC63C6">
              <w:rPr>
                <w:rFonts w:eastAsiaTheme="minorEastAsia" w:cstheme="minorBidi"/>
                <w:b w:val="0"/>
                <w:i/>
                <w:color w:val="auto"/>
              </w:rPr>
              <w:tab/>
            </w:r>
            <w:r w:rsidR="00AC63C6" w:rsidRPr="00AC63C6">
              <w:rPr>
                <w:rStyle w:val="Hyperlink"/>
                <w:rFonts w:cstheme="minorHAnsi"/>
                <w:b w:val="0"/>
                <w:i/>
              </w:rPr>
              <w:t>Organizarea administrării funcționale a sistemului necesită a fi consolidată și conformată principiilor bunei guvernări.</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_Toc128640823 \h </w:instrText>
            </w:r>
            <w:r w:rsidR="00AC63C6" w:rsidRPr="00AC63C6">
              <w:rPr>
                <w:b w:val="0"/>
                <w:i/>
                <w:webHidden/>
              </w:rPr>
            </w:r>
            <w:r w:rsidR="00AC63C6" w:rsidRPr="00AC63C6">
              <w:rPr>
                <w:b w:val="0"/>
                <w:i/>
                <w:webHidden/>
              </w:rPr>
              <w:fldChar w:fldCharType="separate"/>
            </w:r>
            <w:r w:rsidR="00623D39">
              <w:rPr>
                <w:b w:val="0"/>
                <w:i/>
                <w:webHidden/>
              </w:rPr>
              <w:t>39</w:t>
            </w:r>
            <w:r w:rsidR="00AC63C6" w:rsidRPr="00AC63C6">
              <w:rPr>
                <w:b w:val="0"/>
                <w:i/>
                <w:webHidden/>
              </w:rPr>
              <w:fldChar w:fldCharType="end"/>
            </w:r>
          </w:hyperlink>
        </w:p>
        <w:p w14:paraId="1C51E077" w14:textId="61C57EC0" w:rsidR="00AC63C6" w:rsidRPr="00AC63C6" w:rsidRDefault="002D6EAA">
          <w:pPr>
            <w:pStyle w:val="TOC3"/>
            <w:rPr>
              <w:rFonts w:eastAsiaTheme="minorEastAsia" w:cstheme="minorBidi"/>
              <w:b w:val="0"/>
              <w:i/>
              <w:color w:val="auto"/>
            </w:rPr>
          </w:pPr>
          <w:hyperlink w:anchor="_Toc128640824" w:history="1">
            <w:r w:rsidR="00AC63C6" w:rsidRPr="00AC63C6">
              <w:rPr>
                <w:rStyle w:val="Hyperlink"/>
                <w:rFonts w:cstheme="minorHAnsi"/>
                <w:b w:val="0"/>
                <w:i/>
              </w:rPr>
              <w:t>4.3.3.</w:t>
            </w:r>
            <w:r w:rsidR="00AC63C6" w:rsidRPr="00AC63C6">
              <w:rPr>
                <w:rFonts w:eastAsiaTheme="minorEastAsia" w:cstheme="minorBidi"/>
                <w:b w:val="0"/>
                <w:i/>
                <w:color w:val="auto"/>
              </w:rPr>
              <w:tab/>
            </w:r>
            <w:r w:rsidR="00AC63C6" w:rsidRPr="00AC63C6">
              <w:rPr>
                <w:rStyle w:val="Hyperlink"/>
                <w:rFonts w:cstheme="minorHAnsi"/>
                <w:b w:val="0"/>
                <w:i/>
              </w:rPr>
              <w:t>Componentele controlului intern managerial în cadrul entităților responsabile de administrarea sistemului de AJGS necesită a fi fortificate.</w:t>
            </w:r>
            <w:r w:rsidR="00AC63C6" w:rsidRPr="00AC63C6">
              <w:rPr>
                <w:b w:val="0"/>
                <w:i/>
                <w:webHidden/>
              </w:rPr>
              <w:tab/>
            </w:r>
            <w:r w:rsidR="00AC63C6" w:rsidRPr="00AC63C6">
              <w:rPr>
                <w:b w:val="0"/>
                <w:i/>
                <w:webHidden/>
              </w:rPr>
              <w:fldChar w:fldCharType="begin"/>
            </w:r>
            <w:r w:rsidR="00AC63C6" w:rsidRPr="00AC63C6">
              <w:rPr>
                <w:b w:val="0"/>
                <w:i/>
                <w:webHidden/>
              </w:rPr>
              <w:instrText xml:space="preserve"> PAGEREF _Toc128640824 \h </w:instrText>
            </w:r>
            <w:r w:rsidR="00AC63C6" w:rsidRPr="00AC63C6">
              <w:rPr>
                <w:b w:val="0"/>
                <w:i/>
                <w:webHidden/>
              </w:rPr>
            </w:r>
            <w:r w:rsidR="00AC63C6" w:rsidRPr="00AC63C6">
              <w:rPr>
                <w:b w:val="0"/>
                <w:i/>
                <w:webHidden/>
              </w:rPr>
              <w:fldChar w:fldCharType="separate"/>
            </w:r>
            <w:r w:rsidR="00623D39">
              <w:rPr>
                <w:b w:val="0"/>
                <w:i/>
                <w:webHidden/>
              </w:rPr>
              <w:t>41</w:t>
            </w:r>
            <w:r w:rsidR="00AC63C6" w:rsidRPr="00AC63C6">
              <w:rPr>
                <w:b w:val="0"/>
                <w:i/>
                <w:webHidden/>
              </w:rPr>
              <w:fldChar w:fldCharType="end"/>
            </w:r>
          </w:hyperlink>
        </w:p>
        <w:p w14:paraId="0C1D00B0" w14:textId="3B49CF8C" w:rsidR="00AC63C6" w:rsidRDefault="002D6EAA">
          <w:pPr>
            <w:pStyle w:val="TOC1"/>
            <w:rPr>
              <w:rFonts w:eastAsiaTheme="minorEastAsia" w:cstheme="minorBidi"/>
              <w:b w:val="0"/>
              <w:lang w:val="en-US"/>
            </w:rPr>
          </w:pPr>
          <w:hyperlink w:anchor="_Toc128640825" w:history="1">
            <w:r w:rsidR="00AC63C6" w:rsidRPr="00A321B6">
              <w:rPr>
                <w:rStyle w:val="Hyperlink"/>
              </w:rPr>
              <w:t>V.</w:t>
            </w:r>
            <w:r w:rsidR="00AC63C6">
              <w:rPr>
                <w:rFonts w:eastAsiaTheme="minorEastAsia" w:cstheme="minorBidi"/>
                <w:b w:val="0"/>
                <w:lang w:val="en-US"/>
              </w:rPr>
              <w:tab/>
            </w:r>
            <w:r w:rsidR="00AC63C6" w:rsidRPr="00A321B6">
              <w:rPr>
                <w:rStyle w:val="Hyperlink"/>
                <w:rFonts w:cstheme="minorHAnsi"/>
              </w:rPr>
              <w:t>CONCLUZIA GENERALĂ</w:t>
            </w:r>
            <w:r w:rsidR="00AC63C6">
              <w:rPr>
                <w:webHidden/>
              </w:rPr>
              <w:tab/>
            </w:r>
            <w:r w:rsidR="00AC63C6">
              <w:rPr>
                <w:webHidden/>
              </w:rPr>
              <w:fldChar w:fldCharType="begin"/>
            </w:r>
            <w:r w:rsidR="00AC63C6">
              <w:rPr>
                <w:webHidden/>
              </w:rPr>
              <w:instrText xml:space="preserve"> PAGEREF _Toc128640825 \h </w:instrText>
            </w:r>
            <w:r w:rsidR="00AC63C6">
              <w:rPr>
                <w:webHidden/>
              </w:rPr>
            </w:r>
            <w:r w:rsidR="00AC63C6">
              <w:rPr>
                <w:webHidden/>
              </w:rPr>
              <w:fldChar w:fldCharType="separate"/>
            </w:r>
            <w:r w:rsidR="00623D39">
              <w:rPr>
                <w:webHidden/>
              </w:rPr>
              <w:t>41</w:t>
            </w:r>
            <w:r w:rsidR="00AC63C6">
              <w:rPr>
                <w:webHidden/>
              </w:rPr>
              <w:fldChar w:fldCharType="end"/>
            </w:r>
          </w:hyperlink>
        </w:p>
        <w:p w14:paraId="4FB0100A" w14:textId="75884887" w:rsidR="00AC63C6" w:rsidRDefault="002D6EAA">
          <w:pPr>
            <w:pStyle w:val="TOC1"/>
            <w:rPr>
              <w:rFonts w:eastAsiaTheme="minorEastAsia" w:cstheme="minorBidi"/>
              <w:b w:val="0"/>
              <w:lang w:val="en-US"/>
            </w:rPr>
          </w:pPr>
          <w:hyperlink w:anchor="_Toc128640826" w:history="1">
            <w:r w:rsidR="00AC63C6" w:rsidRPr="00A321B6">
              <w:rPr>
                <w:rStyle w:val="Hyperlink"/>
              </w:rPr>
              <w:t>VI.</w:t>
            </w:r>
            <w:r w:rsidR="00AC63C6">
              <w:rPr>
                <w:rFonts w:eastAsiaTheme="minorEastAsia" w:cstheme="minorBidi"/>
                <w:b w:val="0"/>
                <w:lang w:val="en-US"/>
              </w:rPr>
              <w:tab/>
            </w:r>
            <w:r w:rsidR="00AC63C6" w:rsidRPr="00A321B6">
              <w:rPr>
                <w:rStyle w:val="Hyperlink"/>
                <w:rFonts w:cstheme="minorHAnsi"/>
              </w:rPr>
              <w:t>RECOMANDĂRI</w:t>
            </w:r>
            <w:r w:rsidR="00AC63C6">
              <w:rPr>
                <w:webHidden/>
              </w:rPr>
              <w:tab/>
            </w:r>
            <w:r w:rsidR="00AC63C6">
              <w:rPr>
                <w:webHidden/>
              </w:rPr>
              <w:fldChar w:fldCharType="begin"/>
            </w:r>
            <w:r w:rsidR="00AC63C6">
              <w:rPr>
                <w:webHidden/>
              </w:rPr>
              <w:instrText xml:space="preserve"> PAGEREF _Toc128640826 \h </w:instrText>
            </w:r>
            <w:r w:rsidR="00AC63C6">
              <w:rPr>
                <w:webHidden/>
              </w:rPr>
            </w:r>
            <w:r w:rsidR="00AC63C6">
              <w:rPr>
                <w:webHidden/>
              </w:rPr>
              <w:fldChar w:fldCharType="separate"/>
            </w:r>
            <w:r w:rsidR="00623D39">
              <w:rPr>
                <w:webHidden/>
              </w:rPr>
              <w:t>42</w:t>
            </w:r>
            <w:r w:rsidR="00AC63C6">
              <w:rPr>
                <w:webHidden/>
              </w:rPr>
              <w:fldChar w:fldCharType="end"/>
            </w:r>
          </w:hyperlink>
        </w:p>
        <w:p w14:paraId="30644100" w14:textId="7FDA133D" w:rsidR="00AC63C6" w:rsidRDefault="002D6EAA">
          <w:pPr>
            <w:pStyle w:val="TOC1"/>
            <w:rPr>
              <w:rFonts w:eastAsiaTheme="minorEastAsia" w:cstheme="minorBidi"/>
              <w:b w:val="0"/>
              <w:lang w:val="en-US"/>
            </w:rPr>
          </w:pPr>
          <w:hyperlink w:anchor="_Toc128640827" w:history="1">
            <w:r w:rsidR="00AC63C6" w:rsidRPr="00A321B6">
              <w:rPr>
                <w:rStyle w:val="Hyperlink"/>
                <w:rFonts w:cstheme="minorHAnsi"/>
              </w:rPr>
              <w:t>ANEXE</w:t>
            </w:r>
            <w:r w:rsidR="00AC63C6">
              <w:rPr>
                <w:webHidden/>
              </w:rPr>
              <w:tab/>
            </w:r>
            <w:r w:rsidR="00AC63C6">
              <w:rPr>
                <w:webHidden/>
              </w:rPr>
              <w:fldChar w:fldCharType="begin"/>
            </w:r>
            <w:r w:rsidR="00AC63C6">
              <w:rPr>
                <w:webHidden/>
              </w:rPr>
              <w:instrText xml:space="preserve"> PAGEREF _Toc128640827 \h </w:instrText>
            </w:r>
            <w:r w:rsidR="00AC63C6">
              <w:rPr>
                <w:webHidden/>
              </w:rPr>
            </w:r>
            <w:r w:rsidR="00AC63C6">
              <w:rPr>
                <w:webHidden/>
              </w:rPr>
              <w:fldChar w:fldCharType="separate"/>
            </w:r>
            <w:r w:rsidR="00623D39">
              <w:rPr>
                <w:webHidden/>
              </w:rPr>
              <w:t>45</w:t>
            </w:r>
            <w:r w:rsidR="00AC63C6">
              <w:rPr>
                <w:webHidden/>
              </w:rPr>
              <w:fldChar w:fldCharType="end"/>
            </w:r>
          </w:hyperlink>
        </w:p>
        <w:p w14:paraId="1CF2B988" w14:textId="068C320A" w:rsidR="005E5602" w:rsidRPr="00381DA2" w:rsidRDefault="005E5602" w:rsidP="004040B8">
          <w:pPr>
            <w:spacing w:line="240" w:lineRule="auto"/>
            <w:rPr>
              <w:rFonts w:asciiTheme="majorHAnsi" w:hAnsiTheme="majorHAnsi" w:cstheme="minorHAnsi"/>
            </w:rPr>
          </w:pPr>
          <w:r w:rsidRPr="00381DA2">
            <w:rPr>
              <w:rFonts w:asciiTheme="majorHAnsi" w:hAnsiTheme="majorHAnsi" w:cstheme="minorHAnsi"/>
              <w:b/>
              <w:bCs/>
              <w:noProof/>
            </w:rPr>
            <w:fldChar w:fldCharType="end"/>
          </w:r>
        </w:p>
      </w:sdtContent>
    </w:sdt>
    <w:p w14:paraId="26C44AB5" w14:textId="77777777" w:rsidR="002C1DE7" w:rsidRPr="00381DA2" w:rsidRDefault="002C1DE7" w:rsidP="003A66EF">
      <w:pPr>
        <w:pStyle w:val="Heading1"/>
        <w:spacing w:after="120" w:line="276" w:lineRule="auto"/>
        <w:rPr>
          <w:rFonts w:cstheme="minorHAnsi"/>
          <w:b/>
          <w:color w:val="1F4E79" w:themeColor="accent1" w:themeShade="80"/>
          <w:sz w:val="24"/>
          <w:szCs w:val="24"/>
          <w:shd w:val="clear" w:color="auto" w:fill="FFFFFF"/>
          <w:lang w:val="ro-MD"/>
        </w:rPr>
      </w:pPr>
      <w:bookmarkStart w:id="5" w:name="_Toc128640797"/>
      <w:r w:rsidRPr="00381DA2">
        <w:rPr>
          <w:rFonts w:cstheme="minorHAnsi"/>
          <w:b/>
          <w:color w:val="1F4E79" w:themeColor="accent1" w:themeShade="80"/>
          <w:sz w:val="24"/>
          <w:szCs w:val="24"/>
          <w:shd w:val="clear" w:color="auto" w:fill="FFFFFF"/>
          <w:lang w:val="ro-MD"/>
        </w:rPr>
        <w:t>LISTA ACRONIMELOR</w:t>
      </w:r>
      <w:bookmarkEnd w:id="2"/>
      <w:bookmarkEnd w:id="5"/>
    </w:p>
    <w:tbl>
      <w:tblPr>
        <w:tblStyle w:val="TableGrid"/>
        <w:tblW w:w="9360" w:type="dxa"/>
        <w:tblInd w:w="-5" w:type="dxa"/>
        <w:tblLook w:val="04A0" w:firstRow="1" w:lastRow="0" w:firstColumn="1" w:lastColumn="0" w:noHBand="0" w:noVBand="1"/>
      </w:tblPr>
      <w:tblGrid>
        <w:gridCol w:w="2520"/>
        <w:gridCol w:w="6840"/>
      </w:tblGrid>
      <w:tr w:rsidR="00C64C54" w:rsidRPr="00381DA2" w14:paraId="1348AF3F" w14:textId="77777777" w:rsidTr="002B5723">
        <w:tc>
          <w:tcPr>
            <w:tcW w:w="2520" w:type="dxa"/>
          </w:tcPr>
          <w:p w14:paraId="5372D35A" w14:textId="77777777" w:rsidR="00C64C54" w:rsidRPr="00381DA2" w:rsidRDefault="00C64C54"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MJ</w:t>
            </w:r>
          </w:p>
        </w:tc>
        <w:tc>
          <w:tcPr>
            <w:tcW w:w="6840" w:type="dxa"/>
          </w:tcPr>
          <w:p w14:paraId="7722F61D" w14:textId="77777777" w:rsidR="00C64C54" w:rsidRPr="00381DA2" w:rsidRDefault="00C64C54" w:rsidP="003A66EF">
            <w:pPr>
              <w:spacing w:line="276" w:lineRule="auto"/>
              <w:rPr>
                <w:rFonts w:asciiTheme="majorHAnsi" w:hAnsiTheme="majorHAnsi" w:cstheme="minorHAnsi"/>
              </w:rPr>
            </w:pPr>
            <w:r w:rsidRPr="00381DA2">
              <w:rPr>
                <w:rFonts w:asciiTheme="majorHAnsi" w:hAnsiTheme="majorHAnsi" w:cstheme="minorHAnsi"/>
              </w:rPr>
              <w:t>Ministerul Justiției</w:t>
            </w:r>
          </w:p>
        </w:tc>
      </w:tr>
      <w:tr w:rsidR="00121932" w:rsidRPr="00381DA2" w14:paraId="239A8AE8" w14:textId="77777777" w:rsidTr="002B5723">
        <w:tc>
          <w:tcPr>
            <w:tcW w:w="2520" w:type="dxa"/>
          </w:tcPr>
          <w:p w14:paraId="6677CF56" w14:textId="77777777" w:rsidR="00121932" w:rsidRPr="00381DA2" w:rsidRDefault="00121932"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MF</w:t>
            </w:r>
          </w:p>
        </w:tc>
        <w:tc>
          <w:tcPr>
            <w:tcW w:w="6840" w:type="dxa"/>
          </w:tcPr>
          <w:p w14:paraId="1D5A1313" w14:textId="77777777" w:rsidR="00121932" w:rsidRPr="00381DA2" w:rsidRDefault="00121932" w:rsidP="003A66EF">
            <w:pPr>
              <w:spacing w:line="276" w:lineRule="auto"/>
              <w:rPr>
                <w:rFonts w:asciiTheme="majorHAnsi" w:hAnsiTheme="majorHAnsi" w:cstheme="minorHAnsi"/>
              </w:rPr>
            </w:pPr>
            <w:r w:rsidRPr="00381DA2">
              <w:rPr>
                <w:rFonts w:asciiTheme="majorHAnsi" w:hAnsiTheme="majorHAnsi" w:cstheme="minorHAnsi"/>
              </w:rPr>
              <w:t>Ministerul Finanțelor</w:t>
            </w:r>
          </w:p>
        </w:tc>
      </w:tr>
      <w:tr w:rsidR="005B7292" w:rsidRPr="00381DA2" w14:paraId="62E2A43D" w14:textId="77777777" w:rsidTr="002B5723">
        <w:tc>
          <w:tcPr>
            <w:tcW w:w="2520" w:type="dxa"/>
          </w:tcPr>
          <w:p w14:paraId="7ACFB94C" w14:textId="77777777" w:rsidR="005B7292" w:rsidRPr="00381DA2" w:rsidRDefault="00E2720F"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AJGS</w:t>
            </w:r>
          </w:p>
        </w:tc>
        <w:tc>
          <w:tcPr>
            <w:tcW w:w="6840" w:type="dxa"/>
          </w:tcPr>
          <w:p w14:paraId="0E04A2B5" w14:textId="77777777" w:rsidR="005B7292" w:rsidRPr="00381DA2" w:rsidRDefault="00E2720F" w:rsidP="003A66EF">
            <w:pPr>
              <w:spacing w:line="276" w:lineRule="auto"/>
              <w:rPr>
                <w:rFonts w:asciiTheme="majorHAnsi" w:hAnsiTheme="majorHAnsi" w:cstheme="minorHAnsi"/>
              </w:rPr>
            </w:pPr>
            <w:r w:rsidRPr="00381DA2">
              <w:rPr>
                <w:rFonts w:asciiTheme="majorHAnsi" w:hAnsiTheme="majorHAnsi" w:cstheme="minorHAnsi"/>
              </w:rPr>
              <w:t>Asistența Juridică Garantată de Stat</w:t>
            </w:r>
          </w:p>
        </w:tc>
      </w:tr>
      <w:tr w:rsidR="00705DD0" w:rsidRPr="00381DA2" w14:paraId="5BCC1D6B" w14:textId="77777777" w:rsidTr="002B5723">
        <w:tc>
          <w:tcPr>
            <w:tcW w:w="2520" w:type="dxa"/>
          </w:tcPr>
          <w:p w14:paraId="2BC391A0" w14:textId="77777777" w:rsidR="00705DD0" w:rsidRPr="00381DA2" w:rsidRDefault="00E2720F"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CNAJGS</w:t>
            </w:r>
            <w:r w:rsidR="00BC1E3D" w:rsidRPr="00381DA2">
              <w:rPr>
                <w:rFonts w:asciiTheme="majorHAnsi" w:eastAsia="Times New Roman" w:hAnsiTheme="majorHAnsi" w:cstheme="minorHAnsi"/>
                <w:b/>
              </w:rPr>
              <w:t>/Consiliul național</w:t>
            </w:r>
          </w:p>
        </w:tc>
        <w:tc>
          <w:tcPr>
            <w:tcW w:w="6840" w:type="dxa"/>
          </w:tcPr>
          <w:p w14:paraId="08B67C52" w14:textId="77777777" w:rsidR="00705DD0" w:rsidRPr="00381DA2" w:rsidRDefault="00E2720F" w:rsidP="00BD4B01">
            <w:pPr>
              <w:spacing w:line="276" w:lineRule="auto"/>
              <w:rPr>
                <w:rFonts w:asciiTheme="majorHAnsi" w:hAnsiTheme="majorHAnsi" w:cstheme="minorHAnsi"/>
              </w:rPr>
            </w:pPr>
            <w:r w:rsidRPr="00381DA2">
              <w:rPr>
                <w:rFonts w:asciiTheme="majorHAnsi" w:hAnsiTheme="majorHAnsi" w:cstheme="minorHAnsi"/>
              </w:rPr>
              <w:t xml:space="preserve">Consiliul Național de Asistență Juridică </w:t>
            </w:r>
            <w:r w:rsidR="00BD4B01">
              <w:rPr>
                <w:rFonts w:asciiTheme="majorHAnsi" w:hAnsiTheme="majorHAnsi" w:cstheme="minorHAnsi"/>
              </w:rPr>
              <w:t xml:space="preserve">Garantată </w:t>
            </w:r>
            <w:r w:rsidRPr="00381DA2">
              <w:rPr>
                <w:rFonts w:asciiTheme="majorHAnsi" w:hAnsiTheme="majorHAnsi" w:cstheme="minorHAnsi"/>
              </w:rPr>
              <w:t>de Stat</w:t>
            </w:r>
          </w:p>
        </w:tc>
      </w:tr>
      <w:tr w:rsidR="005B7292" w:rsidRPr="00381DA2" w14:paraId="52A2D079" w14:textId="77777777" w:rsidTr="002B5723">
        <w:tc>
          <w:tcPr>
            <w:tcW w:w="2520" w:type="dxa"/>
          </w:tcPr>
          <w:p w14:paraId="40918496" w14:textId="77777777" w:rsidR="005B7292" w:rsidRPr="00381DA2" w:rsidRDefault="00E2720F"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Aparatul administrativ</w:t>
            </w:r>
          </w:p>
        </w:tc>
        <w:tc>
          <w:tcPr>
            <w:tcW w:w="6840" w:type="dxa"/>
          </w:tcPr>
          <w:p w14:paraId="29984BDB" w14:textId="77777777" w:rsidR="005B7292" w:rsidRPr="00381DA2" w:rsidRDefault="00361A3E" w:rsidP="003A66EF">
            <w:pPr>
              <w:spacing w:line="276" w:lineRule="auto"/>
              <w:rPr>
                <w:rFonts w:asciiTheme="majorHAnsi" w:hAnsiTheme="majorHAnsi" w:cstheme="minorHAnsi"/>
              </w:rPr>
            </w:pPr>
            <w:r w:rsidRPr="00381DA2">
              <w:rPr>
                <w:rFonts w:asciiTheme="majorHAnsi" w:hAnsiTheme="majorHAnsi" w:cstheme="minorHAnsi"/>
              </w:rPr>
              <w:t>Aparatul administrativ al Consiliului Național de Asistență Juridică de Stat</w:t>
            </w:r>
          </w:p>
        </w:tc>
      </w:tr>
      <w:tr w:rsidR="005C4443" w:rsidRPr="00381DA2" w14:paraId="3F69196F" w14:textId="77777777" w:rsidTr="002B5723">
        <w:tc>
          <w:tcPr>
            <w:tcW w:w="2520" w:type="dxa"/>
          </w:tcPr>
          <w:p w14:paraId="4B248979" w14:textId="77777777" w:rsidR="005C4443" w:rsidRPr="00381DA2" w:rsidRDefault="00E2720F"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 xml:space="preserve">OT </w:t>
            </w:r>
            <w:r w:rsidR="0080440E" w:rsidRPr="00381DA2">
              <w:rPr>
                <w:rFonts w:asciiTheme="majorHAnsi" w:eastAsia="Times New Roman" w:hAnsiTheme="majorHAnsi" w:cstheme="minorHAnsi"/>
                <w:b/>
              </w:rPr>
              <w:t xml:space="preserve">ale </w:t>
            </w:r>
            <w:r w:rsidRPr="00381DA2">
              <w:rPr>
                <w:rFonts w:asciiTheme="majorHAnsi" w:eastAsia="Times New Roman" w:hAnsiTheme="majorHAnsi" w:cstheme="minorHAnsi"/>
                <w:b/>
              </w:rPr>
              <w:t>CNAJGS</w:t>
            </w:r>
            <w:r w:rsidR="00775A3E" w:rsidRPr="00381DA2">
              <w:rPr>
                <w:rFonts w:asciiTheme="majorHAnsi" w:eastAsia="Times New Roman" w:hAnsiTheme="majorHAnsi" w:cstheme="minorHAnsi"/>
                <w:b/>
              </w:rPr>
              <w:t>/OT</w:t>
            </w:r>
          </w:p>
        </w:tc>
        <w:tc>
          <w:tcPr>
            <w:tcW w:w="6840" w:type="dxa"/>
          </w:tcPr>
          <w:p w14:paraId="53BAC6CA" w14:textId="77777777" w:rsidR="005C4443" w:rsidRPr="00381DA2" w:rsidRDefault="00E2720F" w:rsidP="003A66EF">
            <w:pPr>
              <w:spacing w:line="276" w:lineRule="auto"/>
              <w:rPr>
                <w:rFonts w:asciiTheme="majorHAnsi" w:hAnsiTheme="majorHAnsi" w:cstheme="minorHAnsi"/>
              </w:rPr>
            </w:pPr>
            <w:r w:rsidRPr="00381DA2">
              <w:rPr>
                <w:rFonts w:asciiTheme="majorHAnsi" w:hAnsiTheme="majorHAnsi" w:cstheme="minorHAnsi"/>
              </w:rPr>
              <w:t xml:space="preserve">Oficiile teritoriale ale Consiliului Național de Asistență Juridică </w:t>
            </w:r>
            <w:r w:rsidR="00BD4B01">
              <w:rPr>
                <w:rFonts w:asciiTheme="majorHAnsi" w:hAnsiTheme="majorHAnsi" w:cstheme="minorHAnsi"/>
              </w:rPr>
              <w:t xml:space="preserve">Garantată </w:t>
            </w:r>
            <w:r w:rsidRPr="00381DA2">
              <w:rPr>
                <w:rFonts w:asciiTheme="majorHAnsi" w:hAnsiTheme="majorHAnsi" w:cstheme="minorHAnsi"/>
              </w:rPr>
              <w:t>de Stat</w:t>
            </w:r>
          </w:p>
        </w:tc>
      </w:tr>
      <w:tr w:rsidR="00363852" w:rsidRPr="00381DA2" w14:paraId="1F4453B1" w14:textId="77777777" w:rsidTr="002B5723">
        <w:tc>
          <w:tcPr>
            <w:tcW w:w="2520" w:type="dxa"/>
          </w:tcPr>
          <w:p w14:paraId="17F4E49F" w14:textId="392573BB" w:rsidR="00363852" w:rsidRPr="00381DA2" w:rsidRDefault="00363852" w:rsidP="003A66EF">
            <w:pPr>
              <w:tabs>
                <w:tab w:val="left" w:pos="450"/>
                <w:tab w:val="left" w:pos="3600"/>
              </w:tabs>
              <w:spacing w:line="276" w:lineRule="auto"/>
              <w:ind w:right="9"/>
              <w:rPr>
                <w:rFonts w:asciiTheme="majorHAnsi" w:eastAsia="Times New Roman" w:hAnsiTheme="majorHAnsi" w:cstheme="minorHAnsi"/>
                <w:b/>
              </w:rPr>
            </w:pPr>
            <w:r>
              <w:rPr>
                <w:rFonts w:asciiTheme="majorHAnsi" w:eastAsia="Times New Roman" w:hAnsiTheme="majorHAnsi" w:cstheme="minorHAnsi"/>
                <w:b/>
              </w:rPr>
              <w:t>MAI</w:t>
            </w:r>
          </w:p>
        </w:tc>
        <w:tc>
          <w:tcPr>
            <w:tcW w:w="6840" w:type="dxa"/>
          </w:tcPr>
          <w:p w14:paraId="28F377B6" w14:textId="56FFD9E4" w:rsidR="00363852" w:rsidRPr="00381DA2" w:rsidRDefault="00363852" w:rsidP="003A66EF">
            <w:pPr>
              <w:spacing w:line="276" w:lineRule="auto"/>
              <w:rPr>
                <w:rFonts w:asciiTheme="majorHAnsi" w:hAnsiTheme="majorHAnsi" w:cstheme="minorHAnsi"/>
              </w:rPr>
            </w:pPr>
            <w:r>
              <w:rPr>
                <w:rFonts w:asciiTheme="majorHAnsi" w:hAnsiTheme="majorHAnsi" w:cstheme="minorHAnsi"/>
              </w:rPr>
              <w:t>Ministerul Afacerilor Interne</w:t>
            </w:r>
          </w:p>
        </w:tc>
      </w:tr>
      <w:tr w:rsidR="00045E19" w:rsidRPr="00381DA2" w14:paraId="512116C3" w14:textId="77777777" w:rsidTr="002B5723">
        <w:tc>
          <w:tcPr>
            <w:tcW w:w="2520" w:type="dxa"/>
          </w:tcPr>
          <w:p w14:paraId="3E01A04D" w14:textId="77777777" w:rsidR="00045E19" w:rsidRPr="00381DA2" w:rsidRDefault="00045E19"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SFS</w:t>
            </w:r>
          </w:p>
        </w:tc>
        <w:tc>
          <w:tcPr>
            <w:tcW w:w="6840" w:type="dxa"/>
          </w:tcPr>
          <w:p w14:paraId="5F6F6FCE" w14:textId="77777777" w:rsidR="00045E19" w:rsidRPr="00381DA2" w:rsidRDefault="00045E19" w:rsidP="003A66EF">
            <w:pPr>
              <w:spacing w:line="276" w:lineRule="auto"/>
              <w:rPr>
                <w:rFonts w:asciiTheme="majorHAnsi" w:hAnsiTheme="majorHAnsi" w:cstheme="minorHAnsi"/>
              </w:rPr>
            </w:pPr>
            <w:r w:rsidRPr="00381DA2">
              <w:rPr>
                <w:rFonts w:asciiTheme="majorHAnsi" w:hAnsiTheme="majorHAnsi" w:cstheme="minorHAnsi"/>
              </w:rPr>
              <w:t>Serviciul Fiscal de Stat</w:t>
            </w:r>
          </w:p>
        </w:tc>
      </w:tr>
      <w:tr w:rsidR="005B7292" w:rsidRPr="00381DA2" w14:paraId="60A6FC10" w14:textId="77777777" w:rsidTr="002B5723">
        <w:tc>
          <w:tcPr>
            <w:tcW w:w="2520" w:type="dxa"/>
          </w:tcPr>
          <w:p w14:paraId="7D732A60" w14:textId="77777777" w:rsidR="005B7292" w:rsidRPr="00381DA2" w:rsidRDefault="005A1D8B"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Raportul avocatului</w:t>
            </w:r>
          </w:p>
        </w:tc>
        <w:tc>
          <w:tcPr>
            <w:tcW w:w="6840" w:type="dxa"/>
          </w:tcPr>
          <w:p w14:paraId="462DA886" w14:textId="77777777" w:rsidR="005B7292" w:rsidRPr="00381DA2" w:rsidRDefault="00BD4B01" w:rsidP="00BD4B01">
            <w:pPr>
              <w:spacing w:line="276" w:lineRule="auto"/>
              <w:rPr>
                <w:rFonts w:asciiTheme="majorHAnsi" w:hAnsiTheme="majorHAnsi" w:cstheme="minorHAnsi"/>
              </w:rPr>
            </w:pPr>
            <w:r>
              <w:rPr>
                <w:rFonts w:asciiTheme="majorHAnsi" w:hAnsiTheme="majorHAnsi" w:cstheme="minorHAnsi"/>
              </w:rPr>
              <w:t xml:space="preserve">Raport privind acordarea </w:t>
            </w:r>
            <w:r w:rsidR="00475A44" w:rsidRPr="00381DA2">
              <w:rPr>
                <w:rFonts w:asciiTheme="majorHAnsi" w:hAnsiTheme="majorHAnsi" w:cstheme="minorHAnsi"/>
              </w:rPr>
              <w:t>asistenței juridice garantate de stat</w:t>
            </w:r>
            <w:r w:rsidR="004B12EE" w:rsidRPr="00381DA2">
              <w:rPr>
                <w:rFonts w:asciiTheme="majorHAnsi" w:hAnsiTheme="majorHAnsi" w:cstheme="minorHAnsi"/>
              </w:rPr>
              <w:t xml:space="preserve"> elaborat de avocați contractați de OT</w:t>
            </w:r>
          </w:p>
        </w:tc>
      </w:tr>
      <w:tr w:rsidR="00775A3E" w:rsidRPr="00381DA2" w14:paraId="09B62335" w14:textId="77777777" w:rsidTr="002B5723">
        <w:tc>
          <w:tcPr>
            <w:tcW w:w="2520" w:type="dxa"/>
          </w:tcPr>
          <w:p w14:paraId="0120D46C" w14:textId="77777777" w:rsidR="00775A3E" w:rsidRPr="00381DA2" w:rsidRDefault="00775A3E"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CPP</w:t>
            </w:r>
          </w:p>
        </w:tc>
        <w:tc>
          <w:tcPr>
            <w:tcW w:w="6840" w:type="dxa"/>
          </w:tcPr>
          <w:p w14:paraId="6381E835" w14:textId="77777777" w:rsidR="00775A3E" w:rsidRPr="00381DA2" w:rsidRDefault="00775A3E" w:rsidP="003A66EF">
            <w:pPr>
              <w:spacing w:line="276" w:lineRule="auto"/>
              <w:rPr>
                <w:rFonts w:asciiTheme="majorHAnsi" w:hAnsiTheme="majorHAnsi" w:cstheme="minorHAnsi"/>
              </w:rPr>
            </w:pPr>
            <w:r w:rsidRPr="00381DA2">
              <w:rPr>
                <w:rFonts w:asciiTheme="majorHAnsi" w:hAnsiTheme="majorHAnsi" w:cstheme="minorHAnsi"/>
              </w:rPr>
              <w:t>Cod</w:t>
            </w:r>
            <w:r w:rsidR="00C5031A">
              <w:rPr>
                <w:rFonts w:asciiTheme="majorHAnsi" w:hAnsiTheme="majorHAnsi" w:cstheme="minorHAnsi"/>
              </w:rPr>
              <w:t>ul</w:t>
            </w:r>
            <w:r w:rsidRPr="00381DA2">
              <w:rPr>
                <w:rFonts w:asciiTheme="majorHAnsi" w:hAnsiTheme="majorHAnsi" w:cstheme="minorHAnsi"/>
              </w:rPr>
              <w:t xml:space="preserve"> de procedură penală</w:t>
            </w:r>
          </w:p>
        </w:tc>
      </w:tr>
      <w:tr w:rsidR="00775A3E" w:rsidRPr="00381DA2" w14:paraId="4F9AFFEF" w14:textId="77777777" w:rsidTr="002B5723">
        <w:tc>
          <w:tcPr>
            <w:tcW w:w="2520" w:type="dxa"/>
          </w:tcPr>
          <w:p w14:paraId="2B71610D" w14:textId="77777777" w:rsidR="00775A3E" w:rsidRPr="00381DA2" w:rsidRDefault="00775A3E" w:rsidP="003A66EF">
            <w:pPr>
              <w:tabs>
                <w:tab w:val="left" w:pos="450"/>
                <w:tab w:val="left" w:pos="3600"/>
              </w:tabs>
              <w:spacing w:line="276" w:lineRule="auto"/>
              <w:ind w:right="9"/>
              <w:rPr>
                <w:rFonts w:asciiTheme="majorHAnsi" w:eastAsia="Times New Roman" w:hAnsiTheme="majorHAnsi" w:cstheme="minorHAnsi"/>
                <w:b/>
              </w:rPr>
            </w:pPr>
            <w:r w:rsidRPr="00381DA2">
              <w:rPr>
                <w:rFonts w:asciiTheme="majorHAnsi" w:eastAsia="Times New Roman" w:hAnsiTheme="majorHAnsi" w:cstheme="minorHAnsi"/>
                <w:b/>
              </w:rPr>
              <w:t>CP</w:t>
            </w:r>
          </w:p>
        </w:tc>
        <w:tc>
          <w:tcPr>
            <w:tcW w:w="6840" w:type="dxa"/>
          </w:tcPr>
          <w:p w14:paraId="37A4FD6D" w14:textId="77777777" w:rsidR="00775A3E" w:rsidRPr="00381DA2" w:rsidRDefault="00775A3E" w:rsidP="003A66EF">
            <w:pPr>
              <w:spacing w:line="276" w:lineRule="auto"/>
              <w:rPr>
                <w:rFonts w:asciiTheme="majorHAnsi" w:hAnsiTheme="majorHAnsi" w:cstheme="minorHAnsi"/>
              </w:rPr>
            </w:pPr>
            <w:r w:rsidRPr="00381DA2">
              <w:rPr>
                <w:rFonts w:asciiTheme="majorHAnsi" w:hAnsiTheme="majorHAnsi" w:cstheme="minorHAnsi"/>
              </w:rPr>
              <w:t>Cod</w:t>
            </w:r>
            <w:r w:rsidR="00C5031A">
              <w:rPr>
                <w:rFonts w:asciiTheme="majorHAnsi" w:hAnsiTheme="majorHAnsi" w:cstheme="minorHAnsi"/>
              </w:rPr>
              <w:t>ul</w:t>
            </w:r>
            <w:r w:rsidRPr="00381DA2">
              <w:rPr>
                <w:rFonts w:asciiTheme="majorHAnsi" w:hAnsiTheme="majorHAnsi" w:cstheme="minorHAnsi"/>
              </w:rPr>
              <w:t xml:space="preserve"> penal</w:t>
            </w:r>
          </w:p>
        </w:tc>
      </w:tr>
      <w:tr w:rsidR="007427CD" w:rsidRPr="00381DA2" w14:paraId="3D21C37C" w14:textId="77777777" w:rsidTr="002B5723">
        <w:tc>
          <w:tcPr>
            <w:tcW w:w="2520" w:type="dxa"/>
          </w:tcPr>
          <w:p w14:paraId="08595CA7" w14:textId="77777777" w:rsidR="007427CD" w:rsidRPr="00381DA2" w:rsidRDefault="007427CD" w:rsidP="003A66EF">
            <w:pPr>
              <w:tabs>
                <w:tab w:val="left" w:pos="450"/>
                <w:tab w:val="left" w:pos="3600"/>
              </w:tabs>
              <w:spacing w:line="276" w:lineRule="auto"/>
              <w:ind w:right="9"/>
              <w:rPr>
                <w:rFonts w:asciiTheme="majorHAnsi" w:eastAsia="Times New Roman" w:hAnsiTheme="majorHAnsi" w:cstheme="minorHAnsi"/>
                <w:b/>
              </w:rPr>
            </w:pPr>
            <w:r>
              <w:rPr>
                <w:rFonts w:asciiTheme="majorHAnsi" w:eastAsia="Times New Roman" w:hAnsiTheme="majorHAnsi" w:cstheme="minorHAnsi"/>
                <w:b/>
              </w:rPr>
              <w:t>CIM</w:t>
            </w:r>
          </w:p>
        </w:tc>
        <w:tc>
          <w:tcPr>
            <w:tcW w:w="6840" w:type="dxa"/>
          </w:tcPr>
          <w:p w14:paraId="67442A90" w14:textId="77777777" w:rsidR="007427CD" w:rsidRPr="00381DA2" w:rsidRDefault="007427CD" w:rsidP="003A66EF">
            <w:pPr>
              <w:spacing w:line="276" w:lineRule="auto"/>
              <w:rPr>
                <w:rFonts w:asciiTheme="majorHAnsi" w:hAnsiTheme="majorHAnsi" w:cstheme="minorHAnsi"/>
              </w:rPr>
            </w:pPr>
            <w:r>
              <w:rPr>
                <w:rFonts w:asciiTheme="majorHAnsi" w:hAnsiTheme="majorHAnsi" w:cstheme="minorHAnsi"/>
              </w:rPr>
              <w:t>Control</w:t>
            </w:r>
            <w:r w:rsidR="00C5031A">
              <w:rPr>
                <w:rFonts w:asciiTheme="majorHAnsi" w:hAnsiTheme="majorHAnsi" w:cstheme="minorHAnsi"/>
              </w:rPr>
              <w:t>ul</w:t>
            </w:r>
            <w:r>
              <w:rPr>
                <w:rFonts w:asciiTheme="majorHAnsi" w:hAnsiTheme="majorHAnsi" w:cstheme="minorHAnsi"/>
              </w:rPr>
              <w:t xml:space="preserve"> intern managerial</w:t>
            </w:r>
          </w:p>
        </w:tc>
      </w:tr>
    </w:tbl>
    <w:p w14:paraId="53553879" w14:textId="77777777" w:rsidR="002C1DE7" w:rsidRPr="00381DA2" w:rsidRDefault="002C1DE7" w:rsidP="003A66EF">
      <w:pPr>
        <w:pStyle w:val="Heading1"/>
        <w:spacing w:after="120" w:line="276" w:lineRule="auto"/>
        <w:rPr>
          <w:rFonts w:cstheme="minorHAnsi"/>
          <w:b/>
          <w:color w:val="1F4E79" w:themeColor="accent1" w:themeShade="80"/>
          <w:sz w:val="24"/>
          <w:szCs w:val="24"/>
          <w:lang w:val="ro-MD"/>
        </w:rPr>
      </w:pPr>
      <w:bookmarkStart w:id="6" w:name="_Toc76377756"/>
      <w:bookmarkStart w:id="7" w:name="_Toc128640798"/>
      <w:r w:rsidRPr="00381DA2">
        <w:rPr>
          <w:rFonts w:cstheme="minorHAnsi"/>
          <w:b/>
          <w:color w:val="1F4E79" w:themeColor="accent1" w:themeShade="80"/>
          <w:sz w:val="24"/>
          <w:szCs w:val="24"/>
          <w:lang w:val="ro-MD"/>
        </w:rPr>
        <w:t>GLOSAR</w:t>
      </w:r>
      <w:bookmarkEnd w:id="6"/>
      <w:bookmarkEnd w:id="7"/>
    </w:p>
    <w:p w14:paraId="07645E4A" w14:textId="77777777" w:rsidR="00E95BC8" w:rsidRPr="00381DA2" w:rsidRDefault="008F0151" w:rsidP="001F530A">
      <w:pPr>
        <w:spacing w:after="8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i/>
          <w:iCs/>
          <w:sz w:val="24"/>
          <w:szCs w:val="24"/>
        </w:rPr>
        <w:t>asistență</w:t>
      </w:r>
      <w:r w:rsidR="00CD5FF5" w:rsidRPr="00381DA2">
        <w:rPr>
          <w:rFonts w:asciiTheme="majorHAnsi" w:eastAsia="Times New Roman" w:hAnsiTheme="majorHAnsi" w:cstheme="minorHAnsi"/>
          <w:i/>
          <w:iCs/>
          <w:sz w:val="24"/>
          <w:szCs w:val="24"/>
        </w:rPr>
        <w:t xml:space="preserve"> juridică garantată de stat</w:t>
      </w:r>
      <w:r w:rsidR="00CD5FF5" w:rsidRPr="00381DA2">
        <w:rPr>
          <w:rFonts w:asciiTheme="majorHAnsi" w:eastAsia="Times New Roman" w:hAnsiTheme="majorHAnsi" w:cstheme="minorHAnsi"/>
          <w:sz w:val="24"/>
          <w:szCs w:val="24"/>
        </w:rPr>
        <w:t xml:space="preserve"> – </w:t>
      </w:r>
      <w:r w:rsidR="00C5031A" w:rsidRPr="00381DA2">
        <w:rPr>
          <w:rFonts w:asciiTheme="majorHAnsi" w:eastAsia="Times New Roman" w:hAnsiTheme="majorHAnsi" w:cstheme="minorHAnsi"/>
          <w:sz w:val="24"/>
          <w:szCs w:val="24"/>
        </w:rPr>
        <w:t xml:space="preserve">servicii juridice </w:t>
      </w:r>
      <w:r w:rsidR="00C5031A">
        <w:rPr>
          <w:rFonts w:asciiTheme="majorHAnsi" w:eastAsia="Times New Roman" w:hAnsiTheme="majorHAnsi" w:cstheme="minorHAnsi"/>
          <w:sz w:val="24"/>
          <w:szCs w:val="24"/>
        </w:rPr>
        <w:t xml:space="preserve">acordate </w:t>
      </w:r>
      <w:r w:rsidR="00C5031A" w:rsidRPr="00381DA2">
        <w:rPr>
          <w:rFonts w:asciiTheme="majorHAnsi" w:eastAsia="Times New Roman" w:hAnsiTheme="majorHAnsi" w:cstheme="minorHAnsi"/>
          <w:sz w:val="24"/>
          <w:szCs w:val="24"/>
        </w:rPr>
        <w:t>din contul mijloacelor destinate unor astfel de servicii persoanelor care nu dispun de suficiente mijloace financiare pentru plata lor și care întrunesc condițiile stipulate în lege;</w:t>
      </w:r>
    </w:p>
    <w:p w14:paraId="3081F8AD" w14:textId="77777777" w:rsidR="00CD5FF5" w:rsidRPr="00381DA2" w:rsidRDefault="008F0151" w:rsidP="001F530A">
      <w:pPr>
        <w:spacing w:after="8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i/>
          <w:iCs/>
          <w:sz w:val="24"/>
          <w:szCs w:val="24"/>
        </w:rPr>
        <w:t>asistență</w:t>
      </w:r>
      <w:r w:rsidR="00CD5FF5" w:rsidRPr="00381DA2">
        <w:rPr>
          <w:rFonts w:asciiTheme="majorHAnsi" w:eastAsia="Times New Roman" w:hAnsiTheme="majorHAnsi" w:cstheme="minorHAnsi"/>
          <w:i/>
          <w:iCs/>
          <w:sz w:val="24"/>
          <w:szCs w:val="24"/>
        </w:rPr>
        <w:t xml:space="preserve"> juridică primară</w:t>
      </w:r>
      <w:r w:rsidR="00CD5FF5" w:rsidRPr="00381DA2">
        <w:rPr>
          <w:rFonts w:asciiTheme="majorHAnsi" w:eastAsia="Times New Roman" w:hAnsiTheme="majorHAnsi" w:cstheme="minorHAnsi"/>
          <w:sz w:val="24"/>
          <w:szCs w:val="24"/>
        </w:rPr>
        <w:t xml:space="preserve"> – furnizare de </w:t>
      </w:r>
      <w:r w:rsidRPr="00381DA2">
        <w:rPr>
          <w:rFonts w:asciiTheme="majorHAnsi" w:eastAsia="Times New Roman" w:hAnsiTheme="majorHAnsi" w:cstheme="minorHAnsi"/>
          <w:sz w:val="24"/>
          <w:szCs w:val="24"/>
        </w:rPr>
        <w:t>informații</w:t>
      </w:r>
      <w:r w:rsidR="00CD5FF5" w:rsidRPr="00381DA2">
        <w:rPr>
          <w:rFonts w:asciiTheme="majorHAnsi" w:eastAsia="Times New Roman" w:hAnsiTheme="majorHAnsi" w:cstheme="minorHAnsi"/>
          <w:sz w:val="24"/>
          <w:szCs w:val="24"/>
        </w:rPr>
        <w:t xml:space="preserve"> privind sistemul de drept al Republicii Moldova, privind actele normative în vigoare, drepturile </w:t>
      </w:r>
      <w:r w:rsidRPr="00381DA2">
        <w:rPr>
          <w:rFonts w:asciiTheme="majorHAnsi" w:eastAsia="Times New Roman" w:hAnsiTheme="majorHAnsi" w:cstheme="minorHAnsi"/>
          <w:sz w:val="24"/>
          <w:szCs w:val="24"/>
        </w:rPr>
        <w:t>și</w:t>
      </w:r>
      <w:r w:rsidR="00CD5FF5" w:rsidRPr="00381DA2">
        <w:rPr>
          <w:rFonts w:asciiTheme="majorHAnsi" w:eastAsia="Times New Roman" w:hAnsiTheme="majorHAnsi" w:cstheme="minorHAnsi"/>
          <w:sz w:val="24"/>
          <w:szCs w:val="24"/>
        </w:rPr>
        <w:t xml:space="preserve"> </w:t>
      </w:r>
      <w:r w:rsidRPr="00381DA2">
        <w:rPr>
          <w:rFonts w:asciiTheme="majorHAnsi" w:eastAsia="Times New Roman" w:hAnsiTheme="majorHAnsi" w:cstheme="minorHAnsi"/>
          <w:sz w:val="24"/>
          <w:szCs w:val="24"/>
        </w:rPr>
        <w:t>obligațiile</w:t>
      </w:r>
      <w:r w:rsidR="00CD5FF5" w:rsidRPr="00381DA2">
        <w:rPr>
          <w:rFonts w:asciiTheme="majorHAnsi" w:eastAsia="Times New Roman" w:hAnsiTheme="majorHAnsi" w:cstheme="minorHAnsi"/>
          <w:sz w:val="24"/>
          <w:szCs w:val="24"/>
        </w:rPr>
        <w:t xml:space="preserve"> </w:t>
      </w:r>
      <w:r w:rsidRPr="00381DA2">
        <w:rPr>
          <w:rFonts w:asciiTheme="majorHAnsi" w:eastAsia="Times New Roman" w:hAnsiTheme="majorHAnsi" w:cstheme="minorHAnsi"/>
          <w:sz w:val="24"/>
          <w:szCs w:val="24"/>
        </w:rPr>
        <w:t>subiecților</w:t>
      </w:r>
      <w:r w:rsidR="00CD5FF5" w:rsidRPr="00381DA2">
        <w:rPr>
          <w:rFonts w:asciiTheme="majorHAnsi" w:eastAsia="Times New Roman" w:hAnsiTheme="majorHAnsi" w:cstheme="minorHAnsi"/>
          <w:sz w:val="24"/>
          <w:szCs w:val="24"/>
        </w:rPr>
        <w:t xml:space="preserve"> de drept, privind modalitatea de realizare </w:t>
      </w:r>
      <w:r w:rsidRPr="00381DA2">
        <w:rPr>
          <w:rFonts w:asciiTheme="majorHAnsi" w:eastAsia="Times New Roman" w:hAnsiTheme="majorHAnsi" w:cstheme="minorHAnsi"/>
          <w:sz w:val="24"/>
          <w:szCs w:val="24"/>
        </w:rPr>
        <w:t>și</w:t>
      </w:r>
      <w:r w:rsidR="00CD5FF5" w:rsidRPr="00381DA2">
        <w:rPr>
          <w:rFonts w:asciiTheme="majorHAnsi" w:eastAsia="Times New Roman" w:hAnsiTheme="majorHAnsi" w:cstheme="minorHAnsi"/>
          <w:sz w:val="24"/>
          <w:szCs w:val="24"/>
        </w:rPr>
        <w:t xml:space="preserve"> de valorificare a drepturilor pe cale judiciară </w:t>
      </w:r>
      <w:r w:rsidRPr="00381DA2">
        <w:rPr>
          <w:rFonts w:asciiTheme="majorHAnsi" w:eastAsia="Times New Roman" w:hAnsiTheme="majorHAnsi" w:cstheme="minorHAnsi"/>
          <w:sz w:val="24"/>
          <w:szCs w:val="24"/>
        </w:rPr>
        <w:t>și</w:t>
      </w:r>
      <w:r w:rsidR="00CD5FF5" w:rsidRPr="00381DA2">
        <w:rPr>
          <w:rFonts w:asciiTheme="majorHAnsi" w:eastAsia="Times New Roman" w:hAnsiTheme="majorHAnsi" w:cstheme="minorHAnsi"/>
          <w:sz w:val="24"/>
          <w:szCs w:val="24"/>
        </w:rPr>
        <w:t xml:space="preserve"> extrajudiciară; acordare de </w:t>
      </w:r>
      <w:r w:rsidRPr="00381DA2">
        <w:rPr>
          <w:rFonts w:asciiTheme="majorHAnsi" w:eastAsia="Times New Roman" w:hAnsiTheme="majorHAnsi" w:cstheme="minorHAnsi"/>
          <w:sz w:val="24"/>
          <w:szCs w:val="24"/>
        </w:rPr>
        <w:t>consultanță</w:t>
      </w:r>
      <w:r w:rsidR="00CD5FF5" w:rsidRPr="00381DA2">
        <w:rPr>
          <w:rFonts w:asciiTheme="majorHAnsi" w:eastAsia="Times New Roman" w:hAnsiTheme="majorHAnsi" w:cstheme="minorHAnsi"/>
          <w:sz w:val="24"/>
          <w:szCs w:val="24"/>
        </w:rPr>
        <w:t xml:space="preserve"> în probleme juridice; acordare de </w:t>
      </w:r>
      <w:r w:rsidRPr="00381DA2">
        <w:rPr>
          <w:rFonts w:asciiTheme="majorHAnsi" w:eastAsia="Times New Roman" w:hAnsiTheme="majorHAnsi" w:cstheme="minorHAnsi"/>
          <w:sz w:val="24"/>
          <w:szCs w:val="24"/>
        </w:rPr>
        <w:t>asistență</w:t>
      </w:r>
      <w:r w:rsidR="00CD5FF5" w:rsidRPr="00381DA2">
        <w:rPr>
          <w:rFonts w:asciiTheme="majorHAnsi" w:eastAsia="Times New Roman" w:hAnsiTheme="majorHAnsi" w:cstheme="minorHAnsi"/>
          <w:sz w:val="24"/>
          <w:szCs w:val="24"/>
        </w:rPr>
        <w:t xml:space="preserve"> în vederea întocmirii actelor juridice; acordare a altor forme de </w:t>
      </w:r>
      <w:r w:rsidRPr="00381DA2">
        <w:rPr>
          <w:rFonts w:asciiTheme="majorHAnsi" w:eastAsia="Times New Roman" w:hAnsiTheme="majorHAnsi" w:cstheme="minorHAnsi"/>
          <w:sz w:val="24"/>
          <w:szCs w:val="24"/>
        </w:rPr>
        <w:t>asistență</w:t>
      </w:r>
      <w:r w:rsidR="00CD5FF5" w:rsidRPr="00381DA2">
        <w:rPr>
          <w:rFonts w:asciiTheme="majorHAnsi" w:eastAsia="Times New Roman" w:hAnsiTheme="majorHAnsi" w:cstheme="minorHAnsi"/>
          <w:sz w:val="24"/>
          <w:szCs w:val="24"/>
        </w:rPr>
        <w:t xml:space="preserve"> care nu intră în categoria de </w:t>
      </w:r>
      <w:r w:rsidRPr="00381DA2">
        <w:rPr>
          <w:rFonts w:asciiTheme="majorHAnsi" w:eastAsia="Times New Roman" w:hAnsiTheme="majorHAnsi" w:cstheme="minorHAnsi"/>
          <w:sz w:val="24"/>
          <w:szCs w:val="24"/>
        </w:rPr>
        <w:t>asistență</w:t>
      </w:r>
      <w:r w:rsidR="00CD5FF5" w:rsidRPr="00381DA2">
        <w:rPr>
          <w:rFonts w:asciiTheme="majorHAnsi" w:eastAsia="Times New Roman" w:hAnsiTheme="majorHAnsi" w:cstheme="minorHAnsi"/>
          <w:sz w:val="24"/>
          <w:szCs w:val="24"/>
        </w:rPr>
        <w:t xml:space="preserve"> juridică calificată;</w:t>
      </w:r>
    </w:p>
    <w:p w14:paraId="052DDCBE" w14:textId="77777777" w:rsidR="00CD5FF5" w:rsidRPr="00381DA2" w:rsidRDefault="008F0151" w:rsidP="001F530A">
      <w:pPr>
        <w:spacing w:after="8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i/>
          <w:iCs/>
          <w:sz w:val="24"/>
          <w:szCs w:val="24"/>
        </w:rPr>
        <w:t>asistență</w:t>
      </w:r>
      <w:r w:rsidR="00CD5FF5" w:rsidRPr="00381DA2">
        <w:rPr>
          <w:rFonts w:asciiTheme="majorHAnsi" w:eastAsia="Times New Roman" w:hAnsiTheme="majorHAnsi" w:cstheme="minorHAnsi"/>
          <w:i/>
          <w:iCs/>
          <w:sz w:val="24"/>
          <w:szCs w:val="24"/>
        </w:rPr>
        <w:t xml:space="preserve"> juridică calificată</w:t>
      </w:r>
      <w:r w:rsidR="00CD5FF5" w:rsidRPr="00381DA2">
        <w:rPr>
          <w:rFonts w:asciiTheme="majorHAnsi" w:eastAsia="Times New Roman" w:hAnsiTheme="majorHAnsi" w:cstheme="minorHAnsi"/>
          <w:sz w:val="24"/>
          <w:szCs w:val="24"/>
        </w:rPr>
        <w:t> </w:t>
      </w:r>
      <w:r w:rsidR="00CD5FF5" w:rsidRPr="00381DA2">
        <w:rPr>
          <w:rFonts w:asciiTheme="majorHAnsi" w:eastAsia="Times New Roman" w:hAnsiTheme="majorHAnsi" w:cstheme="minorHAnsi"/>
          <w:i/>
          <w:iCs/>
          <w:sz w:val="24"/>
          <w:szCs w:val="24"/>
        </w:rPr>
        <w:t>– </w:t>
      </w:r>
      <w:r w:rsidR="00CD5FF5" w:rsidRPr="00381DA2">
        <w:rPr>
          <w:rFonts w:asciiTheme="majorHAnsi" w:eastAsia="Times New Roman" w:hAnsiTheme="majorHAnsi" w:cstheme="minorHAnsi"/>
          <w:sz w:val="24"/>
          <w:szCs w:val="24"/>
        </w:rPr>
        <w:t xml:space="preserve">acordare a serviciilor juridice de </w:t>
      </w:r>
      <w:r w:rsidRPr="00381DA2">
        <w:rPr>
          <w:rFonts w:asciiTheme="majorHAnsi" w:eastAsia="Times New Roman" w:hAnsiTheme="majorHAnsi" w:cstheme="minorHAnsi"/>
          <w:sz w:val="24"/>
          <w:szCs w:val="24"/>
        </w:rPr>
        <w:t>consultanță</w:t>
      </w:r>
      <w:r w:rsidR="00CD5FF5" w:rsidRPr="00381DA2">
        <w:rPr>
          <w:rFonts w:asciiTheme="majorHAnsi" w:eastAsia="Times New Roman" w:hAnsiTheme="majorHAnsi" w:cstheme="minorHAnsi"/>
          <w:sz w:val="24"/>
          <w:szCs w:val="24"/>
        </w:rPr>
        <w:t xml:space="preserve">, reprezentare </w:t>
      </w:r>
      <w:r w:rsidRPr="00381DA2">
        <w:rPr>
          <w:rFonts w:asciiTheme="majorHAnsi" w:eastAsia="Times New Roman" w:hAnsiTheme="majorHAnsi" w:cstheme="minorHAnsi"/>
          <w:sz w:val="24"/>
          <w:szCs w:val="24"/>
        </w:rPr>
        <w:t>și</w:t>
      </w:r>
      <w:r w:rsidR="00CD5FF5" w:rsidRPr="00381DA2">
        <w:rPr>
          <w:rFonts w:asciiTheme="majorHAnsi" w:eastAsia="Times New Roman" w:hAnsiTheme="majorHAnsi" w:cstheme="minorHAnsi"/>
          <w:sz w:val="24"/>
          <w:szCs w:val="24"/>
        </w:rPr>
        <w:t xml:space="preserve">/sau apărare în organele de urmărire penală, în </w:t>
      </w:r>
      <w:r w:rsidRPr="00381DA2">
        <w:rPr>
          <w:rFonts w:asciiTheme="majorHAnsi" w:eastAsia="Times New Roman" w:hAnsiTheme="majorHAnsi" w:cstheme="minorHAnsi"/>
          <w:sz w:val="24"/>
          <w:szCs w:val="24"/>
        </w:rPr>
        <w:t>instanțele</w:t>
      </w:r>
      <w:r w:rsidR="00CD5FF5" w:rsidRPr="00381DA2">
        <w:rPr>
          <w:rFonts w:asciiTheme="majorHAnsi" w:eastAsia="Times New Roman" w:hAnsiTheme="majorHAnsi" w:cstheme="minorHAnsi"/>
          <w:sz w:val="24"/>
          <w:szCs w:val="24"/>
        </w:rPr>
        <w:t xml:space="preserve"> </w:t>
      </w:r>
      <w:r w:rsidRPr="00381DA2">
        <w:rPr>
          <w:rFonts w:asciiTheme="majorHAnsi" w:eastAsia="Times New Roman" w:hAnsiTheme="majorHAnsi" w:cstheme="minorHAnsi"/>
          <w:sz w:val="24"/>
          <w:szCs w:val="24"/>
        </w:rPr>
        <w:t>judecătorești</w:t>
      </w:r>
      <w:r w:rsidR="00CD5FF5" w:rsidRPr="00381DA2">
        <w:rPr>
          <w:rFonts w:asciiTheme="majorHAnsi" w:eastAsia="Times New Roman" w:hAnsiTheme="majorHAnsi" w:cstheme="minorHAnsi"/>
          <w:sz w:val="24"/>
          <w:szCs w:val="24"/>
        </w:rPr>
        <w:t xml:space="preserve"> pe cauze penale, </w:t>
      </w:r>
      <w:r w:rsidRPr="00381DA2">
        <w:rPr>
          <w:rFonts w:asciiTheme="majorHAnsi" w:eastAsia="Times New Roman" w:hAnsiTheme="majorHAnsi" w:cstheme="minorHAnsi"/>
          <w:sz w:val="24"/>
          <w:szCs w:val="24"/>
        </w:rPr>
        <w:t>contravenționale</w:t>
      </w:r>
      <w:r w:rsidR="00CD5FF5" w:rsidRPr="00381DA2">
        <w:rPr>
          <w:rFonts w:asciiTheme="majorHAnsi" w:eastAsia="Times New Roman" w:hAnsiTheme="majorHAnsi" w:cstheme="minorHAnsi"/>
          <w:sz w:val="24"/>
          <w:szCs w:val="24"/>
        </w:rPr>
        <w:t xml:space="preserve">, civile sau de contencios administrativ, reprezentare în </w:t>
      </w:r>
      <w:r w:rsidRPr="00381DA2">
        <w:rPr>
          <w:rFonts w:asciiTheme="majorHAnsi" w:eastAsia="Times New Roman" w:hAnsiTheme="majorHAnsi" w:cstheme="minorHAnsi"/>
          <w:sz w:val="24"/>
          <w:szCs w:val="24"/>
        </w:rPr>
        <w:t>fața</w:t>
      </w:r>
      <w:r w:rsidR="00CD5FF5" w:rsidRPr="00381DA2">
        <w:rPr>
          <w:rFonts w:asciiTheme="majorHAnsi" w:eastAsia="Times New Roman" w:hAnsiTheme="majorHAnsi" w:cstheme="minorHAnsi"/>
          <w:sz w:val="24"/>
          <w:szCs w:val="24"/>
        </w:rPr>
        <w:t xml:space="preserve"> </w:t>
      </w:r>
      <w:r w:rsidRPr="00381DA2">
        <w:rPr>
          <w:rFonts w:asciiTheme="majorHAnsi" w:eastAsia="Times New Roman" w:hAnsiTheme="majorHAnsi" w:cstheme="minorHAnsi"/>
          <w:sz w:val="24"/>
          <w:szCs w:val="24"/>
        </w:rPr>
        <w:t>autorităților</w:t>
      </w:r>
      <w:r w:rsidR="00CD5FF5" w:rsidRPr="00381DA2">
        <w:rPr>
          <w:rFonts w:asciiTheme="majorHAnsi" w:eastAsia="Times New Roman" w:hAnsiTheme="majorHAnsi" w:cstheme="minorHAnsi"/>
          <w:sz w:val="24"/>
          <w:szCs w:val="24"/>
        </w:rPr>
        <w:t xml:space="preserve"> </w:t>
      </w:r>
      <w:r w:rsidRPr="00381DA2">
        <w:rPr>
          <w:rFonts w:asciiTheme="majorHAnsi" w:eastAsia="Times New Roman" w:hAnsiTheme="majorHAnsi" w:cstheme="minorHAnsi"/>
          <w:sz w:val="24"/>
          <w:szCs w:val="24"/>
        </w:rPr>
        <w:t>administrației</w:t>
      </w:r>
      <w:r w:rsidR="00CD5FF5" w:rsidRPr="00381DA2">
        <w:rPr>
          <w:rFonts w:asciiTheme="majorHAnsi" w:eastAsia="Times New Roman" w:hAnsiTheme="majorHAnsi" w:cstheme="minorHAnsi"/>
          <w:sz w:val="24"/>
          <w:szCs w:val="24"/>
        </w:rPr>
        <w:t xml:space="preserve"> publice;</w:t>
      </w:r>
    </w:p>
    <w:p w14:paraId="4B7A1AF9" w14:textId="77777777" w:rsidR="00231DA9" w:rsidRPr="00381DA2" w:rsidRDefault="00CD5FF5" w:rsidP="001F530A">
      <w:pPr>
        <w:spacing w:after="240" w:line="276" w:lineRule="auto"/>
        <w:ind w:right="-3"/>
        <w:jc w:val="both"/>
        <w:rPr>
          <w:rFonts w:asciiTheme="majorHAnsi" w:eastAsia="Times New Roman" w:hAnsiTheme="majorHAnsi" w:cstheme="minorHAnsi"/>
          <w:sz w:val="24"/>
          <w:szCs w:val="24"/>
        </w:rPr>
      </w:pPr>
      <w:r w:rsidRPr="00381DA2">
        <w:rPr>
          <w:rFonts w:asciiTheme="majorHAnsi" w:eastAsia="Times New Roman" w:hAnsiTheme="majorHAnsi" w:cstheme="minorHAnsi"/>
          <w:i/>
          <w:iCs/>
          <w:sz w:val="24"/>
          <w:szCs w:val="24"/>
        </w:rPr>
        <w:t>avocat public</w:t>
      </w:r>
      <w:r w:rsidRPr="00381DA2">
        <w:rPr>
          <w:rFonts w:asciiTheme="majorHAnsi" w:eastAsia="Times New Roman" w:hAnsiTheme="majorHAnsi" w:cstheme="minorHAnsi"/>
          <w:sz w:val="24"/>
          <w:szCs w:val="24"/>
        </w:rPr>
        <w:t xml:space="preserve"> – persoană </w:t>
      </w:r>
      <w:r w:rsidR="008F0151" w:rsidRPr="00381DA2">
        <w:rPr>
          <w:rFonts w:asciiTheme="majorHAnsi" w:eastAsia="Times New Roman" w:hAnsiTheme="majorHAnsi" w:cstheme="minorHAnsi"/>
          <w:sz w:val="24"/>
          <w:szCs w:val="24"/>
        </w:rPr>
        <w:t>având</w:t>
      </w:r>
      <w:r w:rsidRPr="00381DA2">
        <w:rPr>
          <w:rFonts w:asciiTheme="majorHAnsi" w:eastAsia="Times New Roman" w:hAnsiTheme="majorHAnsi" w:cstheme="minorHAnsi"/>
          <w:sz w:val="24"/>
          <w:szCs w:val="24"/>
        </w:rPr>
        <w:t xml:space="preserve"> dreptul de a </w:t>
      </w:r>
      <w:r w:rsidR="008F0151" w:rsidRPr="00381DA2">
        <w:rPr>
          <w:rFonts w:asciiTheme="majorHAnsi" w:eastAsia="Times New Roman" w:hAnsiTheme="majorHAnsi" w:cstheme="minorHAnsi"/>
          <w:sz w:val="24"/>
          <w:szCs w:val="24"/>
        </w:rPr>
        <w:t>desfășura</w:t>
      </w:r>
      <w:r w:rsidRPr="00381DA2">
        <w:rPr>
          <w:rFonts w:asciiTheme="majorHAnsi" w:eastAsia="Times New Roman" w:hAnsiTheme="majorHAnsi" w:cstheme="minorHAnsi"/>
          <w:sz w:val="24"/>
          <w:szCs w:val="24"/>
        </w:rPr>
        <w:t xml:space="preserve"> activitate de avocat în </w:t>
      </w:r>
      <w:r w:rsidR="008F0151" w:rsidRPr="00381DA2">
        <w:rPr>
          <w:rFonts w:asciiTheme="majorHAnsi" w:eastAsia="Times New Roman" w:hAnsiTheme="majorHAnsi" w:cstheme="minorHAnsi"/>
          <w:sz w:val="24"/>
          <w:szCs w:val="24"/>
        </w:rPr>
        <w:t>condițiile</w:t>
      </w:r>
      <w:r w:rsidRPr="00381DA2">
        <w:rPr>
          <w:rFonts w:asciiTheme="majorHAnsi" w:eastAsia="Times New Roman" w:hAnsiTheme="majorHAnsi" w:cstheme="minorHAnsi"/>
          <w:sz w:val="24"/>
          <w:szCs w:val="24"/>
        </w:rPr>
        <w:t xml:space="preserve"> Legii cu privire la avocatură, admis în baza unor criterii de selectare să acorde gratuit sau </w:t>
      </w:r>
      <w:r w:rsidR="008F0151" w:rsidRPr="00381DA2">
        <w:rPr>
          <w:rFonts w:asciiTheme="majorHAnsi" w:eastAsia="Times New Roman" w:hAnsiTheme="majorHAnsi" w:cstheme="minorHAnsi"/>
          <w:sz w:val="24"/>
          <w:szCs w:val="24"/>
        </w:rPr>
        <w:t>parțial</w:t>
      </w:r>
      <w:r w:rsidRPr="00381DA2">
        <w:rPr>
          <w:rFonts w:asciiTheme="majorHAnsi" w:eastAsia="Times New Roman" w:hAnsiTheme="majorHAnsi" w:cstheme="minorHAnsi"/>
          <w:sz w:val="24"/>
          <w:szCs w:val="24"/>
        </w:rPr>
        <w:t xml:space="preserve"> gratuit </w:t>
      </w:r>
      <w:r w:rsidR="008F0151" w:rsidRPr="00381DA2">
        <w:rPr>
          <w:rFonts w:asciiTheme="majorHAnsi" w:eastAsia="Times New Roman" w:hAnsiTheme="majorHAnsi" w:cstheme="minorHAnsi"/>
          <w:sz w:val="24"/>
          <w:szCs w:val="24"/>
        </w:rPr>
        <w:lastRenderedPageBreak/>
        <w:t>asistență</w:t>
      </w:r>
      <w:r w:rsidRPr="00381DA2">
        <w:rPr>
          <w:rFonts w:asciiTheme="majorHAnsi" w:eastAsia="Times New Roman" w:hAnsiTheme="majorHAnsi" w:cstheme="minorHAnsi"/>
          <w:sz w:val="24"/>
          <w:szCs w:val="24"/>
        </w:rPr>
        <w:t xml:space="preserve"> juridică calificată din contul mijloacelor destinate acordării </w:t>
      </w:r>
      <w:r w:rsidR="008F0151" w:rsidRPr="00381DA2">
        <w:rPr>
          <w:rFonts w:asciiTheme="majorHAnsi" w:eastAsia="Times New Roman" w:hAnsiTheme="majorHAnsi" w:cstheme="minorHAnsi"/>
          <w:sz w:val="24"/>
          <w:szCs w:val="24"/>
        </w:rPr>
        <w:t>asistenței</w:t>
      </w:r>
      <w:r w:rsidRPr="00381DA2">
        <w:rPr>
          <w:rFonts w:asciiTheme="majorHAnsi" w:eastAsia="Times New Roman" w:hAnsiTheme="majorHAnsi" w:cstheme="minorHAnsi"/>
          <w:sz w:val="24"/>
          <w:szCs w:val="24"/>
        </w:rPr>
        <w:t xml:space="preserve"> j</w:t>
      </w:r>
      <w:r w:rsidR="00231DA9" w:rsidRPr="00381DA2">
        <w:rPr>
          <w:rFonts w:asciiTheme="majorHAnsi" w:eastAsia="Times New Roman" w:hAnsiTheme="majorHAnsi" w:cstheme="minorHAnsi"/>
          <w:sz w:val="24"/>
          <w:szCs w:val="24"/>
        </w:rPr>
        <w:t>uridice garantate de stat.</w:t>
      </w:r>
    </w:p>
    <w:p w14:paraId="266993E8" w14:textId="77777777" w:rsidR="00415FB2" w:rsidRPr="00381DA2" w:rsidRDefault="00400266" w:rsidP="003A66EF">
      <w:pPr>
        <w:pStyle w:val="Heading1"/>
        <w:numPr>
          <w:ilvl w:val="0"/>
          <w:numId w:val="1"/>
        </w:numPr>
        <w:tabs>
          <w:tab w:val="left" w:pos="3600"/>
          <w:tab w:val="left" w:pos="3780"/>
        </w:tabs>
        <w:spacing w:before="0" w:after="160" w:line="276" w:lineRule="auto"/>
        <w:ind w:left="180" w:hanging="180"/>
        <w:rPr>
          <w:rFonts w:eastAsiaTheme="minorHAnsi" w:cstheme="minorHAnsi"/>
          <w:b/>
          <w:color w:val="1F4E79" w:themeColor="accent1" w:themeShade="80"/>
          <w:sz w:val="28"/>
          <w:szCs w:val="28"/>
          <w:shd w:val="clear" w:color="auto" w:fill="FFFFFF"/>
          <w:lang w:val="ro-MD"/>
        </w:rPr>
      </w:pPr>
      <w:bookmarkStart w:id="8" w:name="_Toc128640799"/>
      <w:r w:rsidRPr="00381DA2">
        <w:rPr>
          <w:rFonts w:eastAsiaTheme="minorHAnsi" w:cstheme="minorHAnsi"/>
          <w:b/>
          <w:color w:val="1F4E79" w:themeColor="accent1" w:themeShade="80"/>
          <w:sz w:val="28"/>
          <w:szCs w:val="28"/>
          <w:shd w:val="clear" w:color="auto" w:fill="FFFFFF"/>
          <w:lang w:val="ro-MD"/>
        </w:rPr>
        <w:t>SINTEZA</w:t>
      </w:r>
      <w:bookmarkEnd w:id="3"/>
      <w:bookmarkEnd w:id="4"/>
      <w:bookmarkEnd w:id="8"/>
    </w:p>
    <w:p w14:paraId="3B5BEFC4" w14:textId="77777777" w:rsidR="00C5031A" w:rsidRPr="00CB72B2" w:rsidRDefault="00C5031A" w:rsidP="00C5031A">
      <w:pPr>
        <w:tabs>
          <w:tab w:val="left" w:pos="720"/>
        </w:tabs>
        <w:spacing w:after="120" w:line="276" w:lineRule="auto"/>
        <w:jc w:val="both"/>
        <w:rPr>
          <w:rFonts w:asciiTheme="majorHAnsi" w:hAnsiTheme="majorHAnsi" w:cstheme="minorHAnsi"/>
          <w:sz w:val="24"/>
          <w:szCs w:val="24"/>
          <w:lang w:bidi="en-US"/>
        </w:rPr>
      </w:pPr>
      <w:r w:rsidRPr="00CB72B2">
        <w:rPr>
          <w:rFonts w:asciiTheme="majorHAnsi" w:hAnsiTheme="majorHAnsi" w:cstheme="minorHAnsi"/>
          <w:sz w:val="24"/>
          <w:szCs w:val="24"/>
        </w:rPr>
        <w:t>Dreptul la asistență juridică este parte indispensabilă a garanțiilor oferite omului</w:t>
      </w:r>
      <w:r>
        <w:rPr>
          <w:rFonts w:asciiTheme="majorHAnsi" w:hAnsiTheme="majorHAnsi" w:cstheme="minorHAnsi"/>
          <w:sz w:val="24"/>
          <w:szCs w:val="24"/>
        </w:rPr>
        <w:t xml:space="preserve"> de către stat</w:t>
      </w:r>
      <w:r w:rsidRPr="00CB72B2">
        <w:rPr>
          <w:rFonts w:asciiTheme="majorHAnsi" w:hAnsiTheme="majorHAnsi" w:cstheme="minorHAnsi"/>
          <w:sz w:val="24"/>
          <w:szCs w:val="24"/>
        </w:rPr>
        <w:t xml:space="preserve"> la un proces judiciar echitabil și</w:t>
      </w:r>
      <w:r>
        <w:rPr>
          <w:rFonts w:asciiTheme="majorHAnsi" w:hAnsiTheme="majorHAnsi" w:cstheme="minorHAnsi"/>
          <w:sz w:val="24"/>
          <w:szCs w:val="24"/>
        </w:rPr>
        <w:t xml:space="preserve"> </w:t>
      </w:r>
      <w:r w:rsidRPr="00CB72B2">
        <w:rPr>
          <w:rFonts w:asciiTheme="majorHAnsi" w:hAnsiTheme="majorHAnsi" w:cstheme="minorHAnsi"/>
          <w:sz w:val="24"/>
          <w:szCs w:val="24"/>
        </w:rPr>
        <w:t xml:space="preserve">reprezintă un drept stabilit de </w:t>
      </w:r>
      <w:r w:rsidRPr="00CB72B2">
        <w:rPr>
          <w:rFonts w:asciiTheme="majorHAnsi" w:hAnsiTheme="majorHAnsi" w:cstheme="majorHAnsi"/>
          <w:i/>
          <w:sz w:val="24"/>
          <w:szCs w:val="24"/>
        </w:rPr>
        <w:t>articolul 6</w:t>
      </w:r>
      <w:r w:rsidRPr="00CB72B2">
        <w:rPr>
          <w:rFonts w:asciiTheme="majorHAnsi" w:hAnsiTheme="majorHAnsi" w:cstheme="minorHAnsi"/>
          <w:sz w:val="24"/>
          <w:szCs w:val="24"/>
        </w:rPr>
        <w:t xml:space="preserve"> </w:t>
      </w:r>
      <w:r w:rsidRPr="00CB72B2">
        <w:rPr>
          <w:rFonts w:asciiTheme="majorHAnsi" w:hAnsiTheme="majorHAnsi" w:cstheme="majorHAnsi"/>
          <w:i/>
          <w:sz w:val="24"/>
          <w:szCs w:val="24"/>
        </w:rPr>
        <w:t>al Convenției europene pentru apărarea drepturilor omului și a libertăților fundamentale,</w:t>
      </w:r>
      <w:r w:rsidRPr="00CB72B2">
        <w:rPr>
          <w:rFonts w:asciiTheme="majorHAnsi" w:hAnsiTheme="majorHAnsi" w:cstheme="minorHAnsi"/>
          <w:sz w:val="24"/>
          <w:szCs w:val="24"/>
        </w:rPr>
        <w:t xml:space="preserve"> precum și de cadrul juridic național specializat, </w:t>
      </w:r>
      <w:r>
        <w:rPr>
          <w:rFonts w:asciiTheme="majorHAnsi" w:hAnsiTheme="majorHAnsi" w:cstheme="minorHAnsi"/>
          <w:sz w:val="24"/>
          <w:szCs w:val="24"/>
        </w:rPr>
        <w:t>a cărui</w:t>
      </w:r>
      <w:r w:rsidRPr="00CB72B2">
        <w:rPr>
          <w:rFonts w:asciiTheme="majorHAnsi" w:hAnsiTheme="majorHAnsi" w:cstheme="minorHAnsi"/>
          <w:sz w:val="24"/>
          <w:szCs w:val="24"/>
        </w:rPr>
        <w:t xml:space="preserve"> armonizare se realizează continuu. </w:t>
      </w:r>
      <w:r w:rsidRPr="00CB72B2">
        <w:rPr>
          <w:rFonts w:asciiTheme="majorHAnsi" w:hAnsiTheme="majorHAnsi" w:cstheme="minorHAnsi"/>
          <w:sz w:val="24"/>
          <w:szCs w:val="24"/>
          <w:lang w:bidi="en-US"/>
        </w:rPr>
        <w:t>Evoluția în dinamică a numărului beneficiari</w:t>
      </w:r>
      <w:r>
        <w:rPr>
          <w:rFonts w:asciiTheme="majorHAnsi" w:hAnsiTheme="majorHAnsi" w:cstheme="minorHAnsi"/>
          <w:sz w:val="24"/>
          <w:szCs w:val="24"/>
          <w:lang w:bidi="en-US"/>
        </w:rPr>
        <w:t xml:space="preserve">lor </w:t>
      </w:r>
      <w:r w:rsidRPr="00CB72B2">
        <w:rPr>
          <w:rFonts w:asciiTheme="majorHAnsi" w:hAnsiTheme="majorHAnsi" w:cstheme="minorHAnsi"/>
          <w:sz w:val="24"/>
          <w:szCs w:val="24"/>
          <w:lang w:bidi="en-US"/>
        </w:rPr>
        <w:t>de asistență juridică garantată de stat</w:t>
      </w:r>
      <w:r>
        <w:rPr>
          <w:rFonts w:asciiTheme="majorHAnsi" w:hAnsiTheme="majorHAnsi" w:cstheme="minorHAnsi"/>
          <w:sz w:val="24"/>
          <w:szCs w:val="24"/>
          <w:lang w:bidi="en-US"/>
        </w:rPr>
        <w:t>,</w:t>
      </w:r>
      <w:r w:rsidRPr="00CB72B2">
        <w:rPr>
          <w:rFonts w:asciiTheme="majorHAnsi" w:hAnsiTheme="majorHAnsi" w:cstheme="minorHAnsi"/>
          <w:sz w:val="24"/>
          <w:szCs w:val="24"/>
          <w:lang w:bidi="en-US"/>
        </w:rPr>
        <w:t xml:space="preserve"> precum și majorarea cuantumului mijloacelor financiare direcționate în scopul finanțării întregului sistem</w:t>
      </w:r>
      <w:r>
        <w:rPr>
          <w:rFonts w:asciiTheme="majorHAnsi" w:hAnsiTheme="majorHAnsi" w:cstheme="minorHAnsi"/>
          <w:sz w:val="24"/>
          <w:szCs w:val="24"/>
          <w:lang w:bidi="en-US"/>
        </w:rPr>
        <w:t xml:space="preserve"> de AJGS indic</w:t>
      </w:r>
      <w:r w:rsidRPr="00CB72B2">
        <w:rPr>
          <w:rFonts w:asciiTheme="majorHAnsi" w:hAnsiTheme="majorHAnsi" w:cstheme="minorHAnsi"/>
          <w:sz w:val="24"/>
          <w:szCs w:val="24"/>
          <w:lang w:bidi="en-US"/>
        </w:rPr>
        <w:t>ă</w:t>
      </w:r>
      <w:r w:rsidRPr="00CB72B2">
        <w:rPr>
          <w:rFonts w:asciiTheme="majorHAnsi" w:eastAsia="Times New Roman" w:hAnsiTheme="majorHAnsi" w:cstheme="minorHAnsi"/>
          <w:sz w:val="24"/>
          <w:szCs w:val="24"/>
        </w:rPr>
        <w:t xml:space="preserve"> implicarea tot mai accentuată a statului în promovarea garanțiilor privind dreptul la apărare gratuit. </w:t>
      </w:r>
    </w:p>
    <w:p w14:paraId="510A0CCA" w14:textId="77777777" w:rsidR="00C5031A" w:rsidRPr="00CB72B2" w:rsidRDefault="00C5031A" w:rsidP="00C5031A">
      <w:pPr>
        <w:tabs>
          <w:tab w:val="left" w:pos="720"/>
        </w:tabs>
        <w:spacing w:after="120" w:line="276" w:lineRule="auto"/>
        <w:jc w:val="both"/>
        <w:rPr>
          <w:rFonts w:asciiTheme="majorHAnsi" w:eastAsiaTheme="minorEastAsia" w:hAnsiTheme="majorHAnsi" w:cstheme="minorHAnsi"/>
          <w:color w:val="000000"/>
          <w:sz w:val="24"/>
          <w:szCs w:val="24"/>
        </w:rPr>
      </w:pPr>
      <w:r w:rsidRPr="00CB72B2">
        <w:rPr>
          <w:rFonts w:asciiTheme="majorHAnsi" w:eastAsiaTheme="minorEastAsia" w:hAnsiTheme="majorHAnsi" w:cstheme="minorHAnsi"/>
          <w:sz w:val="24"/>
          <w:szCs w:val="24"/>
          <w:lang w:eastAsia="ru-RU"/>
        </w:rPr>
        <w:t xml:space="preserve">Aceste premise, </w:t>
      </w:r>
      <w:r w:rsidRPr="001237A0">
        <w:rPr>
          <w:rFonts w:asciiTheme="majorHAnsi" w:eastAsiaTheme="minorEastAsia" w:hAnsiTheme="majorHAnsi" w:cstheme="minorHAnsi"/>
          <w:sz w:val="24"/>
          <w:szCs w:val="24"/>
          <w:lang w:eastAsia="ru-RU"/>
        </w:rPr>
        <w:t xml:space="preserve">dar și interesul sporit al diferitor actori </w:t>
      </w:r>
      <w:r w:rsidRPr="001E07C5">
        <w:rPr>
          <w:rFonts w:asciiTheme="majorHAnsi" w:eastAsiaTheme="minorEastAsia" w:hAnsiTheme="majorHAnsi" w:cstheme="minorHAnsi"/>
          <w:sz w:val="24"/>
          <w:szCs w:val="24"/>
          <w:lang w:eastAsia="ru-RU"/>
        </w:rPr>
        <w:t>față</w:t>
      </w:r>
      <w:r w:rsidRPr="001237A0">
        <w:rPr>
          <w:rFonts w:asciiTheme="majorHAnsi" w:eastAsiaTheme="minorEastAsia" w:hAnsiTheme="majorHAnsi" w:cstheme="minorHAnsi"/>
          <w:sz w:val="24"/>
          <w:szCs w:val="24"/>
          <w:lang w:eastAsia="ru-RU"/>
        </w:rPr>
        <w:t xml:space="preserve"> de aspectele gestionării sistemului de asistență juridică garantată de stat au constituit temeiul pentru stabilirea</w:t>
      </w:r>
      <w:r w:rsidRPr="00CB72B2">
        <w:rPr>
          <w:rFonts w:asciiTheme="majorHAnsi" w:eastAsiaTheme="minorEastAsia" w:hAnsiTheme="majorHAnsi" w:cstheme="minorHAnsi"/>
          <w:sz w:val="24"/>
          <w:szCs w:val="24"/>
          <w:lang w:eastAsia="ru-RU"/>
        </w:rPr>
        <w:t xml:space="preserve"> tematicii respective spre audita</w:t>
      </w:r>
      <w:r>
        <w:rPr>
          <w:rFonts w:asciiTheme="majorHAnsi" w:eastAsiaTheme="minorEastAsia" w:hAnsiTheme="majorHAnsi" w:cstheme="minorHAnsi"/>
          <w:sz w:val="24"/>
          <w:szCs w:val="24"/>
          <w:lang w:eastAsia="ru-RU"/>
        </w:rPr>
        <w:t>r</w:t>
      </w:r>
      <w:r w:rsidRPr="00CB72B2">
        <w:rPr>
          <w:rFonts w:asciiTheme="majorHAnsi" w:eastAsiaTheme="minorEastAsia" w:hAnsiTheme="majorHAnsi" w:cstheme="minorHAnsi"/>
          <w:sz w:val="24"/>
          <w:szCs w:val="24"/>
          <w:lang w:eastAsia="ru-RU"/>
        </w:rPr>
        <w:t xml:space="preserve">e. Prin urmare, </w:t>
      </w:r>
      <w:r w:rsidRPr="00CB72B2">
        <w:rPr>
          <w:rFonts w:asciiTheme="majorHAnsi" w:eastAsiaTheme="minorEastAsia" w:hAnsiTheme="majorHAnsi" w:cstheme="minorHAnsi"/>
          <w:sz w:val="24"/>
          <w:szCs w:val="24"/>
          <w:lang w:bidi="en-US"/>
        </w:rPr>
        <w:t>Curtea de Conturi, în conformitate cu Program</w:t>
      </w:r>
      <w:r>
        <w:rPr>
          <w:rFonts w:asciiTheme="majorHAnsi" w:eastAsiaTheme="minorEastAsia" w:hAnsiTheme="majorHAnsi" w:cstheme="minorHAnsi"/>
          <w:sz w:val="24"/>
          <w:szCs w:val="24"/>
          <w:lang w:bidi="en-US"/>
        </w:rPr>
        <w:t>ele</w:t>
      </w:r>
      <w:r w:rsidRPr="00CB72B2">
        <w:rPr>
          <w:rFonts w:asciiTheme="majorHAnsi" w:eastAsiaTheme="minorEastAsia" w:hAnsiTheme="majorHAnsi" w:cstheme="minorHAnsi"/>
          <w:sz w:val="24"/>
          <w:szCs w:val="24"/>
          <w:lang w:bidi="en-US"/>
        </w:rPr>
        <w:t xml:space="preserve"> activității de audit pe an</w:t>
      </w:r>
      <w:r>
        <w:rPr>
          <w:rFonts w:asciiTheme="majorHAnsi" w:eastAsiaTheme="minorEastAsia" w:hAnsiTheme="majorHAnsi" w:cstheme="minorHAnsi"/>
          <w:sz w:val="24"/>
          <w:szCs w:val="24"/>
          <w:lang w:bidi="en-US"/>
        </w:rPr>
        <w:t xml:space="preserve">ii </w:t>
      </w:r>
      <w:r w:rsidRPr="00CB72B2">
        <w:rPr>
          <w:rFonts w:asciiTheme="majorHAnsi" w:eastAsiaTheme="minorEastAsia" w:hAnsiTheme="majorHAnsi" w:cstheme="minorHAnsi"/>
          <w:sz w:val="24"/>
          <w:szCs w:val="24"/>
          <w:lang w:bidi="en-US"/>
        </w:rPr>
        <w:t xml:space="preserve"> 2022</w:t>
      </w:r>
      <w:r w:rsidRPr="00CB72B2">
        <w:rPr>
          <w:rFonts w:asciiTheme="majorHAnsi" w:eastAsiaTheme="minorEastAsia" w:hAnsiTheme="majorHAnsi" w:cstheme="minorHAnsi"/>
          <w:sz w:val="24"/>
          <w:szCs w:val="24"/>
          <w:vertAlign w:val="superscript"/>
          <w:lang w:bidi="en-US"/>
        </w:rPr>
        <w:footnoteReference w:id="1"/>
      </w:r>
      <w:r w:rsidRPr="00CB72B2">
        <w:rPr>
          <w:rFonts w:asciiTheme="majorHAnsi" w:eastAsiaTheme="minorEastAsia" w:hAnsiTheme="majorHAnsi" w:cstheme="minorHAnsi"/>
          <w:sz w:val="24"/>
          <w:szCs w:val="24"/>
          <w:lang w:bidi="en-US"/>
        </w:rPr>
        <w:t xml:space="preserve"> și</w:t>
      </w:r>
      <w:r>
        <w:rPr>
          <w:rFonts w:asciiTheme="majorHAnsi" w:eastAsiaTheme="minorEastAsia" w:hAnsiTheme="majorHAnsi" w:cstheme="minorHAnsi"/>
          <w:sz w:val="24"/>
          <w:szCs w:val="24"/>
          <w:lang w:bidi="en-US"/>
        </w:rPr>
        <w:t>, respectiv,</w:t>
      </w:r>
      <w:r w:rsidRPr="00CB72B2">
        <w:rPr>
          <w:rFonts w:asciiTheme="majorHAnsi" w:eastAsiaTheme="minorEastAsia" w:hAnsiTheme="majorHAnsi" w:cstheme="minorHAnsi"/>
          <w:sz w:val="24"/>
          <w:szCs w:val="24"/>
          <w:lang w:bidi="en-US"/>
        </w:rPr>
        <w:t xml:space="preserve"> 2023</w:t>
      </w:r>
      <w:r>
        <w:rPr>
          <w:rStyle w:val="FootnoteReference"/>
          <w:rFonts w:asciiTheme="majorHAnsi" w:eastAsiaTheme="minorEastAsia" w:hAnsiTheme="majorHAnsi" w:cstheme="minorHAnsi"/>
          <w:sz w:val="24"/>
          <w:szCs w:val="24"/>
          <w:lang w:bidi="en-US"/>
        </w:rPr>
        <w:footnoteReference w:id="2"/>
      </w:r>
      <w:r>
        <w:rPr>
          <w:rFonts w:asciiTheme="majorHAnsi" w:eastAsiaTheme="minorEastAsia" w:hAnsiTheme="majorHAnsi" w:cstheme="minorHAnsi"/>
          <w:sz w:val="24"/>
          <w:szCs w:val="24"/>
          <w:lang w:bidi="en-US"/>
        </w:rPr>
        <w:t>,</w:t>
      </w:r>
      <w:r w:rsidRPr="00CB72B2">
        <w:rPr>
          <w:rFonts w:asciiTheme="majorHAnsi" w:eastAsiaTheme="minorEastAsia" w:hAnsiTheme="majorHAnsi" w:cstheme="minorHAnsi"/>
          <w:sz w:val="24"/>
          <w:szCs w:val="24"/>
          <w:lang w:bidi="en-US"/>
        </w:rPr>
        <w:t xml:space="preserve"> a efectuat a</w:t>
      </w:r>
      <w:r w:rsidRPr="00CB72B2">
        <w:rPr>
          <w:rFonts w:asciiTheme="majorHAnsi" w:eastAsiaTheme="minorEastAsia" w:hAnsiTheme="majorHAnsi" w:cstheme="minorHAnsi"/>
          <w:color w:val="000000"/>
          <w:sz w:val="24"/>
          <w:szCs w:val="24"/>
        </w:rPr>
        <w:t xml:space="preserve">uditul </w:t>
      </w:r>
      <w:r w:rsidRPr="00905DD3">
        <w:rPr>
          <w:rFonts w:asciiTheme="majorHAnsi" w:eastAsiaTheme="minorEastAsia" w:hAnsiTheme="majorHAnsi" w:cstheme="minorHAnsi"/>
          <w:color w:val="000000"/>
          <w:sz w:val="24"/>
          <w:szCs w:val="24"/>
        </w:rPr>
        <w:t>conformității asupra utilizării resurselor financiare publice alocate pentru administrarea sistemului de acordare a asistenței juridice garantate de stat în ani</w:t>
      </w:r>
      <w:r>
        <w:rPr>
          <w:rFonts w:asciiTheme="majorHAnsi" w:eastAsiaTheme="minorEastAsia" w:hAnsiTheme="majorHAnsi" w:cstheme="minorHAnsi"/>
          <w:color w:val="000000"/>
          <w:sz w:val="24"/>
          <w:szCs w:val="24"/>
        </w:rPr>
        <w:t>i</w:t>
      </w:r>
      <w:r w:rsidRPr="00905DD3">
        <w:rPr>
          <w:rFonts w:asciiTheme="majorHAnsi" w:eastAsiaTheme="minorEastAsia" w:hAnsiTheme="majorHAnsi" w:cstheme="minorHAnsi"/>
          <w:color w:val="000000"/>
          <w:sz w:val="24"/>
          <w:szCs w:val="24"/>
        </w:rPr>
        <w:t xml:space="preserve"> 2020-2022</w:t>
      </w:r>
      <w:r w:rsidRPr="00CB72B2">
        <w:rPr>
          <w:rFonts w:asciiTheme="majorHAnsi" w:eastAsiaTheme="minorEastAsia" w:hAnsiTheme="majorHAnsi" w:cstheme="minorHAnsi"/>
          <w:color w:val="000000"/>
          <w:sz w:val="24"/>
          <w:szCs w:val="24"/>
        </w:rPr>
        <w:t>.</w:t>
      </w:r>
    </w:p>
    <w:p w14:paraId="09999261" w14:textId="77777777" w:rsidR="00E82123" w:rsidRPr="0067411D" w:rsidRDefault="00C5031A" w:rsidP="00E82123">
      <w:pPr>
        <w:tabs>
          <w:tab w:val="left" w:pos="720"/>
        </w:tabs>
        <w:spacing w:after="120" w:line="276" w:lineRule="auto"/>
        <w:jc w:val="both"/>
        <w:rPr>
          <w:rFonts w:asciiTheme="majorHAnsi" w:hAnsiTheme="majorHAnsi" w:cstheme="minorHAnsi"/>
          <w:sz w:val="24"/>
          <w:szCs w:val="24"/>
          <w:lang w:bidi="en-US"/>
        </w:rPr>
      </w:pPr>
      <w:r w:rsidRPr="00CB72B2">
        <w:rPr>
          <w:rFonts w:asciiTheme="majorHAnsi" w:hAnsiTheme="majorHAnsi" w:cstheme="minorHAnsi"/>
          <w:sz w:val="24"/>
          <w:szCs w:val="24"/>
          <w:lang w:bidi="en-US"/>
        </w:rPr>
        <w:t xml:space="preserve">Analiza per ansamblu a constatărilor de audit, expuse în </w:t>
      </w:r>
      <w:r w:rsidRPr="0067411D">
        <w:rPr>
          <w:rFonts w:asciiTheme="majorHAnsi" w:hAnsiTheme="majorHAnsi" w:cstheme="minorHAnsi"/>
          <w:sz w:val="24"/>
          <w:szCs w:val="24"/>
          <w:lang w:bidi="en-US"/>
        </w:rPr>
        <w:t>prezentul Raport, relevă că, deși entitățile responsabile de elaborarea, promovarea și implementarea politicilor în domeniul AJGS au depus eforturi în vederea consolidării acestui</w:t>
      </w:r>
      <w:r>
        <w:rPr>
          <w:rFonts w:asciiTheme="majorHAnsi" w:hAnsiTheme="majorHAnsi" w:cstheme="minorHAnsi"/>
          <w:sz w:val="24"/>
          <w:szCs w:val="24"/>
          <w:lang w:bidi="en-US"/>
        </w:rPr>
        <w:t xml:space="preserve"> sistem</w:t>
      </w:r>
      <w:r w:rsidRPr="0067411D">
        <w:rPr>
          <w:rFonts w:asciiTheme="majorHAnsi" w:hAnsiTheme="majorHAnsi" w:cstheme="minorHAnsi"/>
          <w:sz w:val="24"/>
          <w:szCs w:val="24"/>
          <w:lang w:bidi="en-US"/>
        </w:rPr>
        <w:t xml:space="preserve">, totuși se constată </w:t>
      </w:r>
      <w:r>
        <w:rPr>
          <w:rFonts w:asciiTheme="majorHAnsi" w:hAnsiTheme="majorHAnsi" w:cstheme="minorHAnsi"/>
          <w:sz w:val="24"/>
          <w:szCs w:val="24"/>
          <w:lang w:bidi="en-US"/>
        </w:rPr>
        <w:t xml:space="preserve">unele </w:t>
      </w:r>
      <w:r w:rsidRPr="0067411D">
        <w:rPr>
          <w:rFonts w:asciiTheme="majorHAnsi" w:hAnsiTheme="majorHAnsi" w:cstheme="minorHAnsi"/>
          <w:sz w:val="24"/>
          <w:szCs w:val="24"/>
          <w:lang w:bidi="en-US"/>
        </w:rPr>
        <w:t xml:space="preserve">aspecte lacunare ale cadrului normativ care </w:t>
      </w:r>
      <w:r w:rsidRPr="001E07C5">
        <w:rPr>
          <w:rFonts w:asciiTheme="majorHAnsi" w:hAnsiTheme="majorHAnsi" w:cstheme="minorHAnsi"/>
          <w:sz w:val="24"/>
          <w:szCs w:val="24"/>
          <w:lang w:bidi="en-US"/>
        </w:rPr>
        <w:t>reglement</w:t>
      </w:r>
      <w:r w:rsidRPr="0067411D">
        <w:rPr>
          <w:rFonts w:asciiTheme="majorHAnsi" w:hAnsiTheme="majorHAnsi" w:cstheme="minorHAnsi"/>
          <w:sz w:val="24"/>
          <w:szCs w:val="24"/>
          <w:lang w:bidi="en-US"/>
        </w:rPr>
        <w:t>ează domeniul dat,</w:t>
      </w:r>
      <w:r w:rsidR="00E82123" w:rsidRPr="0067411D">
        <w:rPr>
          <w:rFonts w:asciiTheme="majorHAnsi" w:hAnsiTheme="majorHAnsi" w:cstheme="minorHAnsi"/>
          <w:sz w:val="24"/>
          <w:szCs w:val="24"/>
          <w:lang w:bidi="en-US"/>
        </w:rPr>
        <w:t xml:space="preserve"> aspecte problematice</w:t>
      </w:r>
      <w:r w:rsidR="00A96B04">
        <w:rPr>
          <w:rFonts w:asciiTheme="majorHAnsi" w:hAnsiTheme="majorHAnsi" w:cstheme="minorHAnsi"/>
          <w:sz w:val="24"/>
          <w:szCs w:val="24"/>
          <w:lang w:bidi="en-US"/>
        </w:rPr>
        <w:t xml:space="preserve"> </w:t>
      </w:r>
      <w:r w:rsidR="00E82123" w:rsidRPr="0067411D">
        <w:rPr>
          <w:rFonts w:asciiTheme="majorHAnsi" w:hAnsiTheme="majorHAnsi" w:cstheme="minorHAnsi"/>
          <w:sz w:val="24"/>
          <w:szCs w:val="24"/>
          <w:lang w:bidi="en-US"/>
        </w:rPr>
        <w:t>și v</w:t>
      </w:r>
      <w:r>
        <w:rPr>
          <w:rFonts w:asciiTheme="majorHAnsi" w:hAnsiTheme="majorHAnsi" w:cstheme="minorHAnsi"/>
          <w:sz w:val="24"/>
          <w:szCs w:val="24"/>
          <w:lang w:bidi="en-US"/>
        </w:rPr>
        <w:t>ulnerabilități</w:t>
      </w:r>
      <w:r w:rsidR="00A96B04">
        <w:rPr>
          <w:rFonts w:asciiTheme="majorHAnsi" w:hAnsiTheme="majorHAnsi" w:cstheme="minorHAnsi"/>
          <w:sz w:val="24"/>
          <w:szCs w:val="24"/>
          <w:lang w:bidi="en-US"/>
        </w:rPr>
        <w:t xml:space="preserve"> care au afectat</w:t>
      </w:r>
      <w:r w:rsidR="00E82123" w:rsidRPr="0067411D">
        <w:rPr>
          <w:rFonts w:asciiTheme="majorHAnsi" w:hAnsiTheme="majorHAnsi" w:cstheme="minorHAnsi"/>
          <w:sz w:val="24"/>
          <w:szCs w:val="24"/>
          <w:lang w:bidi="en-US"/>
        </w:rPr>
        <w:t xml:space="preserve"> buna gestiune </w:t>
      </w:r>
      <w:r w:rsidR="00A02682">
        <w:rPr>
          <w:rFonts w:asciiTheme="majorHAnsi" w:hAnsiTheme="majorHAnsi" w:cstheme="minorHAnsi"/>
          <w:sz w:val="24"/>
          <w:szCs w:val="24"/>
          <w:lang w:bidi="en-US"/>
        </w:rPr>
        <w:t xml:space="preserve">și valorificarea </w:t>
      </w:r>
      <w:r w:rsidR="00E82123" w:rsidRPr="0067411D">
        <w:rPr>
          <w:rFonts w:asciiTheme="majorHAnsi" w:hAnsiTheme="majorHAnsi" w:cstheme="minorHAnsi"/>
          <w:sz w:val="24"/>
          <w:szCs w:val="24"/>
          <w:lang w:bidi="en-US"/>
        </w:rPr>
        <w:t>mijloacelor publice și se exprimă prin următoarele:</w:t>
      </w:r>
    </w:p>
    <w:p w14:paraId="630252F2" w14:textId="10BF43BC" w:rsidR="00267BBA" w:rsidRPr="00A9041C" w:rsidRDefault="00267BBA" w:rsidP="00267BBA">
      <w:pPr>
        <w:numPr>
          <w:ilvl w:val="0"/>
          <w:numId w:val="44"/>
        </w:numPr>
        <w:spacing w:after="120"/>
        <w:jc w:val="both"/>
        <w:rPr>
          <w:rFonts w:asciiTheme="majorHAnsi" w:hAnsiTheme="majorHAnsi" w:cstheme="minorHAnsi"/>
          <w:sz w:val="24"/>
          <w:szCs w:val="24"/>
        </w:rPr>
      </w:pPr>
      <w:r w:rsidRPr="00A9041C">
        <w:rPr>
          <w:rFonts w:asciiTheme="majorHAnsi" w:hAnsiTheme="majorHAnsi" w:cstheme="minorHAnsi"/>
          <w:sz w:val="24"/>
          <w:szCs w:val="24"/>
        </w:rPr>
        <w:t xml:space="preserve">Ministerul Justiției, fiind responsabil de promovarea politicii în domeniul AJGS, nu s-a preocupat suficient de îmbunătățirea și modernizarea cadrului normativ aferent, precum și de remedierea lacunelor existente, cu toate că a fost informat sistematic de către CNAJGS privind aspectele deficitare. Prin urmare, în anii 2020-2021 au rămas nerealizate obiectivele și acțiunile, prestabilite în Planurile de acțiuni ale ministerului, cu referire la modificarea și promovarea cadrului juridic menționat, activitățile respective revigorându-se în anul 2022 </w:t>
      </w:r>
      <w:r w:rsidRPr="00A9041C">
        <w:rPr>
          <w:rFonts w:asciiTheme="majorHAnsi" w:eastAsia="Times New Roman" w:hAnsiTheme="majorHAnsi" w:cstheme="majorHAnsi"/>
          <w:sz w:val="24"/>
          <w:szCs w:val="24"/>
        </w:rPr>
        <w:t>(pct.4.1.</w:t>
      </w:r>
      <w:r w:rsidR="002B5393">
        <w:rPr>
          <w:rFonts w:asciiTheme="majorHAnsi" w:eastAsia="Times New Roman" w:hAnsiTheme="majorHAnsi" w:cstheme="majorHAnsi"/>
          <w:sz w:val="24"/>
          <w:szCs w:val="24"/>
        </w:rPr>
        <w:t>2</w:t>
      </w:r>
      <w:r w:rsidRPr="00A9041C">
        <w:rPr>
          <w:rFonts w:asciiTheme="majorHAnsi" w:eastAsia="Times New Roman" w:hAnsiTheme="majorHAnsi" w:cstheme="majorHAnsi"/>
          <w:sz w:val="24"/>
          <w:szCs w:val="24"/>
        </w:rPr>
        <w:t>.);</w:t>
      </w:r>
    </w:p>
    <w:p w14:paraId="6B3507F9" w14:textId="77777777" w:rsidR="00267BBA" w:rsidRPr="00423CD5" w:rsidRDefault="00267BBA" w:rsidP="00267BBA">
      <w:pPr>
        <w:numPr>
          <w:ilvl w:val="0"/>
          <w:numId w:val="44"/>
        </w:numPr>
        <w:spacing w:after="120"/>
        <w:jc w:val="both"/>
        <w:rPr>
          <w:rFonts w:asciiTheme="majorHAnsi" w:hAnsiTheme="majorHAnsi" w:cstheme="minorHAnsi"/>
          <w:sz w:val="24"/>
          <w:szCs w:val="24"/>
        </w:rPr>
      </w:pPr>
      <w:r w:rsidRPr="00A9041C">
        <w:rPr>
          <w:rFonts w:asciiTheme="majorHAnsi" w:hAnsiTheme="majorHAnsi" w:cstheme="minorHAnsi"/>
          <w:sz w:val="24"/>
          <w:szCs w:val="24"/>
        </w:rPr>
        <w:t xml:space="preserve">deși statul țintește oferirea serviciilor juridice gratuite persoanelor cu venituri mici, în perioada auditată aceste servicii au fost direcționate preponderent </w:t>
      </w:r>
      <w:r w:rsidRPr="00423CD5">
        <w:rPr>
          <w:rFonts w:asciiTheme="majorHAnsi" w:hAnsiTheme="majorHAnsi" w:cstheme="minorHAnsi"/>
          <w:sz w:val="24"/>
          <w:szCs w:val="24"/>
        </w:rPr>
        <w:t>beneficiarilor potrivit solicitărilor din partea instituțiilor de drept, care, folosindu-se de imperfecțiunile cadrului legal, au abuzat excesiv de asistența juridică de stat, ceea ce nemijlocit a condiționat suportarea unor cheltuieli iraționale. În contextul expus, se relevă:</w:t>
      </w:r>
    </w:p>
    <w:p w14:paraId="2588FA5F" w14:textId="3F632B3E" w:rsidR="00C5031A" w:rsidRPr="00CB72B2" w:rsidRDefault="00C5031A" w:rsidP="00C5031A">
      <w:pPr>
        <w:numPr>
          <w:ilvl w:val="0"/>
          <w:numId w:val="45"/>
        </w:numPr>
        <w:spacing w:after="120"/>
        <w:jc w:val="both"/>
        <w:rPr>
          <w:rFonts w:asciiTheme="majorHAnsi" w:hAnsiTheme="majorHAnsi" w:cstheme="minorHAnsi"/>
          <w:sz w:val="24"/>
          <w:szCs w:val="24"/>
        </w:rPr>
      </w:pPr>
      <w:r w:rsidRPr="00423CD5">
        <w:rPr>
          <w:rFonts w:asciiTheme="majorHAnsi" w:hAnsiTheme="majorHAnsi" w:cstheme="minorHAnsi"/>
          <w:sz w:val="24"/>
          <w:szCs w:val="24"/>
        </w:rPr>
        <w:t>solicitarea abuzivă de către organele de d</w:t>
      </w:r>
      <w:r w:rsidRPr="00DA01CA">
        <w:rPr>
          <w:rFonts w:asciiTheme="majorHAnsi" w:hAnsiTheme="majorHAnsi" w:cstheme="minorHAnsi"/>
          <w:sz w:val="24"/>
          <w:szCs w:val="24"/>
        </w:rPr>
        <w:t>rept a AJGS, ca motiv invocându-se faptul că  beneficiarii nu</w:t>
      </w:r>
      <w:r w:rsidRPr="00CB72B2">
        <w:rPr>
          <w:rFonts w:asciiTheme="majorHAnsi" w:hAnsiTheme="majorHAnsi" w:cstheme="minorHAnsi"/>
          <w:sz w:val="24"/>
          <w:szCs w:val="24"/>
        </w:rPr>
        <w:t xml:space="preserve"> posedă sau posedă în măsură insuficientă limba în</w:t>
      </w:r>
      <w:r w:rsidRPr="00CB72B2">
        <w:rPr>
          <w:rFonts w:asciiTheme="majorHAnsi" w:hAnsiTheme="majorHAnsi" w:cstheme="minorHAnsi"/>
          <w:color w:val="FF0000"/>
          <w:sz w:val="24"/>
          <w:szCs w:val="24"/>
        </w:rPr>
        <w:t xml:space="preserve"> </w:t>
      </w:r>
      <w:r w:rsidRPr="00CB72B2">
        <w:rPr>
          <w:rFonts w:asciiTheme="majorHAnsi" w:hAnsiTheme="majorHAnsi" w:cstheme="minorHAnsi"/>
          <w:sz w:val="24"/>
          <w:szCs w:val="24"/>
        </w:rPr>
        <w:t>care se desfășoară procesul penal, pentru unele infracțiuni care nu se încadrează în asistenț</w:t>
      </w:r>
      <w:r>
        <w:rPr>
          <w:rFonts w:asciiTheme="majorHAnsi" w:hAnsiTheme="majorHAnsi" w:cstheme="minorHAnsi"/>
          <w:sz w:val="24"/>
          <w:szCs w:val="24"/>
        </w:rPr>
        <w:t>a</w:t>
      </w:r>
      <w:r w:rsidRPr="00CB72B2">
        <w:rPr>
          <w:rFonts w:asciiTheme="majorHAnsi" w:hAnsiTheme="majorHAnsi" w:cstheme="minorHAnsi"/>
          <w:sz w:val="24"/>
          <w:szCs w:val="24"/>
        </w:rPr>
        <w:t xml:space="preserve"> juridică obligatorie,</w:t>
      </w:r>
      <w:r>
        <w:rPr>
          <w:rFonts w:asciiTheme="majorHAnsi" w:hAnsiTheme="majorHAnsi" w:cstheme="minorHAnsi"/>
          <w:sz w:val="24"/>
          <w:szCs w:val="24"/>
        </w:rPr>
        <w:t xml:space="preserve"> ceea ce a </w:t>
      </w:r>
      <w:r w:rsidRPr="00CB72B2">
        <w:rPr>
          <w:rFonts w:asciiTheme="majorHAnsi" w:hAnsiTheme="majorHAnsi" w:cstheme="minorHAnsi"/>
          <w:sz w:val="24"/>
          <w:szCs w:val="24"/>
        </w:rPr>
        <w:t>determinat suportarea unor c</w:t>
      </w:r>
      <w:r>
        <w:rPr>
          <w:rFonts w:asciiTheme="majorHAnsi" w:hAnsiTheme="majorHAnsi" w:cstheme="minorHAnsi"/>
          <w:sz w:val="24"/>
          <w:szCs w:val="24"/>
        </w:rPr>
        <w:t>heltuieli</w:t>
      </w:r>
      <w:r w:rsidRPr="00CB72B2">
        <w:rPr>
          <w:rFonts w:asciiTheme="majorHAnsi" w:hAnsiTheme="majorHAnsi" w:cstheme="minorHAnsi"/>
          <w:sz w:val="24"/>
          <w:szCs w:val="24"/>
        </w:rPr>
        <w:t xml:space="preserve"> bugetare </w:t>
      </w:r>
      <w:r>
        <w:rPr>
          <w:rFonts w:asciiTheme="majorHAnsi" w:hAnsiTheme="majorHAnsi" w:cstheme="minorHAnsi"/>
          <w:sz w:val="24"/>
          <w:szCs w:val="24"/>
        </w:rPr>
        <w:t>suplimentare</w:t>
      </w:r>
      <w:r w:rsidRPr="00CB72B2">
        <w:rPr>
          <w:rFonts w:asciiTheme="majorHAnsi" w:hAnsiTheme="majorHAnsi" w:cstheme="minorHAnsi"/>
          <w:sz w:val="24"/>
          <w:szCs w:val="24"/>
        </w:rPr>
        <w:t xml:space="preserve">, </w:t>
      </w:r>
      <w:r>
        <w:rPr>
          <w:rFonts w:asciiTheme="majorHAnsi" w:hAnsiTheme="majorHAnsi" w:cstheme="minorHAnsi"/>
          <w:sz w:val="24"/>
          <w:szCs w:val="24"/>
        </w:rPr>
        <w:t>a căror</w:t>
      </w:r>
      <w:r w:rsidRPr="00CB72B2">
        <w:rPr>
          <w:rFonts w:asciiTheme="majorHAnsi" w:hAnsiTheme="majorHAnsi" w:cstheme="minorHAnsi"/>
          <w:sz w:val="24"/>
          <w:szCs w:val="24"/>
        </w:rPr>
        <w:t xml:space="preserve"> valoare, doar pe eșantionul auditat, constituie 14</w:t>
      </w:r>
      <w:r>
        <w:rPr>
          <w:rFonts w:asciiTheme="majorHAnsi" w:hAnsiTheme="majorHAnsi" w:cstheme="minorHAnsi"/>
          <w:sz w:val="24"/>
          <w:szCs w:val="24"/>
        </w:rPr>
        <w:t>,9 mil. lei</w:t>
      </w:r>
      <w:r w:rsidRPr="00CB72B2">
        <w:rPr>
          <w:rFonts w:asciiTheme="majorHAnsi" w:hAnsiTheme="majorHAnsi" w:cstheme="minorHAnsi"/>
          <w:sz w:val="24"/>
          <w:szCs w:val="24"/>
        </w:rPr>
        <w:t>.</w:t>
      </w:r>
      <w:r>
        <w:rPr>
          <w:rFonts w:asciiTheme="majorHAnsi" w:hAnsiTheme="majorHAnsi" w:cstheme="minorHAnsi"/>
          <w:sz w:val="24"/>
          <w:szCs w:val="24"/>
        </w:rPr>
        <w:t xml:space="preserve"> </w:t>
      </w:r>
      <w:r w:rsidRPr="00CB72B2">
        <w:rPr>
          <w:rFonts w:asciiTheme="majorHAnsi" w:hAnsiTheme="majorHAnsi" w:cstheme="minorHAnsi"/>
          <w:sz w:val="24"/>
          <w:szCs w:val="24"/>
        </w:rPr>
        <w:t xml:space="preserve"> Verificările de audit</w:t>
      </w:r>
      <w:r w:rsidRPr="00CB72B2">
        <w:rPr>
          <w:rFonts w:asciiTheme="majorHAnsi" w:hAnsiTheme="majorHAnsi" w:cstheme="minorHAnsi"/>
          <w:bCs/>
          <w:sz w:val="24"/>
          <w:szCs w:val="24"/>
        </w:rPr>
        <w:t xml:space="preserve"> au scos în evidență cazuri de solicitare și, respectiv</w:t>
      </w:r>
      <w:r>
        <w:rPr>
          <w:rFonts w:asciiTheme="majorHAnsi" w:hAnsiTheme="majorHAnsi" w:cstheme="minorHAnsi"/>
          <w:bCs/>
          <w:sz w:val="24"/>
          <w:szCs w:val="24"/>
        </w:rPr>
        <w:t>,</w:t>
      </w:r>
      <w:r w:rsidRPr="00CB72B2">
        <w:rPr>
          <w:rFonts w:asciiTheme="majorHAnsi" w:hAnsiTheme="majorHAnsi" w:cstheme="minorHAnsi"/>
          <w:bCs/>
          <w:sz w:val="24"/>
          <w:szCs w:val="24"/>
        </w:rPr>
        <w:t xml:space="preserve"> </w:t>
      </w:r>
      <w:r>
        <w:rPr>
          <w:rFonts w:asciiTheme="majorHAnsi" w:hAnsiTheme="majorHAnsi" w:cstheme="minorHAnsi"/>
          <w:bCs/>
          <w:sz w:val="24"/>
          <w:szCs w:val="24"/>
        </w:rPr>
        <w:t xml:space="preserve">de </w:t>
      </w:r>
      <w:r w:rsidRPr="00CB72B2">
        <w:rPr>
          <w:rFonts w:asciiTheme="majorHAnsi" w:hAnsiTheme="majorHAnsi" w:cstheme="minorHAnsi"/>
          <w:bCs/>
          <w:sz w:val="24"/>
          <w:szCs w:val="24"/>
        </w:rPr>
        <w:t xml:space="preserve">acordare neconformă a AJGS persoanelor cu </w:t>
      </w:r>
      <w:r w:rsidRPr="00CB72B2">
        <w:rPr>
          <w:rFonts w:asciiTheme="majorHAnsi" w:hAnsiTheme="majorHAnsi" w:cstheme="minorHAnsi"/>
          <w:sz w:val="24"/>
          <w:szCs w:val="24"/>
        </w:rPr>
        <w:lastRenderedPageBreak/>
        <w:t xml:space="preserve">funcție de demnitate publică și celor din serviciul public, inclusiv juriști și primari de </w:t>
      </w:r>
      <w:r w:rsidRPr="00DD52E3">
        <w:rPr>
          <w:rFonts w:asciiTheme="majorHAnsi" w:hAnsiTheme="majorHAnsi" w:cstheme="minorHAnsi"/>
          <w:sz w:val="24"/>
          <w:szCs w:val="24"/>
        </w:rPr>
        <w:t>localități. Mai mult decât atât, norma legală prevede că, atunci când participanții la proces nu</w:t>
      </w:r>
      <w:r w:rsidRPr="00CB72B2">
        <w:rPr>
          <w:rFonts w:asciiTheme="majorHAnsi" w:hAnsiTheme="majorHAnsi" w:cstheme="minorHAnsi"/>
          <w:sz w:val="24"/>
          <w:szCs w:val="24"/>
        </w:rPr>
        <w:t xml:space="preserve"> înțeleg sau nu vorbesc limba în care se desfășoară procesul penal, ei au dreptul de a apela la serviciile interpretului, la fel oferit gratis de către instituțiile statului</w:t>
      </w:r>
      <w:r>
        <w:rPr>
          <w:rFonts w:asciiTheme="majorHAnsi" w:hAnsiTheme="majorHAnsi" w:cstheme="minorHAnsi"/>
          <w:sz w:val="24"/>
          <w:szCs w:val="24"/>
        </w:rPr>
        <w:t xml:space="preserve"> </w:t>
      </w:r>
      <w:r w:rsidR="002B5393">
        <w:rPr>
          <w:rFonts w:asciiTheme="majorHAnsi" w:eastAsiaTheme="minorEastAsia" w:hAnsiTheme="majorHAnsi" w:cstheme="majorHAnsi"/>
          <w:sz w:val="24"/>
          <w:szCs w:val="24"/>
        </w:rPr>
        <w:t>(pct. 4.1.2</w:t>
      </w:r>
      <w:r>
        <w:rPr>
          <w:rFonts w:asciiTheme="majorHAnsi" w:eastAsiaTheme="minorEastAsia" w:hAnsiTheme="majorHAnsi" w:cstheme="majorHAnsi"/>
          <w:sz w:val="24"/>
          <w:szCs w:val="24"/>
        </w:rPr>
        <w:t>.</w:t>
      </w:r>
      <w:r w:rsidRPr="00BF76B2">
        <w:rPr>
          <w:rFonts w:asciiTheme="majorHAnsi" w:eastAsiaTheme="minorEastAsia" w:hAnsiTheme="majorHAnsi" w:cstheme="majorHAnsi"/>
          <w:sz w:val="24"/>
          <w:szCs w:val="24"/>
        </w:rPr>
        <w:t xml:space="preserve"> lit. </w:t>
      </w:r>
      <w:r>
        <w:rPr>
          <w:rFonts w:asciiTheme="majorHAnsi" w:eastAsiaTheme="minorEastAsia" w:hAnsiTheme="majorHAnsi" w:cstheme="majorHAnsi"/>
          <w:sz w:val="24"/>
          <w:szCs w:val="24"/>
        </w:rPr>
        <w:t>a</w:t>
      </w:r>
      <w:r w:rsidRPr="00BF76B2">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 xml:space="preserve"> și lit. b)</w:t>
      </w:r>
      <w:r w:rsidRPr="00BF76B2">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w:t>
      </w:r>
    </w:p>
    <w:p w14:paraId="12F9CC41" w14:textId="751496FA" w:rsidR="00C5031A" w:rsidRPr="00CB72B2" w:rsidRDefault="00C5031A" w:rsidP="00C5031A">
      <w:pPr>
        <w:numPr>
          <w:ilvl w:val="0"/>
          <w:numId w:val="45"/>
        </w:numPr>
        <w:spacing w:after="120"/>
        <w:ind w:left="806"/>
        <w:jc w:val="both"/>
        <w:rPr>
          <w:rFonts w:asciiTheme="majorHAnsi" w:hAnsiTheme="majorHAnsi" w:cstheme="minorHAnsi"/>
          <w:sz w:val="24"/>
          <w:szCs w:val="24"/>
        </w:rPr>
      </w:pPr>
      <w:r>
        <w:rPr>
          <w:rFonts w:asciiTheme="majorHAnsi" w:hAnsiTheme="majorHAnsi" w:cstheme="minorHAnsi"/>
          <w:sz w:val="24"/>
          <w:szCs w:val="24"/>
        </w:rPr>
        <w:t>s</w:t>
      </w:r>
      <w:r w:rsidRPr="00CB72B2">
        <w:rPr>
          <w:rFonts w:asciiTheme="majorHAnsi" w:hAnsiTheme="majorHAnsi" w:cstheme="minorHAnsi"/>
          <w:sz w:val="24"/>
          <w:szCs w:val="24"/>
        </w:rPr>
        <w:t>e atestă cazuri de solicitare și acordare a AJGS în condiții neconforme</w:t>
      </w:r>
      <w:r>
        <w:rPr>
          <w:rFonts w:asciiTheme="majorHAnsi" w:hAnsiTheme="majorHAnsi" w:cstheme="minorHAnsi"/>
          <w:sz w:val="24"/>
          <w:szCs w:val="24"/>
        </w:rPr>
        <w:t>,</w:t>
      </w:r>
      <w:r w:rsidRPr="00CB72B2">
        <w:rPr>
          <w:rFonts w:asciiTheme="majorHAnsi" w:hAnsiTheme="majorHAnsi" w:cstheme="minorHAnsi"/>
          <w:sz w:val="24"/>
          <w:szCs w:val="24"/>
        </w:rPr>
        <w:t xml:space="preserve"> pe motiv juridic că </w:t>
      </w:r>
      <w:r w:rsidRPr="00935382">
        <w:rPr>
          <w:rFonts w:asciiTheme="majorHAnsi" w:hAnsiTheme="majorHAnsi" w:cstheme="minorHAnsi"/>
          <w:i/>
          <w:sz w:val="24"/>
          <w:szCs w:val="24"/>
        </w:rPr>
        <w:t xml:space="preserve">interesele justiției cer participarea apărătorului de stat </w:t>
      </w:r>
      <w:r>
        <w:rPr>
          <w:rFonts w:asciiTheme="majorHAnsi" w:hAnsiTheme="majorHAnsi" w:cstheme="minorHAnsi"/>
          <w:i/>
          <w:sz w:val="24"/>
          <w:szCs w:val="24"/>
        </w:rPr>
        <w:t>la</w:t>
      </w:r>
      <w:r w:rsidRPr="00935382">
        <w:rPr>
          <w:rFonts w:asciiTheme="majorHAnsi" w:hAnsiTheme="majorHAnsi" w:cstheme="minorHAnsi"/>
          <w:i/>
          <w:sz w:val="24"/>
          <w:szCs w:val="24"/>
        </w:rPr>
        <w:t xml:space="preserve"> ședinț</w:t>
      </w:r>
      <w:r>
        <w:rPr>
          <w:rFonts w:asciiTheme="majorHAnsi" w:hAnsiTheme="majorHAnsi" w:cstheme="minorHAnsi"/>
          <w:i/>
          <w:sz w:val="24"/>
          <w:szCs w:val="24"/>
        </w:rPr>
        <w:t>a</w:t>
      </w:r>
      <w:r w:rsidRPr="00935382">
        <w:rPr>
          <w:rFonts w:asciiTheme="majorHAnsi" w:hAnsiTheme="majorHAnsi" w:cstheme="minorHAnsi"/>
          <w:i/>
          <w:sz w:val="24"/>
          <w:szCs w:val="24"/>
        </w:rPr>
        <w:t xml:space="preserve"> de judecată</w:t>
      </w:r>
      <w:r w:rsidRPr="00CB72B2">
        <w:rPr>
          <w:rFonts w:asciiTheme="majorHAnsi" w:hAnsiTheme="majorHAnsi" w:cstheme="minorHAnsi"/>
          <w:sz w:val="24"/>
          <w:szCs w:val="24"/>
        </w:rPr>
        <w:t xml:space="preserve">. </w:t>
      </w:r>
      <w:r>
        <w:rPr>
          <w:rFonts w:asciiTheme="majorHAnsi" w:hAnsiTheme="majorHAnsi" w:cstheme="minorHAnsi"/>
          <w:sz w:val="24"/>
          <w:szCs w:val="24"/>
        </w:rPr>
        <w:t>C</w:t>
      </w:r>
      <w:r w:rsidRPr="00CB72B2">
        <w:rPr>
          <w:rFonts w:asciiTheme="majorHAnsi" w:hAnsiTheme="majorHAnsi" w:cstheme="minorHAnsi"/>
          <w:sz w:val="24"/>
          <w:szCs w:val="24"/>
        </w:rPr>
        <w:t>heltuielil</w:t>
      </w:r>
      <w:r>
        <w:rPr>
          <w:rFonts w:asciiTheme="majorHAnsi" w:hAnsiTheme="majorHAnsi" w:cstheme="minorHAnsi"/>
          <w:sz w:val="24"/>
          <w:szCs w:val="24"/>
        </w:rPr>
        <w:t xml:space="preserve">e </w:t>
      </w:r>
      <w:r w:rsidRPr="00CB72B2">
        <w:rPr>
          <w:rFonts w:asciiTheme="majorHAnsi" w:hAnsiTheme="majorHAnsi" w:cstheme="minorHAnsi"/>
          <w:sz w:val="24"/>
          <w:szCs w:val="24"/>
        </w:rPr>
        <w:t xml:space="preserve"> suportate din bugetul de stat în scopul remunerării muncii avocaților care au gestionat aceste cazuri constituie suma de 233,1 mii lei. Astfel, </w:t>
      </w:r>
      <w:r>
        <w:rPr>
          <w:rFonts w:asciiTheme="majorHAnsi" w:hAnsiTheme="majorHAnsi" w:cstheme="minorHAnsi"/>
          <w:sz w:val="24"/>
          <w:szCs w:val="24"/>
        </w:rPr>
        <w:t xml:space="preserve">OT au acceptat </w:t>
      </w:r>
      <w:r w:rsidRPr="00CB72B2">
        <w:rPr>
          <w:rFonts w:asciiTheme="majorHAnsi" w:hAnsiTheme="majorHAnsi" w:cstheme="minorHAnsi"/>
          <w:sz w:val="24"/>
          <w:szCs w:val="24"/>
        </w:rPr>
        <w:t>solicitările parvenit</w:t>
      </w:r>
      <w:r>
        <w:rPr>
          <w:rFonts w:asciiTheme="majorHAnsi" w:hAnsiTheme="majorHAnsi" w:cstheme="minorHAnsi"/>
          <w:sz w:val="24"/>
          <w:szCs w:val="24"/>
        </w:rPr>
        <w:t>e</w:t>
      </w:r>
      <w:r w:rsidRPr="00CB72B2">
        <w:rPr>
          <w:rFonts w:asciiTheme="majorHAnsi" w:hAnsiTheme="majorHAnsi" w:cstheme="minorHAnsi"/>
          <w:sz w:val="24"/>
          <w:szCs w:val="24"/>
        </w:rPr>
        <w:t xml:space="preserve"> de la angajații unor instituții subordonate MAI,</w:t>
      </w:r>
      <w:r w:rsidRPr="00F62B8E">
        <w:rPr>
          <w:rFonts w:asciiTheme="majorHAnsi" w:hAnsiTheme="majorHAnsi" w:cstheme="minorHAnsi"/>
          <w:sz w:val="24"/>
          <w:szCs w:val="24"/>
        </w:rPr>
        <w:t xml:space="preserve"> </w:t>
      </w:r>
      <w:r>
        <w:rPr>
          <w:rFonts w:asciiTheme="majorHAnsi" w:hAnsiTheme="majorHAnsi" w:cstheme="minorHAnsi"/>
          <w:sz w:val="24"/>
          <w:szCs w:val="24"/>
        </w:rPr>
        <w:t>deși, conform prevederilor legale,</w:t>
      </w:r>
      <w:r w:rsidRPr="00CB72B2">
        <w:rPr>
          <w:rFonts w:asciiTheme="majorHAnsi" w:hAnsiTheme="majorHAnsi" w:cstheme="minorHAnsi"/>
          <w:sz w:val="24"/>
          <w:szCs w:val="24"/>
        </w:rPr>
        <w:t xml:space="preserve"> urmau </w:t>
      </w:r>
      <w:r>
        <w:rPr>
          <w:rFonts w:asciiTheme="majorHAnsi" w:hAnsiTheme="majorHAnsi" w:cstheme="minorHAnsi"/>
          <w:sz w:val="24"/>
          <w:szCs w:val="24"/>
        </w:rPr>
        <w:t>să</w:t>
      </w:r>
      <w:r w:rsidRPr="00CB72B2">
        <w:rPr>
          <w:rFonts w:asciiTheme="majorHAnsi" w:hAnsiTheme="majorHAnsi" w:cstheme="minorHAnsi"/>
          <w:sz w:val="24"/>
          <w:szCs w:val="24"/>
        </w:rPr>
        <w:t xml:space="preserve"> acord</w:t>
      </w:r>
      <w:r>
        <w:rPr>
          <w:rFonts w:asciiTheme="majorHAnsi" w:hAnsiTheme="majorHAnsi" w:cstheme="minorHAnsi"/>
          <w:sz w:val="24"/>
          <w:szCs w:val="24"/>
        </w:rPr>
        <w:t>e</w:t>
      </w:r>
      <w:r w:rsidRPr="00CB72B2">
        <w:rPr>
          <w:rFonts w:asciiTheme="majorHAnsi" w:hAnsiTheme="majorHAnsi" w:cstheme="minorHAnsi"/>
          <w:sz w:val="24"/>
          <w:szCs w:val="24"/>
        </w:rPr>
        <w:t xml:space="preserve"> asistenț</w:t>
      </w:r>
      <w:r>
        <w:rPr>
          <w:rFonts w:asciiTheme="majorHAnsi" w:hAnsiTheme="majorHAnsi" w:cstheme="minorHAnsi"/>
          <w:sz w:val="24"/>
          <w:szCs w:val="24"/>
        </w:rPr>
        <w:t>ă</w:t>
      </w:r>
      <w:r w:rsidRPr="00CB72B2">
        <w:rPr>
          <w:rFonts w:asciiTheme="majorHAnsi" w:hAnsiTheme="majorHAnsi" w:cstheme="minorHAnsi"/>
          <w:sz w:val="24"/>
          <w:szCs w:val="24"/>
        </w:rPr>
        <w:t xml:space="preserve"> juridică doar la cererile însoțite de ordonanțele procurorilor,</w:t>
      </w:r>
      <w:r>
        <w:rPr>
          <w:rFonts w:asciiTheme="majorHAnsi" w:hAnsiTheme="majorHAnsi" w:cstheme="minorHAnsi"/>
          <w:sz w:val="24"/>
          <w:szCs w:val="24"/>
        </w:rPr>
        <w:t xml:space="preserve"> care, de fapt, lipseau </w:t>
      </w:r>
      <w:r>
        <w:rPr>
          <w:rFonts w:asciiTheme="majorHAnsi" w:eastAsiaTheme="minorEastAsia" w:hAnsiTheme="majorHAnsi" w:cstheme="majorHAnsi"/>
          <w:sz w:val="24"/>
          <w:szCs w:val="24"/>
        </w:rPr>
        <w:t>(</w:t>
      </w:r>
      <w:r w:rsidR="002B5393">
        <w:rPr>
          <w:rFonts w:asciiTheme="majorHAnsi" w:eastAsiaTheme="minorEastAsia" w:hAnsiTheme="majorHAnsi" w:cstheme="majorHAnsi"/>
          <w:sz w:val="24"/>
          <w:szCs w:val="24"/>
        </w:rPr>
        <w:t>pct. 4.1.2.</w:t>
      </w:r>
      <w:r w:rsidRPr="00BF76B2">
        <w:rPr>
          <w:rFonts w:asciiTheme="majorHAnsi" w:eastAsiaTheme="minorEastAsia" w:hAnsiTheme="majorHAnsi" w:cstheme="majorHAnsi"/>
          <w:sz w:val="24"/>
          <w:szCs w:val="24"/>
        </w:rPr>
        <w:t xml:space="preserve"> lit. </w:t>
      </w:r>
      <w:r>
        <w:rPr>
          <w:rFonts w:asciiTheme="majorHAnsi" w:eastAsiaTheme="minorEastAsia" w:hAnsiTheme="majorHAnsi" w:cstheme="majorHAnsi"/>
          <w:sz w:val="24"/>
          <w:szCs w:val="24"/>
        </w:rPr>
        <w:t>c</w:t>
      </w:r>
      <w:r w:rsidRPr="00BF76B2">
        <w:rPr>
          <w:rFonts w:asciiTheme="majorHAnsi" w:eastAsiaTheme="minorEastAsia" w:hAnsiTheme="majorHAnsi" w:cstheme="majorHAnsi"/>
          <w:sz w:val="24"/>
          <w:szCs w:val="24"/>
        </w:rPr>
        <w:t>))</w:t>
      </w:r>
      <w:r>
        <w:rPr>
          <w:rFonts w:asciiTheme="majorHAnsi" w:hAnsiTheme="majorHAnsi" w:cstheme="minorHAnsi"/>
          <w:sz w:val="24"/>
          <w:szCs w:val="24"/>
        </w:rPr>
        <w:t>;</w:t>
      </w:r>
    </w:p>
    <w:p w14:paraId="141DA6DE" w14:textId="5D7B371B" w:rsidR="00C5031A" w:rsidRDefault="00C5031A" w:rsidP="00C5031A">
      <w:pPr>
        <w:numPr>
          <w:ilvl w:val="0"/>
          <w:numId w:val="44"/>
        </w:numPr>
        <w:spacing w:after="120"/>
        <w:jc w:val="both"/>
        <w:rPr>
          <w:rFonts w:asciiTheme="majorHAnsi" w:hAnsiTheme="majorHAnsi" w:cstheme="minorHAnsi"/>
          <w:sz w:val="24"/>
          <w:szCs w:val="24"/>
        </w:rPr>
      </w:pPr>
      <w:r w:rsidRPr="00935382">
        <w:rPr>
          <w:rFonts w:asciiTheme="majorHAnsi" w:hAnsiTheme="majorHAnsi" w:cstheme="minorHAnsi"/>
          <w:sz w:val="24"/>
          <w:szCs w:val="24"/>
        </w:rPr>
        <w:t xml:space="preserve">OT ale CNAJ </w:t>
      </w:r>
      <w:r>
        <w:rPr>
          <w:rFonts w:asciiTheme="majorHAnsi" w:hAnsiTheme="majorHAnsi" w:cstheme="minorHAnsi"/>
          <w:sz w:val="24"/>
          <w:szCs w:val="24"/>
        </w:rPr>
        <w:t>a</w:t>
      </w:r>
      <w:r w:rsidRPr="00935382">
        <w:rPr>
          <w:rFonts w:asciiTheme="majorHAnsi" w:hAnsiTheme="majorHAnsi" w:cstheme="minorHAnsi"/>
          <w:sz w:val="24"/>
          <w:szCs w:val="24"/>
        </w:rPr>
        <w:t>u asigurat</w:t>
      </w:r>
      <w:r w:rsidRPr="0048747A">
        <w:rPr>
          <w:rFonts w:asciiTheme="majorHAnsi" w:hAnsiTheme="majorHAnsi" w:cstheme="minorHAnsi"/>
          <w:sz w:val="24"/>
          <w:szCs w:val="24"/>
        </w:rPr>
        <w:t xml:space="preserve"> </w:t>
      </w:r>
      <w:r>
        <w:rPr>
          <w:rFonts w:asciiTheme="majorHAnsi" w:hAnsiTheme="majorHAnsi" w:cstheme="minorHAnsi"/>
          <w:sz w:val="24"/>
          <w:szCs w:val="24"/>
        </w:rPr>
        <w:t>parțial</w:t>
      </w:r>
      <w:r w:rsidRPr="00935382">
        <w:rPr>
          <w:rFonts w:asciiTheme="majorHAnsi" w:hAnsiTheme="majorHAnsi" w:cstheme="minorHAnsi"/>
          <w:sz w:val="24"/>
          <w:szCs w:val="24"/>
        </w:rPr>
        <w:t xml:space="preserve"> respectarea </w:t>
      </w:r>
      <w:r w:rsidRPr="0045015B">
        <w:rPr>
          <w:rFonts w:asciiTheme="majorHAnsi" w:hAnsiTheme="majorHAnsi" w:cstheme="minorHAnsi"/>
          <w:sz w:val="24"/>
          <w:szCs w:val="24"/>
        </w:rPr>
        <w:t>prevederilor cadrului normativ la acordarea asistenței juridice garantate de stat persoanelor fizice, în temeiul lipsei resurselor</w:t>
      </w:r>
      <w:r>
        <w:rPr>
          <w:rFonts w:asciiTheme="majorHAnsi" w:hAnsiTheme="majorHAnsi" w:cstheme="minorHAnsi"/>
          <w:sz w:val="24"/>
          <w:szCs w:val="24"/>
        </w:rPr>
        <w:t xml:space="preserve"> financiare, or, de</w:t>
      </w:r>
      <w:r w:rsidRPr="00BE3F2D">
        <w:rPr>
          <w:rFonts w:asciiTheme="majorHAnsi" w:hAnsiTheme="majorHAnsi" w:cstheme="minorHAnsi"/>
          <w:sz w:val="24"/>
          <w:szCs w:val="24"/>
        </w:rPr>
        <w:t xml:space="preserve"> </w:t>
      </w:r>
      <w:r>
        <w:rPr>
          <w:rFonts w:asciiTheme="majorHAnsi" w:hAnsiTheme="majorHAnsi" w:cstheme="minorHAnsi"/>
          <w:sz w:val="24"/>
          <w:szCs w:val="24"/>
        </w:rPr>
        <w:t xml:space="preserve">fapt, responsabilii OT nu s-au conformat și nu au </w:t>
      </w:r>
      <w:r w:rsidRPr="00935382">
        <w:rPr>
          <w:rFonts w:asciiTheme="majorHAnsi" w:hAnsiTheme="majorHAnsi" w:cstheme="minorHAnsi"/>
          <w:sz w:val="24"/>
          <w:szCs w:val="24"/>
        </w:rPr>
        <w:t>solicitat</w:t>
      </w:r>
      <w:r>
        <w:rPr>
          <w:rFonts w:asciiTheme="majorHAnsi" w:hAnsiTheme="majorHAnsi" w:cstheme="minorHAnsi"/>
          <w:sz w:val="24"/>
          <w:szCs w:val="24"/>
        </w:rPr>
        <w:t xml:space="preserve"> anexarea la cerere a  tuturor documentelor prestabilite. </w:t>
      </w:r>
      <w:r w:rsidRPr="00935382">
        <w:rPr>
          <w:rFonts w:asciiTheme="majorHAnsi" w:hAnsiTheme="majorHAnsi" w:cstheme="minorHAnsi"/>
          <w:sz w:val="24"/>
          <w:szCs w:val="24"/>
        </w:rPr>
        <w:t>Deși</w:t>
      </w:r>
      <w:r>
        <w:rPr>
          <w:rFonts w:asciiTheme="majorHAnsi" w:hAnsiTheme="majorHAnsi" w:cstheme="minorHAnsi"/>
          <w:sz w:val="24"/>
          <w:szCs w:val="24"/>
        </w:rPr>
        <w:t xml:space="preserve">, în majoritatea cazurilor, OT Chișinău și OT Bălți s-au limitat la </w:t>
      </w:r>
      <w:r w:rsidRPr="00935382">
        <w:rPr>
          <w:rFonts w:asciiTheme="majorHAnsi" w:hAnsiTheme="majorHAnsi" w:cstheme="minorHAnsi"/>
          <w:sz w:val="24"/>
          <w:szCs w:val="24"/>
        </w:rPr>
        <w:t xml:space="preserve"> colecta</w:t>
      </w:r>
      <w:r>
        <w:rPr>
          <w:rFonts w:asciiTheme="majorHAnsi" w:hAnsiTheme="majorHAnsi" w:cstheme="minorHAnsi"/>
          <w:sz w:val="24"/>
          <w:szCs w:val="24"/>
        </w:rPr>
        <w:t>rea</w:t>
      </w:r>
      <w:r w:rsidRPr="00935382">
        <w:rPr>
          <w:rFonts w:asciiTheme="majorHAnsi" w:hAnsiTheme="majorHAnsi" w:cstheme="minorHAnsi"/>
          <w:sz w:val="24"/>
          <w:szCs w:val="24"/>
        </w:rPr>
        <w:t xml:space="preserve"> datel</w:t>
      </w:r>
      <w:r>
        <w:rPr>
          <w:rFonts w:asciiTheme="majorHAnsi" w:hAnsiTheme="majorHAnsi" w:cstheme="minorHAnsi"/>
          <w:sz w:val="24"/>
          <w:szCs w:val="24"/>
        </w:rPr>
        <w:t>or</w:t>
      </w:r>
      <w:r w:rsidRPr="00935382">
        <w:rPr>
          <w:rFonts w:asciiTheme="majorHAnsi" w:hAnsiTheme="majorHAnsi" w:cstheme="minorHAnsi"/>
          <w:sz w:val="24"/>
          <w:szCs w:val="24"/>
        </w:rPr>
        <w:t xml:space="preserve"> privind veniturile medii lunare a</w:t>
      </w:r>
      <w:r>
        <w:rPr>
          <w:rFonts w:asciiTheme="majorHAnsi" w:hAnsiTheme="majorHAnsi" w:cstheme="minorHAnsi"/>
          <w:sz w:val="24"/>
          <w:szCs w:val="24"/>
        </w:rPr>
        <w:t>le</w:t>
      </w:r>
      <w:r w:rsidRPr="00935382">
        <w:rPr>
          <w:rFonts w:asciiTheme="majorHAnsi" w:hAnsiTheme="majorHAnsi" w:cstheme="minorHAnsi"/>
          <w:sz w:val="24"/>
          <w:szCs w:val="24"/>
        </w:rPr>
        <w:t xml:space="preserve"> solicitantului și membrilor familiei</w:t>
      </w:r>
      <w:r>
        <w:rPr>
          <w:rFonts w:asciiTheme="majorHAnsi" w:hAnsiTheme="majorHAnsi" w:cstheme="minorHAnsi"/>
          <w:sz w:val="24"/>
          <w:szCs w:val="24"/>
        </w:rPr>
        <w:t xml:space="preserve"> prin </w:t>
      </w:r>
      <w:r w:rsidRPr="00935382">
        <w:rPr>
          <w:rFonts w:asciiTheme="majorHAnsi" w:hAnsiTheme="majorHAnsi" w:cstheme="minorHAnsi"/>
          <w:sz w:val="24"/>
          <w:szCs w:val="24"/>
        </w:rPr>
        <w:t>acces</w:t>
      </w:r>
      <w:r>
        <w:rPr>
          <w:rFonts w:asciiTheme="majorHAnsi" w:hAnsiTheme="majorHAnsi" w:cstheme="minorHAnsi"/>
          <w:sz w:val="24"/>
          <w:szCs w:val="24"/>
        </w:rPr>
        <w:t>area</w:t>
      </w:r>
      <w:r w:rsidRPr="00935382">
        <w:rPr>
          <w:rFonts w:asciiTheme="majorHAnsi" w:hAnsiTheme="majorHAnsi" w:cstheme="minorHAnsi"/>
          <w:sz w:val="24"/>
          <w:szCs w:val="24"/>
        </w:rPr>
        <w:t xml:space="preserve"> sistemel</w:t>
      </w:r>
      <w:r>
        <w:rPr>
          <w:rFonts w:asciiTheme="majorHAnsi" w:hAnsiTheme="majorHAnsi" w:cstheme="minorHAnsi"/>
          <w:sz w:val="24"/>
          <w:szCs w:val="24"/>
        </w:rPr>
        <w:t xml:space="preserve">or </w:t>
      </w:r>
      <w:r w:rsidRPr="00935382">
        <w:rPr>
          <w:rFonts w:asciiTheme="majorHAnsi" w:hAnsiTheme="majorHAnsi" w:cstheme="minorHAnsi"/>
          <w:sz w:val="24"/>
          <w:szCs w:val="24"/>
        </w:rPr>
        <w:t>informaționale guvernamentale,</w:t>
      </w:r>
      <w:r>
        <w:rPr>
          <w:rFonts w:asciiTheme="majorHAnsi" w:hAnsiTheme="majorHAnsi" w:cstheme="minorHAnsi"/>
          <w:sz w:val="24"/>
          <w:szCs w:val="24"/>
        </w:rPr>
        <w:t xml:space="preserve"> acest proces nu este unul instituționalizat și  racordat la cadrul normativ existent. Mai mult decât atât, este necesar de a fi reexaminată și modernizată și metodologia de calcul al venitului în scopul acordării  AJGS, </w:t>
      </w:r>
      <w:r w:rsidRPr="00CB72B2">
        <w:rPr>
          <w:rFonts w:asciiTheme="majorHAnsi" w:hAnsiTheme="majorHAnsi" w:cstheme="minorHAnsi"/>
          <w:sz w:val="24"/>
          <w:szCs w:val="24"/>
        </w:rPr>
        <w:t>întrucât se atestă atât caracterul desuet</w:t>
      </w:r>
      <w:r>
        <w:rPr>
          <w:rFonts w:asciiTheme="majorHAnsi" w:hAnsiTheme="majorHAnsi" w:cstheme="minorHAnsi"/>
          <w:sz w:val="24"/>
          <w:szCs w:val="24"/>
        </w:rPr>
        <w:t xml:space="preserve">, </w:t>
      </w:r>
      <w:r w:rsidRPr="00CB72B2">
        <w:rPr>
          <w:rFonts w:asciiTheme="majorHAnsi" w:hAnsiTheme="majorHAnsi" w:cstheme="minorHAnsi"/>
          <w:sz w:val="24"/>
          <w:szCs w:val="24"/>
        </w:rPr>
        <w:t>c</w:t>
      </w:r>
      <w:r>
        <w:rPr>
          <w:rFonts w:asciiTheme="majorHAnsi" w:hAnsiTheme="majorHAnsi" w:cstheme="minorHAnsi"/>
          <w:sz w:val="24"/>
          <w:szCs w:val="24"/>
        </w:rPr>
        <w:t>â</w:t>
      </w:r>
      <w:r w:rsidRPr="00CB72B2">
        <w:rPr>
          <w:rFonts w:asciiTheme="majorHAnsi" w:hAnsiTheme="majorHAnsi" w:cstheme="minorHAnsi"/>
          <w:sz w:val="24"/>
          <w:szCs w:val="24"/>
        </w:rPr>
        <w:t>t</w:t>
      </w:r>
      <w:r>
        <w:rPr>
          <w:rFonts w:asciiTheme="majorHAnsi" w:hAnsiTheme="majorHAnsi" w:cstheme="minorHAnsi"/>
          <w:sz w:val="24"/>
          <w:szCs w:val="24"/>
        </w:rPr>
        <w:t xml:space="preserve"> și neaplicabilitatea unor norme </w:t>
      </w:r>
      <w:r w:rsidRPr="00CB72B2">
        <w:rPr>
          <w:rFonts w:asciiTheme="majorHAnsi" w:hAnsiTheme="majorHAnsi" w:cstheme="minorHAnsi"/>
          <w:sz w:val="24"/>
          <w:szCs w:val="24"/>
        </w:rPr>
        <w:t xml:space="preserve">în ce </w:t>
      </w:r>
      <w:r>
        <w:rPr>
          <w:rFonts w:asciiTheme="majorHAnsi" w:hAnsiTheme="majorHAnsi" w:cstheme="minorHAnsi"/>
          <w:sz w:val="24"/>
          <w:szCs w:val="24"/>
        </w:rPr>
        <w:t>privește</w:t>
      </w:r>
      <w:r w:rsidRPr="00CB72B2">
        <w:rPr>
          <w:rFonts w:asciiTheme="majorHAnsi" w:hAnsiTheme="majorHAnsi" w:cstheme="minorHAnsi"/>
          <w:sz w:val="24"/>
          <w:szCs w:val="24"/>
        </w:rPr>
        <w:t xml:space="preserve"> calculul </w:t>
      </w:r>
      <w:r w:rsidRPr="001237A0">
        <w:rPr>
          <w:rFonts w:asciiTheme="majorHAnsi" w:hAnsiTheme="majorHAnsi" w:cstheme="minorHAnsi"/>
          <w:sz w:val="24"/>
          <w:szCs w:val="24"/>
        </w:rPr>
        <w:t xml:space="preserve">venitului </w:t>
      </w:r>
      <w:r w:rsidRPr="001237A0">
        <w:rPr>
          <w:rFonts w:asciiTheme="majorHAnsi" w:hAnsiTheme="majorHAnsi" w:cstheme="minorHAnsi"/>
          <w:i/>
          <w:sz w:val="24"/>
          <w:szCs w:val="24"/>
        </w:rPr>
        <w:t>în natură</w:t>
      </w:r>
      <w:r w:rsidRPr="00CB72B2">
        <w:rPr>
          <w:rFonts w:asciiTheme="majorHAnsi" w:hAnsiTheme="majorHAnsi" w:cstheme="minorHAnsi"/>
          <w:i/>
          <w:sz w:val="24"/>
          <w:szCs w:val="24"/>
        </w:rPr>
        <w:t xml:space="preserve"> </w:t>
      </w:r>
      <w:r w:rsidRPr="00520EBD">
        <w:rPr>
          <w:rFonts w:asciiTheme="majorHAnsi" w:hAnsiTheme="majorHAnsi" w:cstheme="minorHAnsi"/>
          <w:sz w:val="24"/>
          <w:szCs w:val="24"/>
        </w:rPr>
        <w:t>(</w:t>
      </w:r>
      <w:r w:rsidRPr="00CB72B2">
        <w:rPr>
          <w:rFonts w:asciiTheme="majorHAnsi" w:hAnsiTheme="majorHAnsi" w:cstheme="minorHAnsi"/>
          <w:sz w:val="24"/>
          <w:szCs w:val="24"/>
        </w:rPr>
        <w:t>veniturile obținute din producția agricolă sau zootehnică a gospodăriilor țărănești (de fermier și gospodăriei casnice auxiliare)</w:t>
      </w:r>
      <w:r w:rsidR="002B5393">
        <w:rPr>
          <w:rFonts w:asciiTheme="majorHAnsi" w:hAnsiTheme="majorHAnsi" w:cstheme="minorHAnsi"/>
          <w:sz w:val="24"/>
          <w:szCs w:val="24"/>
        </w:rPr>
        <w:t>) și altele (pct. 4.1.4</w:t>
      </w:r>
      <w:r>
        <w:rPr>
          <w:rFonts w:asciiTheme="majorHAnsi" w:hAnsiTheme="majorHAnsi" w:cstheme="minorHAnsi"/>
          <w:sz w:val="24"/>
          <w:szCs w:val="24"/>
        </w:rPr>
        <w:t>.);</w:t>
      </w:r>
      <w:r w:rsidRPr="00CB72B2">
        <w:rPr>
          <w:rFonts w:asciiTheme="majorHAnsi" w:hAnsiTheme="majorHAnsi" w:cstheme="minorHAnsi"/>
          <w:sz w:val="24"/>
          <w:szCs w:val="24"/>
        </w:rPr>
        <w:t xml:space="preserve"> </w:t>
      </w:r>
    </w:p>
    <w:p w14:paraId="5097508A" w14:textId="709F22DC" w:rsidR="00C5031A" w:rsidRDefault="00C5031A" w:rsidP="00C5031A">
      <w:pPr>
        <w:numPr>
          <w:ilvl w:val="0"/>
          <w:numId w:val="44"/>
        </w:numPr>
        <w:spacing w:after="120"/>
        <w:jc w:val="both"/>
        <w:rPr>
          <w:rFonts w:asciiTheme="majorHAnsi" w:hAnsiTheme="majorHAnsi" w:cstheme="minorHAnsi"/>
          <w:sz w:val="24"/>
          <w:szCs w:val="24"/>
        </w:rPr>
      </w:pPr>
      <w:r>
        <w:rPr>
          <w:rFonts w:asciiTheme="majorHAnsi" w:hAnsiTheme="majorHAnsi" w:cstheme="minorHAnsi"/>
          <w:sz w:val="24"/>
          <w:szCs w:val="24"/>
        </w:rPr>
        <w:t xml:space="preserve">este deficitară și acordarea AJGS persoanelor juridice, fapt generat atât de lipsa unei norme interne </w:t>
      </w:r>
      <w:r>
        <w:rPr>
          <w:rFonts w:asciiTheme="majorHAnsi" w:eastAsia="Times New Roman" w:hAnsiTheme="majorHAnsi" w:cstheme="minorHAnsi"/>
          <w:color w:val="000000" w:themeColor="text1"/>
          <w:sz w:val="24"/>
          <w:szCs w:val="24"/>
        </w:rPr>
        <w:t xml:space="preserve">elaborate și aprobate de CNAJGS, care să reglementeze punerea în aplicare a prevederilor legale aferente acestui aspect, cât și de acceptarea unor solicitări parvenite de la organele de drept privind acordarea asistenței juridice unor agenți economici insolvabili,  aceștia având desemnați de către instanța de judecată reprezentanți legali </w:t>
      </w:r>
      <w:r w:rsidR="006A426D">
        <w:rPr>
          <w:rFonts w:asciiTheme="majorHAnsi" w:eastAsia="Times New Roman" w:hAnsiTheme="majorHAnsi" w:cstheme="minorHAnsi"/>
          <w:color w:val="000000" w:themeColor="text1"/>
          <w:sz w:val="24"/>
          <w:szCs w:val="24"/>
        </w:rPr>
        <w:t xml:space="preserve">și </w:t>
      </w:r>
      <w:r>
        <w:rPr>
          <w:rFonts w:asciiTheme="majorHAnsi" w:eastAsia="Times New Roman" w:hAnsiTheme="majorHAnsi" w:cstheme="minorHAnsi"/>
          <w:color w:val="000000" w:themeColor="text1"/>
          <w:sz w:val="24"/>
          <w:szCs w:val="24"/>
        </w:rPr>
        <w:t>care nu se încadrează în criteriile de eligibilitate pentru a beneficia de</w:t>
      </w:r>
      <w:r w:rsidR="002B5393">
        <w:rPr>
          <w:rFonts w:asciiTheme="majorHAnsi" w:eastAsia="Times New Roman" w:hAnsiTheme="majorHAnsi" w:cstheme="minorHAnsi"/>
          <w:color w:val="000000" w:themeColor="text1"/>
          <w:sz w:val="24"/>
          <w:szCs w:val="24"/>
        </w:rPr>
        <w:t xml:space="preserve"> asistența respectivă (pct.4.1.3</w:t>
      </w:r>
      <w:r>
        <w:rPr>
          <w:rFonts w:asciiTheme="majorHAnsi" w:eastAsia="Times New Roman" w:hAnsiTheme="majorHAnsi" w:cstheme="minorHAnsi"/>
          <w:color w:val="000000" w:themeColor="text1"/>
          <w:sz w:val="24"/>
          <w:szCs w:val="24"/>
        </w:rPr>
        <w:t>.)</w:t>
      </w:r>
      <w:r>
        <w:rPr>
          <w:rFonts w:asciiTheme="majorHAnsi" w:hAnsiTheme="majorHAnsi" w:cstheme="minorHAnsi"/>
          <w:sz w:val="24"/>
          <w:szCs w:val="24"/>
        </w:rPr>
        <w:t>;</w:t>
      </w:r>
    </w:p>
    <w:p w14:paraId="57F99952" w14:textId="50239E8A" w:rsidR="00C5031A" w:rsidRPr="00CB72B2" w:rsidRDefault="00C5031A" w:rsidP="00C5031A">
      <w:pPr>
        <w:numPr>
          <w:ilvl w:val="0"/>
          <w:numId w:val="44"/>
        </w:numPr>
        <w:spacing w:after="120"/>
        <w:jc w:val="both"/>
        <w:rPr>
          <w:rFonts w:asciiTheme="majorHAnsi" w:hAnsiTheme="majorHAnsi" w:cstheme="minorHAnsi"/>
          <w:sz w:val="24"/>
          <w:szCs w:val="24"/>
        </w:rPr>
      </w:pPr>
      <w:r>
        <w:rPr>
          <w:rFonts w:asciiTheme="majorHAnsi" w:hAnsiTheme="majorHAnsi" w:cstheme="minorHAnsi"/>
          <w:sz w:val="24"/>
          <w:szCs w:val="24"/>
        </w:rPr>
        <w:t>în pofida faptului că legea specială prevede expres condițiile în care persoanele beneficiază de asistență juridică garantată de stat, CNAJGS a aprobat unele norme</w:t>
      </w:r>
      <w:r w:rsidRPr="00CB72B2">
        <w:rPr>
          <w:rFonts w:asciiTheme="majorHAnsi" w:hAnsiTheme="majorHAnsi" w:cstheme="minorHAnsi"/>
          <w:sz w:val="24"/>
          <w:szCs w:val="24"/>
        </w:rPr>
        <w:t xml:space="preserve"> </w:t>
      </w:r>
      <w:r>
        <w:rPr>
          <w:rFonts w:asciiTheme="majorHAnsi" w:hAnsiTheme="majorHAnsi" w:cstheme="minorHAnsi"/>
          <w:sz w:val="24"/>
          <w:szCs w:val="24"/>
        </w:rPr>
        <w:t>care</w:t>
      </w:r>
      <w:r w:rsidRPr="00CB72B2">
        <w:rPr>
          <w:rFonts w:asciiTheme="majorHAnsi" w:hAnsiTheme="majorHAnsi" w:cstheme="minorHAnsi"/>
          <w:sz w:val="24"/>
          <w:szCs w:val="24"/>
        </w:rPr>
        <w:t xml:space="preserve"> nu sunt subordonate prevederilor legale, c</w:t>
      </w:r>
      <w:r>
        <w:rPr>
          <w:rFonts w:asciiTheme="majorHAnsi" w:hAnsiTheme="majorHAnsi" w:cstheme="minorHAnsi"/>
          <w:sz w:val="24"/>
          <w:szCs w:val="24"/>
        </w:rPr>
        <w:t>eea ce permite coordonatorilor OT acordarea serviciilor</w:t>
      </w:r>
      <w:r w:rsidRPr="00CB72B2">
        <w:rPr>
          <w:rFonts w:asciiTheme="majorHAnsi" w:hAnsiTheme="majorHAnsi" w:cstheme="minorHAnsi"/>
          <w:sz w:val="24"/>
          <w:szCs w:val="24"/>
        </w:rPr>
        <w:t xml:space="preserve"> juridice unor persoane </w:t>
      </w:r>
      <w:r w:rsidRPr="00136B01">
        <w:rPr>
          <w:rFonts w:asciiTheme="majorHAnsi" w:hAnsiTheme="majorHAnsi" w:cstheme="minorHAnsi"/>
          <w:sz w:val="24"/>
          <w:szCs w:val="24"/>
        </w:rPr>
        <w:t>neeligibile</w:t>
      </w:r>
      <w:r>
        <w:rPr>
          <w:rFonts w:asciiTheme="majorHAnsi" w:hAnsiTheme="majorHAnsi" w:cstheme="minorHAnsi"/>
          <w:sz w:val="24"/>
          <w:szCs w:val="24"/>
        </w:rPr>
        <w:t xml:space="preserve"> sau în </w:t>
      </w:r>
      <w:r w:rsidR="002B5393">
        <w:rPr>
          <w:rFonts w:asciiTheme="majorHAnsi" w:hAnsiTheme="majorHAnsi" w:cstheme="minorHAnsi"/>
          <w:sz w:val="24"/>
          <w:szCs w:val="24"/>
        </w:rPr>
        <w:t>condiții favorizante (pct. 4.1.6</w:t>
      </w:r>
      <w:r>
        <w:rPr>
          <w:rFonts w:asciiTheme="majorHAnsi" w:hAnsiTheme="majorHAnsi" w:cstheme="minorHAnsi"/>
          <w:sz w:val="24"/>
          <w:szCs w:val="24"/>
        </w:rPr>
        <w:t>.);</w:t>
      </w:r>
      <w:r w:rsidRPr="00CB72B2">
        <w:rPr>
          <w:rFonts w:asciiTheme="majorHAnsi" w:hAnsiTheme="majorHAnsi" w:cstheme="minorHAnsi"/>
          <w:sz w:val="24"/>
          <w:szCs w:val="24"/>
        </w:rPr>
        <w:t xml:space="preserve"> </w:t>
      </w:r>
    </w:p>
    <w:p w14:paraId="1D7BBACE" w14:textId="4BB90AB0" w:rsidR="00C5031A" w:rsidRDefault="00C5031A" w:rsidP="00C5031A">
      <w:pPr>
        <w:numPr>
          <w:ilvl w:val="0"/>
          <w:numId w:val="44"/>
        </w:numPr>
        <w:spacing w:after="120"/>
        <w:jc w:val="both"/>
        <w:rPr>
          <w:rFonts w:asciiTheme="majorHAnsi" w:hAnsiTheme="majorHAnsi" w:cstheme="minorHAnsi"/>
          <w:sz w:val="24"/>
          <w:szCs w:val="24"/>
        </w:rPr>
      </w:pPr>
      <w:r w:rsidRPr="00CB72B2">
        <w:rPr>
          <w:rFonts w:asciiTheme="majorHAnsi" w:hAnsiTheme="majorHAnsi" w:cstheme="minorHAnsi"/>
          <w:sz w:val="24"/>
          <w:szCs w:val="24"/>
        </w:rPr>
        <w:t>CNAJGS nu a asigurat reglementarea volumului de lucru în cazul avocaților contractați la cerere</w:t>
      </w:r>
      <w:r>
        <w:rPr>
          <w:rFonts w:asciiTheme="majorHAnsi" w:hAnsiTheme="majorHAnsi" w:cstheme="minorHAnsi"/>
          <w:sz w:val="24"/>
          <w:szCs w:val="24"/>
        </w:rPr>
        <w:t>,</w:t>
      </w:r>
      <w:r w:rsidRPr="00CB72B2">
        <w:rPr>
          <w:rFonts w:asciiTheme="majorHAnsi" w:hAnsiTheme="majorHAnsi" w:cstheme="minorHAnsi"/>
          <w:sz w:val="24"/>
          <w:szCs w:val="24"/>
        </w:rPr>
        <w:t xml:space="preserve"> fapt c</w:t>
      </w:r>
      <w:r>
        <w:rPr>
          <w:rFonts w:asciiTheme="majorHAnsi" w:hAnsiTheme="majorHAnsi" w:cstheme="minorHAnsi"/>
          <w:sz w:val="24"/>
          <w:szCs w:val="24"/>
        </w:rPr>
        <w:t>ar</w:t>
      </w:r>
      <w:r w:rsidRPr="00CB72B2">
        <w:rPr>
          <w:rFonts w:asciiTheme="majorHAnsi" w:hAnsiTheme="majorHAnsi" w:cstheme="minorHAnsi"/>
          <w:sz w:val="24"/>
          <w:szCs w:val="24"/>
        </w:rPr>
        <w:t xml:space="preserve">e a dus la prezența unor discrepanțe semnificative și practici neuniforme în cadrul procesului de repartizare a cauzelor de AJGS avocaților contractați. </w:t>
      </w:r>
      <w:r>
        <w:rPr>
          <w:rFonts w:asciiTheme="majorHAnsi" w:hAnsiTheme="majorHAnsi" w:cstheme="minorHAnsi"/>
          <w:sz w:val="24"/>
          <w:szCs w:val="24"/>
        </w:rPr>
        <w:t>În ansamblu,</w:t>
      </w:r>
      <w:r w:rsidRPr="00CB72B2">
        <w:rPr>
          <w:rFonts w:asciiTheme="majorHAnsi" w:hAnsiTheme="majorHAnsi" w:cstheme="minorHAnsi"/>
          <w:sz w:val="24"/>
          <w:szCs w:val="24"/>
        </w:rPr>
        <w:t xml:space="preserve"> situația </w:t>
      </w:r>
      <w:r w:rsidRPr="005D1727">
        <w:rPr>
          <w:rFonts w:asciiTheme="majorHAnsi" w:hAnsiTheme="majorHAnsi" w:cstheme="minorHAnsi"/>
          <w:sz w:val="24"/>
          <w:szCs w:val="24"/>
        </w:rPr>
        <w:t>constatată</w:t>
      </w:r>
      <w:r w:rsidRPr="00CB72B2">
        <w:rPr>
          <w:rFonts w:asciiTheme="majorHAnsi" w:hAnsiTheme="majorHAnsi" w:cstheme="minorHAnsi"/>
          <w:sz w:val="24"/>
          <w:szCs w:val="24"/>
        </w:rPr>
        <w:t xml:space="preserve"> în anul 2021 </w:t>
      </w:r>
      <w:r>
        <w:rPr>
          <w:rFonts w:asciiTheme="majorHAnsi" w:hAnsiTheme="majorHAnsi" w:cstheme="minorHAnsi"/>
          <w:sz w:val="24"/>
          <w:szCs w:val="24"/>
        </w:rPr>
        <w:t>indică</w:t>
      </w:r>
      <w:r w:rsidRPr="00CB72B2">
        <w:rPr>
          <w:rFonts w:asciiTheme="majorHAnsi" w:hAnsiTheme="majorHAnsi" w:cstheme="minorHAnsi"/>
          <w:sz w:val="24"/>
          <w:szCs w:val="24"/>
        </w:rPr>
        <w:t xml:space="preserve"> că, dacă </w:t>
      </w:r>
      <w:r w:rsidRPr="005D1727">
        <w:rPr>
          <w:rFonts w:asciiTheme="majorHAnsi" w:hAnsiTheme="majorHAnsi" w:cstheme="minorHAnsi"/>
          <w:sz w:val="24"/>
          <w:szCs w:val="24"/>
        </w:rPr>
        <w:t>în unele</w:t>
      </w:r>
      <w:r w:rsidRPr="00CB72B2">
        <w:rPr>
          <w:rFonts w:asciiTheme="majorHAnsi" w:hAnsiTheme="majorHAnsi" w:cstheme="minorHAnsi"/>
          <w:sz w:val="24"/>
          <w:szCs w:val="24"/>
        </w:rPr>
        <w:t xml:space="preserve"> cazuri avocaților nu l</w:t>
      </w:r>
      <w:r>
        <w:rPr>
          <w:rFonts w:asciiTheme="majorHAnsi" w:hAnsiTheme="majorHAnsi" w:cstheme="minorHAnsi"/>
          <w:sz w:val="24"/>
          <w:szCs w:val="24"/>
        </w:rPr>
        <w:t>i s-a</w:t>
      </w:r>
      <w:r w:rsidRPr="00CB72B2">
        <w:rPr>
          <w:rFonts w:asciiTheme="majorHAnsi" w:hAnsiTheme="majorHAnsi" w:cstheme="minorHAnsi"/>
          <w:sz w:val="24"/>
          <w:szCs w:val="24"/>
        </w:rPr>
        <w:t xml:space="preserve"> repartizat </w:t>
      </w:r>
      <w:r w:rsidRPr="005D1727">
        <w:rPr>
          <w:rFonts w:asciiTheme="majorHAnsi" w:hAnsiTheme="majorHAnsi" w:cstheme="minorHAnsi"/>
          <w:sz w:val="24"/>
          <w:szCs w:val="24"/>
        </w:rPr>
        <w:t>nici</w:t>
      </w:r>
      <w:r w:rsidRPr="00CB72B2">
        <w:rPr>
          <w:rFonts w:asciiTheme="majorHAnsi" w:hAnsiTheme="majorHAnsi" w:cstheme="minorHAnsi"/>
          <w:sz w:val="24"/>
          <w:szCs w:val="24"/>
        </w:rPr>
        <w:t xml:space="preserve">un </w:t>
      </w:r>
      <w:r w:rsidRPr="005D1727">
        <w:rPr>
          <w:rFonts w:asciiTheme="majorHAnsi" w:hAnsiTheme="majorHAnsi" w:cstheme="minorHAnsi"/>
          <w:sz w:val="24"/>
          <w:szCs w:val="24"/>
        </w:rPr>
        <w:t>dosar</w:t>
      </w:r>
      <w:r>
        <w:rPr>
          <w:rFonts w:asciiTheme="majorHAnsi" w:hAnsiTheme="majorHAnsi" w:cstheme="minorHAnsi"/>
          <w:sz w:val="24"/>
          <w:szCs w:val="24"/>
        </w:rPr>
        <w:t>,</w:t>
      </w:r>
      <w:r w:rsidRPr="00CB72B2">
        <w:rPr>
          <w:rFonts w:asciiTheme="majorHAnsi" w:hAnsiTheme="majorHAnsi" w:cstheme="minorHAnsi"/>
          <w:sz w:val="24"/>
          <w:szCs w:val="24"/>
        </w:rPr>
        <w:t xml:space="preserve"> atunci în alte</w:t>
      </w:r>
      <w:r>
        <w:rPr>
          <w:rFonts w:asciiTheme="majorHAnsi" w:hAnsiTheme="majorHAnsi" w:cstheme="minorHAnsi"/>
          <w:sz w:val="24"/>
          <w:szCs w:val="24"/>
        </w:rPr>
        <w:t>le</w:t>
      </w:r>
      <w:r w:rsidRPr="005D1727">
        <w:rPr>
          <w:rFonts w:asciiTheme="majorHAnsi" w:hAnsiTheme="majorHAnsi" w:cstheme="minorHAnsi"/>
          <w:sz w:val="24"/>
          <w:szCs w:val="24"/>
        </w:rPr>
        <w:t xml:space="preserve"> apărătorii</w:t>
      </w:r>
      <w:r w:rsidRPr="00CB72B2">
        <w:rPr>
          <w:rFonts w:asciiTheme="majorHAnsi" w:hAnsiTheme="majorHAnsi" w:cstheme="minorHAnsi"/>
          <w:sz w:val="24"/>
          <w:szCs w:val="24"/>
        </w:rPr>
        <w:t xml:space="preserve"> au gestionat mai mult de 200 </w:t>
      </w:r>
      <w:r>
        <w:rPr>
          <w:rFonts w:asciiTheme="majorHAnsi" w:hAnsiTheme="majorHAnsi" w:cstheme="minorHAnsi"/>
          <w:sz w:val="24"/>
          <w:szCs w:val="24"/>
        </w:rPr>
        <w:t>de dosare (pct. 4.1.</w:t>
      </w:r>
      <w:r w:rsidR="002B5393">
        <w:rPr>
          <w:rFonts w:asciiTheme="majorHAnsi" w:hAnsiTheme="majorHAnsi" w:cstheme="minorHAnsi"/>
          <w:sz w:val="24"/>
          <w:szCs w:val="24"/>
        </w:rPr>
        <w:t>7</w:t>
      </w:r>
      <w:r>
        <w:rPr>
          <w:rFonts w:asciiTheme="majorHAnsi" w:hAnsiTheme="majorHAnsi" w:cstheme="minorHAnsi"/>
          <w:sz w:val="24"/>
          <w:szCs w:val="24"/>
        </w:rPr>
        <w:t>.);</w:t>
      </w:r>
    </w:p>
    <w:p w14:paraId="2EBA2669" w14:textId="77777777" w:rsidR="00C5031A" w:rsidRDefault="00C5031A" w:rsidP="00C5031A">
      <w:pPr>
        <w:numPr>
          <w:ilvl w:val="0"/>
          <w:numId w:val="44"/>
        </w:numPr>
        <w:spacing w:after="120"/>
        <w:jc w:val="both"/>
        <w:rPr>
          <w:rFonts w:asciiTheme="majorHAnsi" w:hAnsiTheme="majorHAnsi" w:cstheme="minorHAnsi"/>
          <w:sz w:val="24"/>
          <w:szCs w:val="24"/>
        </w:rPr>
      </w:pPr>
      <w:r>
        <w:rPr>
          <w:rFonts w:asciiTheme="majorHAnsi" w:hAnsiTheme="majorHAnsi" w:cstheme="minorHAnsi"/>
          <w:sz w:val="24"/>
          <w:szCs w:val="24"/>
        </w:rPr>
        <w:t xml:space="preserve"> n</w:t>
      </w:r>
      <w:r w:rsidRPr="000E42D4">
        <w:rPr>
          <w:rFonts w:asciiTheme="majorHAnsi" w:hAnsiTheme="majorHAnsi" w:cstheme="minorHAnsi"/>
          <w:sz w:val="24"/>
          <w:szCs w:val="24"/>
        </w:rPr>
        <w:t xml:space="preserve">ecesită a fi îmbunătățit și procesul de remunerare a avocaților care acordă servicii juridice, prin instituirea unor activități de control menite să asigure conformitatea utilizării mijloacelor bugetare în scopurile menționate. Or, verificările de audit reliefează cazuri de remunerare a unor avocați pentru acțiuni judiciare neconfirmate documentar sau acțiuni care nu pot fi probate și justificate ca executate, cum ar fi vizitele efectuate în penitenciar, prezența în ședințele de judecată, luarea cunoștinței de unele acte procesuale și explicarea acestora. La </w:t>
      </w:r>
      <w:r w:rsidRPr="000E42D4">
        <w:rPr>
          <w:rFonts w:asciiTheme="majorHAnsi" w:hAnsiTheme="majorHAnsi" w:cstheme="minorHAnsi"/>
          <w:sz w:val="24"/>
          <w:szCs w:val="24"/>
        </w:rPr>
        <w:lastRenderedPageBreak/>
        <w:t>fel, au fost identificate cazuri de achitare dublă a unor acțiuni realizate și raportate ca urmare a desemnării a doi avocați pe aceeași cauză de tip ordinar (pct. 4.2.1.);</w:t>
      </w:r>
    </w:p>
    <w:p w14:paraId="36605F1D" w14:textId="77777777" w:rsidR="00C5031A" w:rsidRDefault="00C5031A" w:rsidP="00C5031A">
      <w:pPr>
        <w:numPr>
          <w:ilvl w:val="0"/>
          <w:numId w:val="44"/>
        </w:numPr>
        <w:tabs>
          <w:tab w:val="left" w:pos="540"/>
        </w:tabs>
        <w:spacing w:after="120"/>
        <w:jc w:val="both"/>
        <w:rPr>
          <w:rFonts w:asciiTheme="majorHAnsi" w:hAnsiTheme="majorHAnsi" w:cstheme="minorHAnsi"/>
          <w:sz w:val="24"/>
          <w:szCs w:val="24"/>
        </w:rPr>
      </w:pPr>
      <w:r>
        <w:rPr>
          <w:rFonts w:asciiTheme="majorHAnsi" w:hAnsiTheme="majorHAnsi" w:cstheme="minorHAnsi"/>
          <w:sz w:val="24"/>
          <w:szCs w:val="24"/>
        </w:rPr>
        <w:t>e</w:t>
      </w:r>
      <w:r w:rsidRPr="000E42D4">
        <w:rPr>
          <w:rFonts w:asciiTheme="majorHAnsi" w:hAnsiTheme="majorHAnsi" w:cstheme="minorHAnsi"/>
          <w:sz w:val="24"/>
          <w:szCs w:val="24"/>
        </w:rPr>
        <w:t xml:space="preserve">xistența slăbiciunilor instituționale atât în procesul de monitorizare a calității asistenței juridice prestate de avocați, cât și la aplicarea mecanismului de restituire a cheltuielilor aferente asistenței juridice acordate a determinat funcționarea defectuoasă a acestora. Prin urmare, auditul a constatat cazuri de neidentificare și de </w:t>
      </w:r>
      <w:proofErr w:type="spellStart"/>
      <w:r w:rsidRPr="000E42D4">
        <w:rPr>
          <w:rFonts w:asciiTheme="majorHAnsi" w:hAnsiTheme="majorHAnsi" w:cstheme="minorHAnsi"/>
          <w:sz w:val="24"/>
          <w:szCs w:val="24"/>
        </w:rPr>
        <w:t>neîntreprindere</w:t>
      </w:r>
      <w:proofErr w:type="spellEnd"/>
      <w:r w:rsidRPr="000E42D4">
        <w:rPr>
          <w:rFonts w:asciiTheme="majorHAnsi" w:hAnsiTheme="majorHAnsi" w:cstheme="minorHAnsi"/>
          <w:sz w:val="24"/>
          <w:szCs w:val="24"/>
        </w:rPr>
        <w:t xml:space="preserve"> a măsurilor de încasare la buget a costurilor asistenței juridice pasibile recuperării. Verificările selective de audit au relevat că iregularitatea respectivă este una sistemică, identificată în 10% din eșantionul verificat, ceea ce însumează 32,0 mii lei (pct. 4.2.3. și pct. 4.2.4.);</w:t>
      </w:r>
    </w:p>
    <w:p w14:paraId="2A2DB4A0" w14:textId="77777777" w:rsidR="00C5031A" w:rsidRPr="000E42D4" w:rsidRDefault="00C5031A" w:rsidP="00C5031A">
      <w:pPr>
        <w:numPr>
          <w:ilvl w:val="0"/>
          <w:numId w:val="44"/>
        </w:numPr>
        <w:tabs>
          <w:tab w:val="left" w:pos="540"/>
        </w:tabs>
        <w:spacing w:after="120"/>
        <w:jc w:val="both"/>
        <w:rPr>
          <w:rFonts w:asciiTheme="majorHAnsi" w:hAnsiTheme="majorHAnsi" w:cstheme="minorHAnsi"/>
          <w:sz w:val="24"/>
          <w:szCs w:val="24"/>
        </w:rPr>
      </w:pPr>
      <w:r>
        <w:rPr>
          <w:rFonts w:asciiTheme="majorHAnsi" w:hAnsiTheme="majorHAnsi" w:cstheme="minorHAnsi"/>
          <w:sz w:val="24"/>
          <w:szCs w:val="24"/>
        </w:rPr>
        <w:t>s</w:t>
      </w:r>
      <w:r w:rsidRPr="000E42D4">
        <w:rPr>
          <w:rFonts w:asciiTheme="majorHAnsi" w:hAnsiTheme="majorHAnsi" w:cstheme="minorHAnsi"/>
          <w:sz w:val="24"/>
          <w:szCs w:val="24"/>
        </w:rPr>
        <w:t xml:space="preserve">tructura organizațională a entităților responsabile de administrarea procesului de  AJGS este una difuză, existând neclarități privind statutul juridic și poziționarea acestora, rolul și responsabilitățile atribuite, inclusiv în procesele de planificare, de gestionare și de raportare a mijloacelor bugetare (pct. 4.3.1. și pct. 4.3.2.). </w:t>
      </w:r>
    </w:p>
    <w:p w14:paraId="367736D7" w14:textId="77777777" w:rsidR="00C5031A" w:rsidRPr="00CB72B2" w:rsidRDefault="00C5031A" w:rsidP="00C5031A">
      <w:pPr>
        <w:jc w:val="both"/>
        <w:rPr>
          <w:rFonts w:asciiTheme="majorHAnsi" w:hAnsiTheme="majorHAnsi" w:cstheme="minorHAnsi"/>
          <w:sz w:val="24"/>
          <w:szCs w:val="24"/>
        </w:rPr>
      </w:pPr>
      <w:r>
        <w:rPr>
          <w:rFonts w:asciiTheme="majorHAnsi" w:hAnsiTheme="majorHAnsi" w:cstheme="minorHAnsi"/>
          <w:sz w:val="24"/>
          <w:szCs w:val="24"/>
        </w:rPr>
        <w:t>M</w:t>
      </w:r>
      <w:r w:rsidRPr="00CB72B2">
        <w:rPr>
          <w:rFonts w:asciiTheme="majorHAnsi" w:hAnsiTheme="majorHAnsi" w:cstheme="minorHAnsi"/>
          <w:sz w:val="24"/>
          <w:szCs w:val="24"/>
        </w:rPr>
        <w:t>isiun</w:t>
      </w:r>
      <w:r>
        <w:rPr>
          <w:rFonts w:asciiTheme="majorHAnsi" w:hAnsiTheme="majorHAnsi" w:cstheme="minorHAnsi"/>
          <w:sz w:val="24"/>
          <w:szCs w:val="24"/>
        </w:rPr>
        <w:t>ea</w:t>
      </w:r>
      <w:r w:rsidRPr="00CB72B2">
        <w:rPr>
          <w:rFonts w:asciiTheme="majorHAnsi" w:hAnsiTheme="majorHAnsi" w:cstheme="minorHAnsi"/>
          <w:sz w:val="24"/>
          <w:szCs w:val="24"/>
        </w:rPr>
        <w:t xml:space="preserve"> de audit</w:t>
      </w:r>
      <w:r>
        <w:rPr>
          <w:rFonts w:asciiTheme="majorHAnsi" w:hAnsiTheme="majorHAnsi" w:cstheme="minorHAnsi"/>
          <w:sz w:val="24"/>
          <w:szCs w:val="24"/>
        </w:rPr>
        <w:t xml:space="preserve"> public extern</w:t>
      </w:r>
      <w:r w:rsidRPr="00CB72B2">
        <w:rPr>
          <w:rFonts w:asciiTheme="majorHAnsi" w:hAnsiTheme="majorHAnsi" w:cstheme="minorHAnsi"/>
          <w:sz w:val="24"/>
          <w:szCs w:val="24"/>
        </w:rPr>
        <w:t xml:space="preserve">, </w:t>
      </w:r>
      <w:r>
        <w:rPr>
          <w:rFonts w:asciiTheme="majorHAnsi" w:hAnsiTheme="majorHAnsi" w:cstheme="minorHAnsi"/>
          <w:sz w:val="24"/>
          <w:szCs w:val="24"/>
        </w:rPr>
        <w:t xml:space="preserve">în </w:t>
      </w:r>
      <w:r w:rsidRPr="00CB72B2">
        <w:rPr>
          <w:rFonts w:asciiTheme="majorHAnsi" w:hAnsiTheme="majorHAnsi" w:cstheme="minorHAnsi"/>
          <w:sz w:val="24"/>
          <w:szCs w:val="24"/>
        </w:rPr>
        <w:t xml:space="preserve">general, </w:t>
      </w:r>
      <w:r>
        <w:rPr>
          <w:rFonts w:asciiTheme="majorHAnsi" w:hAnsiTheme="majorHAnsi" w:cstheme="minorHAnsi"/>
          <w:sz w:val="24"/>
          <w:szCs w:val="24"/>
        </w:rPr>
        <w:t>are ca scop</w:t>
      </w:r>
      <w:r w:rsidRPr="00CB72B2">
        <w:rPr>
          <w:rFonts w:asciiTheme="majorHAnsi" w:hAnsiTheme="majorHAnsi" w:cstheme="minorHAnsi"/>
          <w:sz w:val="24"/>
          <w:szCs w:val="24"/>
        </w:rPr>
        <w:t xml:space="preserve"> valorific</w:t>
      </w:r>
      <w:r>
        <w:rPr>
          <w:rFonts w:asciiTheme="majorHAnsi" w:hAnsiTheme="majorHAnsi" w:cstheme="minorHAnsi"/>
          <w:sz w:val="24"/>
          <w:szCs w:val="24"/>
        </w:rPr>
        <w:t>area</w:t>
      </w:r>
      <w:r w:rsidRPr="00CB72B2">
        <w:rPr>
          <w:rFonts w:asciiTheme="majorHAnsi" w:hAnsiTheme="majorHAnsi" w:cstheme="minorHAnsi"/>
          <w:sz w:val="24"/>
          <w:szCs w:val="24"/>
        </w:rPr>
        <w:t xml:space="preserve"> rezultatelor obținute și oferirea acestora părților interesate (Parlament, Guvern și societatea civilă), fiind formulate concluzii și înaintate recomandări în vederea îmbunătățirii și consolidării managementului instituțional</w:t>
      </w:r>
      <w:r>
        <w:rPr>
          <w:rFonts w:asciiTheme="majorHAnsi" w:hAnsiTheme="majorHAnsi" w:cstheme="minorHAnsi"/>
          <w:sz w:val="24"/>
          <w:szCs w:val="24"/>
        </w:rPr>
        <w:t xml:space="preserve"> la acordarea asistenței juridice garantate de stat, precum </w:t>
      </w:r>
      <w:r w:rsidRPr="00CB72B2">
        <w:rPr>
          <w:rFonts w:asciiTheme="majorHAnsi" w:hAnsiTheme="majorHAnsi" w:cstheme="minorHAnsi"/>
          <w:sz w:val="24"/>
          <w:szCs w:val="24"/>
        </w:rPr>
        <w:t>și eliminării deficiențelor constatate de audit</w:t>
      </w:r>
      <w:r>
        <w:rPr>
          <w:rFonts w:asciiTheme="majorHAnsi" w:hAnsiTheme="majorHAnsi" w:cstheme="minorHAnsi"/>
          <w:sz w:val="24"/>
          <w:szCs w:val="24"/>
        </w:rPr>
        <w:t>ori</w:t>
      </w:r>
      <w:r w:rsidRPr="00CB72B2">
        <w:rPr>
          <w:rFonts w:asciiTheme="majorHAnsi" w:hAnsiTheme="majorHAnsi" w:cstheme="minorHAnsi"/>
          <w:sz w:val="24"/>
          <w:szCs w:val="24"/>
        </w:rPr>
        <w:t>.</w:t>
      </w:r>
    </w:p>
    <w:p w14:paraId="167FB258" w14:textId="77777777" w:rsidR="00C5031A" w:rsidRPr="00CB72B2" w:rsidRDefault="00C5031A" w:rsidP="00C5031A">
      <w:pPr>
        <w:spacing w:after="0" w:line="276" w:lineRule="auto"/>
        <w:jc w:val="both"/>
        <w:rPr>
          <w:rFonts w:asciiTheme="majorHAnsi" w:hAnsiTheme="majorHAnsi" w:cstheme="minorHAnsi"/>
          <w:bCs/>
          <w:i/>
          <w:sz w:val="24"/>
          <w:szCs w:val="24"/>
        </w:rPr>
      </w:pPr>
      <w:r w:rsidRPr="00CB72B2">
        <w:rPr>
          <w:rFonts w:asciiTheme="majorHAnsi" w:hAnsiTheme="majorHAnsi" w:cstheme="minorHAnsi"/>
          <w:bCs/>
          <w:i/>
          <w:sz w:val="24"/>
          <w:szCs w:val="24"/>
        </w:rPr>
        <w:t xml:space="preserve">Raportul de audit este destinat: </w:t>
      </w:r>
    </w:p>
    <w:p w14:paraId="3BE9A473" w14:textId="77777777" w:rsidR="00C5031A" w:rsidRPr="00CB72B2" w:rsidRDefault="00C5031A" w:rsidP="00C5031A">
      <w:pPr>
        <w:spacing w:line="276" w:lineRule="auto"/>
        <w:jc w:val="both"/>
        <w:rPr>
          <w:rFonts w:asciiTheme="majorHAnsi" w:hAnsiTheme="majorHAnsi" w:cstheme="minorHAnsi"/>
          <w:sz w:val="24"/>
          <w:szCs w:val="24"/>
        </w:rPr>
      </w:pPr>
      <w:r w:rsidRPr="00CB72B2">
        <w:rPr>
          <w:rFonts w:asciiTheme="majorHAnsi" w:hAnsiTheme="majorHAnsi" w:cstheme="minorHAnsi"/>
          <w:b/>
          <w:sz w:val="24"/>
          <w:szCs w:val="24"/>
        </w:rPr>
        <w:t>Parlamentul</w:t>
      </w:r>
      <w:r>
        <w:rPr>
          <w:rFonts w:asciiTheme="majorHAnsi" w:hAnsiTheme="majorHAnsi" w:cstheme="minorHAnsi"/>
          <w:b/>
          <w:sz w:val="24"/>
          <w:szCs w:val="24"/>
        </w:rPr>
        <w:t>ui</w:t>
      </w:r>
      <w:r w:rsidRPr="00CB72B2">
        <w:rPr>
          <w:rFonts w:asciiTheme="majorHAnsi" w:hAnsiTheme="majorHAnsi" w:cstheme="minorHAnsi"/>
          <w:b/>
          <w:sz w:val="24"/>
          <w:szCs w:val="24"/>
        </w:rPr>
        <w:t xml:space="preserve"> și Guvernul</w:t>
      </w:r>
      <w:r>
        <w:rPr>
          <w:rFonts w:asciiTheme="majorHAnsi" w:hAnsiTheme="majorHAnsi" w:cstheme="minorHAnsi"/>
          <w:b/>
          <w:sz w:val="24"/>
          <w:szCs w:val="24"/>
        </w:rPr>
        <w:t>ui</w:t>
      </w:r>
      <w:r w:rsidRPr="00CB72B2">
        <w:rPr>
          <w:rFonts w:asciiTheme="majorHAnsi" w:hAnsiTheme="majorHAnsi" w:cstheme="minorHAnsi"/>
          <w:b/>
          <w:sz w:val="24"/>
          <w:szCs w:val="24"/>
        </w:rPr>
        <w:t xml:space="preserve"> Republicii Moldova</w:t>
      </w:r>
      <w:r w:rsidRPr="00CB72B2">
        <w:rPr>
          <w:rFonts w:asciiTheme="majorHAnsi" w:hAnsiTheme="majorHAnsi" w:cstheme="minorHAnsi"/>
          <w:sz w:val="24"/>
          <w:szCs w:val="24"/>
        </w:rPr>
        <w:t xml:space="preserve"> – pentru informare și luare de atitudine privind situația existentă în administrarea sistemului de acordare a asistenței juridice garantate de stat, precum și pentru o posibilă utilizare a informațiilor la luarea deciziilor, înaintarea inițiativelor privind promovarea politicilor statului în acest domeniu; </w:t>
      </w:r>
    </w:p>
    <w:p w14:paraId="0D569863" w14:textId="77777777" w:rsidR="00C5031A" w:rsidRPr="00CB72B2" w:rsidRDefault="00C5031A" w:rsidP="00C5031A">
      <w:pPr>
        <w:spacing w:line="276" w:lineRule="auto"/>
        <w:jc w:val="both"/>
        <w:rPr>
          <w:rFonts w:asciiTheme="majorHAnsi" w:hAnsiTheme="majorHAnsi" w:cstheme="minorHAnsi"/>
          <w:sz w:val="24"/>
          <w:szCs w:val="24"/>
        </w:rPr>
      </w:pPr>
      <w:r w:rsidRPr="00CB72B2">
        <w:rPr>
          <w:rFonts w:asciiTheme="majorHAnsi" w:hAnsiTheme="majorHAnsi" w:cstheme="minorHAnsi"/>
          <w:b/>
          <w:sz w:val="24"/>
          <w:szCs w:val="24"/>
        </w:rPr>
        <w:t>Ministerul</w:t>
      </w:r>
      <w:r>
        <w:rPr>
          <w:rFonts w:asciiTheme="majorHAnsi" w:hAnsiTheme="majorHAnsi" w:cstheme="minorHAnsi"/>
          <w:b/>
          <w:sz w:val="24"/>
          <w:szCs w:val="24"/>
        </w:rPr>
        <w:t>ui</w:t>
      </w:r>
      <w:r w:rsidRPr="00CB72B2">
        <w:rPr>
          <w:rFonts w:asciiTheme="majorHAnsi" w:hAnsiTheme="majorHAnsi" w:cstheme="minorHAnsi"/>
          <w:b/>
          <w:sz w:val="24"/>
          <w:szCs w:val="24"/>
        </w:rPr>
        <w:t xml:space="preserve"> Justiției </w:t>
      </w:r>
      <w:r>
        <w:rPr>
          <w:rFonts w:asciiTheme="majorHAnsi" w:hAnsiTheme="majorHAnsi" w:cstheme="minorHAnsi"/>
          <w:sz w:val="24"/>
          <w:szCs w:val="24"/>
        </w:rPr>
        <w:t>–</w:t>
      </w:r>
      <w:r w:rsidRPr="00CB72B2">
        <w:rPr>
          <w:rFonts w:asciiTheme="majorHAnsi" w:hAnsiTheme="majorHAnsi" w:cstheme="minorHAnsi"/>
          <w:sz w:val="24"/>
          <w:szCs w:val="24"/>
        </w:rPr>
        <w:t xml:space="preserve"> ca organ central de specialitate al administrației publice centrale responsabil de elaborarea și promovarea politicii de stat în domeniul asistenței juridice garantate de stat;</w:t>
      </w:r>
    </w:p>
    <w:p w14:paraId="4E20C1D1" w14:textId="77777777" w:rsidR="00C5031A" w:rsidRPr="00CB72B2" w:rsidRDefault="00C5031A" w:rsidP="00C5031A">
      <w:pPr>
        <w:spacing w:line="276" w:lineRule="auto"/>
        <w:jc w:val="both"/>
        <w:rPr>
          <w:rFonts w:asciiTheme="majorHAnsi" w:hAnsiTheme="majorHAnsi" w:cstheme="minorHAnsi"/>
          <w:sz w:val="24"/>
          <w:szCs w:val="24"/>
        </w:rPr>
      </w:pPr>
      <w:r w:rsidRPr="00CB72B2">
        <w:rPr>
          <w:rFonts w:asciiTheme="majorHAnsi" w:hAnsiTheme="majorHAnsi" w:cstheme="minorHAnsi"/>
          <w:b/>
          <w:sz w:val="24"/>
          <w:szCs w:val="24"/>
        </w:rPr>
        <w:t>CNAJGS, inclusiv Aparatul</w:t>
      </w:r>
      <w:r>
        <w:rPr>
          <w:rFonts w:asciiTheme="majorHAnsi" w:hAnsiTheme="majorHAnsi" w:cstheme="minorHAnsi"/>
          <w:b/>
          <w:sz w:val="24"/>
          <w:szCs w:val="24"/>
        </w:rPr>
        <w:t>ui</w:t>
      </w:r>
      <w:r w:rsidRPr="00CB72B2">
        <w:rPr>
          <w:rFonts w:asciiTheme="majorHAnsi" w:hAnsiTheme="majorHAnsi" w:cstheme="minorHAnsi"/>
          <w:b/>
          <w:sz w:val="24"/>
          <w:szCs w:val="24"/>
        </w:rPr>
        <w:t xml:space="preserve"> administrativ și Oficiil</w:t>
      </w:r>
      <w:r>
        <w:rPr>
          <w:rFonts w:asciiTheme="majorHAnsi" w:hAnsiTheme="majorHAnsi" w:cstheme="minorHAnsi"/>
          <w:b/>
          <w:sz w:val="24"/>
          <w:szCs w:val="24"/>
        </w:rPr>
        <w:t>or</w:t>
      </w:r>
      <w:r w:rsidRPr="00CB72B2">
        <w:rPr>
          <w:rFonts w:asciiTheme="majorHAnsi" w:hAnsiTheme="majorHAnsi" w:cstheme="minorHAnsi"/>
          <w:b/>
          <w:sz w:val="24"/>
          <w:szCs w:val="24"/>
        </w:rPr>
        <w:t xml:space="preserve"> Teritoriale ale CNAJGS</w:t>
      </w:r>
      <w:r w:rsidRPr="00CB72B2">
        <w:rPr>
          <w:rFonts w:asciiTheme="majorHAnsi" w:hAnsiTheme="majorHAnsi" w:cstheme="minorHAnsi"/>
          <w:i/>
          <w:iCs/>
        </w:rPr>
        <w:t xml:space="preserve">  </w:t>
      </w:r>
      <w:r>
        <w:rPr>
          <w:rFonts w:asciiTheme="majorHAnsi" w:hAnsiTheme="majorHAnsi" w:cstheme="minorHAnsi"/>
          <w:sz w:val="24"/>
          <w:szCs w:val="24"/>
        </w:rPr>
        <w:t>–</w:t>
      </w:r>
      <w:r w:rsidRPr="00CB72B2">
        <w:rPr>
          <w:rFonts w:asciiTheme="majorHAnsi" w:hAnsiTheme="majorHAnsi" w:cstheme="minorHAnsi"/>
          <w:i/>
          <w:iCs/>
        </w:rPr>
        <w:t xml:space="preserve"> </w:t>
      </w:r>
      <w:r w:rsidRPr="00CB72B2">
        <w:rPr>
          <w:rFonts w:asciiTheme="majorHAnsi" w:hAnsiTheme="majorHAnsi" w:cstheme="minorHAnsi"/>
          <w:sz w:val="24"/>
          <w:szCs w:val="24"/>
        </w:rPr>
        <w:t>pentru identificarea deficiențelor și vulnerabilităților aferente sistemului de asistență juridică garantată de stat;</w:t>
      </w:r>
    </w:p>
    <w:p w14:paraId="59B83D13" w14:textId="77777777" w:rsidR="00E82123" w:rsidRPr="005D1727" w:rsidRDefault="00C5031A" w:rsidP="00E82123">
      <w:pPr>
        <w:spacing w:line="276" w:lineRule="auto"/>
        <w:jc w:val="both"/>
        <w:rPr>
          <w:rFonts w:asciiTheme="majorHAnsi" w:hAnsiTheme="majorHAnsi" w:cstheme="minorHAnsi"/>
        </w:rPr>
      </w:pPr>
      <w:r w:rsidRPr="00CB72B2">
        <w:rPr>
          <w:rFonts w:asciiTheme="majorHAnsi" w:hAnsiTheme="majorHAnsi" w:cstheme="minorHAnsi"/>
          <w:b/>
          <w:sz w:val="24"/>
          <w:szCs w:val="24"/>
        </w:rPr>
        <w:t>societ</w:t>
      </w:r>
      <w:r>
        <w:rPr>
          <w:rFonts w:asciiTheme="majorHAnsi" w:hAnsiTheme="majorHAnsi" w:cstheme="minorHAnsi"/>
          <w:b/>
          <w:sz w:val="24"/>
          <w:szCs w:val="24"/>
        </w:rPr>
        <w:t>ății</w:t>
      </w:r>
      <w:r w:rsidRPr="00CB72B2">
        <w:rPr>
          <w:rFonts w:asciiTheme="majorHAnsi" w:hAnsiTheme="majorHAnsi" w:cstheme="minorHAnsi"/>
          <w:b/>
          <w:sz w:val="24"/>
          <w:szCs w:val="24"/>
        </w:rPr>
        <w:t xml:space="preserve"> civil</w:t>
      </w:r>
      <w:r>
        <w:rPr>
          <w:rFonts w:asciiTheme="majorHAnsi" w:hAnsiTheme="majorHAnsi" w:cstheme="minorHAnsi"/>
          <w:b/>
          <w:sz w:val="24"/>
          <w:szCs w:val="24"/>
        </w:rPr>
        <w:t>e</w:t>
      </w:r>
      <w:r w:rsidRPr="00CB72B2">
        <w:rPr>
          <w:rFonts w:asciiTheme="majorHAnsi" w:hAnsiTheme="majorHAnsi" w:cstheme="minorHAnsi"/>
          <w:b/>
          <w:sz w:val="24"/>
          <w:szCs w:val="24"/>
        </w:rPr>
        <w:t>, alt</w:t>
      </w:r>
      <w:r>
        <w:rPr>
          <w:rFonts w:asciiTheme="majorHAnsi" w:hAnsiTheme="majorHAnsi" w:cstheme="minorHAnsi"/>
          <w:b/>
          <w:sz w:val="24"/>
          <w:szCs w:val="24"/>
        </w:rPr>
        <w:t>or</w:t>
      </w:r>
      <w:r w:rsidRPr="00CB72B2">
        <w:rPr>
          <w:rFonts w:asciiTheme="majorHAnsi" w:hAnsiTheme="majorHAnsi" w:cstheme="minorHAnsi"/>
          <w:b/>
          <w:sz w:val="24"/>
          <w:szCs w:val="24"/>
        </w:rPr>
        <w:t xml:space="preserve"> părți interesate.</w:t>
      </w:r>
      <w:r w:rsidRPr="00CB72B2">
        <w:rPr>
          <w:rFonts w:asciiTheme="majorHAnsi" w:hAnsiTheme="majorHAnsi" w:cstheme="minorHAnsi"/>
        </w:rPr>
        <w:t xml:space="preserve"> </w:t>
      </w:r>
      <w:r w:rsidR="00E82123" w:rsidRPr="00CB72B2">
        <w:rPr>
          <w:rFonts w:asciiTheme="majorHAnsi" w:hAnsiTheme="majorHAnsi" w:cstheme="minorHAnsi"/>
        </w:rPr>
        <w:t xml:space="preserve"> </w:t>
      </w:r>
    </w:p>
    <w:p w14:paraId="0C0BED0E" w14:textId="77777777" w:rsidR="008A45AD" w:rsidRPr="00381DA2" w:rsidRDefault="008A45AD" w:rsidP="003A66EF">
      <w:pPr>
        <w:pStyle w:val="Heading1"/>
        <w:numPr>
          <w:ilvl w:val="0"/>
          <w:numId w:val="1"/>
        </w:numPr>
        <w:tabs>
          <w:tab w:val="left" w:pos="270"/>
          <w:tab w:val="left" w:pos="3600"/>
        </w:tabs>
        <w:spacing w:before="0" w:after="160" w:line="276" w:lineRule="auto"/>
        <w:ind w:left="180" w:hanging="180"/>
        <w:rPr>
          <w:rFonts w:eastAsiaTheme="minorHAnsi" w:cstheme="minorHAnsi"/>
          <w:b/>
          <w:color w:val="1F4E79" w:themeColor="accent1" w:themeShade="80"/>
          <w:sz w:val="28"/>
          <w:szCs w:val="28"/>
          <w:shd w:val="clear" w:color="auto" w:fill="FFFFFF"/>
          <w:lang w:val="ro-MD"/>
        </w:rPr>
      </w:pPr>
      <w:bookmarkStart w:id="9" w:name="_Toc76371128"/>
      <w:bookmarkStart w:id="10" w:name="_Toc128640800"/>
      <w:bookmarkStart w:id="11" w:name="_Toc48732716"/>
      <w:r w:rsidRPr="00381DA2">
        <w:rPr>
          <w:rFonts w:eastAsiaTheme="minorHAnsi" w:cstheme="minorHAnsi"/>
          <w:b/>
          <w:color w:val="1F4E79" w:themeColor="accent1" w:themeShade="80"/>
          <w:sz w:val="28"/>
          <w:szCs w:val="28"/>
          <w:shd w:val="clear" w:color="auto" w:fill="FFFFFF"/>
          <w:lang w:val="ro-MD"/>
        </w:rPr>
        <w:t>PREZENTARE GENERALĂ</w:t>
      </w:r>
      <w:bookmarkEnd w:id="9"/>
      <w:bookmarkEnd w:id="10"/>
      <w:r w:rsidRPr="00381DA2">
        <w:rPr>
          <w:rFonts w:eastAsiaTheme="minorHAnsi" w:cstheme="minorHAnsi"/>
          <w:b/>
          <w:color w:val="1F4E79" w:themeColor="accent1" w:themeShade="80"/>
          <w:sz w:val="28"/>
          <w:szCs w:val="28"/>
          <w:shd w:val="clear" w:color="auto" w:fill="FFFFFF"/>
          <w:lang w:val="ro-MD"/>
        </w:rPr>
        <w:t xml:space="preserve"> </w:t>
      </w:r>
      <w:bookmarkEnd w:id="11"/>
    </w:p>
    <w:p w14:paraId="4091DBD2" w14:textId="77777777" w:rsidR="00BC1E3D" w:rsidRPr="00381DA2" w:rsidRDefault="00F20042" w:rsidP="003A66EF">
      <w:pPr>
        <w:pStyle w:val="Heading3"/>
        <w:spacing w:after="120" w:line="276" w:lineRule="auto"/>
        <w:rPr>
          <w:rFonts w:eastAsiaTheme="minorEastAsia" w:cstheme="minorHAnsi"/>
          <w:b/>
          <w:color w:val="2E74B5" w:themeColor="accent1" w:themeShade="BF"/>
          <w:lang w:eastAsia="ru-RU"/>
        </w:rPr>
      </w:pPr>
      <w:bookmarkStart w:id="12" w:name="_Toc128640801"/>
      <w:r w:rsidRPr="00381DA2">
        <w:rPr>
          <w:rFonts w:eastAsiaTheme="minorEastAsia" w:cstheme="minorHAnsi"/>
          <w:b/>
          <w:color w:val="2E74B5" w:themeColor="accent1" w:themeShade="BF"/>
          <w:lang w:eastAsia="ru-RU"/>
        </w:rPr>
        <w:t xml:space="preserve">2.1. </w:t>
      </w:r>
      <w:r w:rsidR="00BC1E3D" w:rsidRPr="00381DA2">
        <w:rPr>
          <w:rFonts w:eastAsiaTheme="minorEastAsia" w:cstheme="minorHAnsi"/>
          <w:b/>
          <w:color w:val="2E74B5" w:themeColor="accent1" w:themeShade="BF"/>
          <w:lang w:eastAsia="ru-RU"/>
        </w:rPr>
        <w:t>Domeniul auditat</w:t>
      </w:r>
      <w:bookmarkEnd w:id="12"/>
    </w:p>
    <w:p w14:paraId="36AAE7CC" w14:textId="77777777" w:rsidR="004E6EE3" w:rsidRPr="00381DA2" w:rsidRDefault="004E6EE3" w:rsidP="004E6EE3">
      <w:pPr>
        <w:spacing w:after="120" w:line="276" w:lineRule="auto"/>
        <w:ind w:right="-187"/>
        <w:jc w:val="both"/>
        <w:rPr>
          <w:rFonts w:asciiTheme="majorHAnsi" w:hAnsiTheme="majorHAnsi" w:cstheme="minorHAnsi"/>
          <w:sz w:val="24"/>
          <w:szCs w:val="24"/>
        </w:rPr>
      </w:pPr>
      <w:r w:rsidRPr="00381DA2">
        <w:rPr>
          <w:rFonts w:asciiTheme="majorHAnsi" w:hAnsiTheme="majorHAnsi" w:cstheme="minorHAnsi"/>
          <w:sz w:val="24"/>
          <w:szCs w:val="24"/>
        </w:rPr>
        <w:t>Unul din</w:t>
      </w:r>
      <w:r>
        <w:rPr>
          <w:rFonts w:asciiTheme="majorHAnsi" w:hAnsiTheme="majorHAnsi" w:cstheme="minorHAnsi"/>
          <w:sz w:val="24"/>
          <w:szCs w:val="24"/>
        </w:rPr>
        <w:t>tre</w:t>
      </w:r>
      <w:r w:rsidRPr="00381DA2">
        <w:rPr>
          <w:rFonts w:asciiTheme="majorHAnsi" w:hAnsiTheme="majorHAnsi" w:cstheme="minorHAnsi"/>
          <w:sz w:val="24"/>
          <w:szCs w:val="24"/>
        </w:rPr>
        <w:t xml:space="preserve"> principiile de bază al</w:t>
      </w:r>
      <w:r>
        <w:rPr>
          <w:rFonts w:asciiTheme="majorHAnsi" w:hAnsiTheme="majorHAnsi" w:cstheme="minorHAnsi"/>
          <w:sz w:val="24"/>
          <w:szCs w:val="24"/>
        </w:rPr>
        <w:t>e</w:t>
      </w:r>
      <w:r w:rsidRPr="00381DA2">
        <w:rPr>
          <w:rFonts w:asciiTheme="majorHAnsi" w:hAnsiTheme="majorHAnsi" w:cstheme="minorHAnsi"/>
          <w:sz w:val="24"/>
          <w:szCs w:val="24"/>
        </w:rPr>
        <w:t xml:space="preserve"> statului de drept și o condiție obligatorie ce rezultă din actele internaționale la care Republica Moldova a aderat constituie </w:t>
      </w:r>
      <w:r w:rsidRPr="00381DA2">
        <w:rPr>
          <w:rFonts w:asciiTheme="majorHAnsi" w:hAnsiTheme="majorHAnsi" w:cstheme="minorHAnsi"/>
          <w:i/>
          <w:sz w:val="24"/>
          <w:szCs w:val="24"/>
        </w:rPr>
        <w:t xml:space="preserve">asigurarea accesului liber la justiție </w:t>
      </w:r>
      <w:r w:rsidRPr="00381DA2">
        <w:rPr>
          <w:rFonts w:asciiTheme="majorHAnsi" w:hAnsiTheme="majorHAnsi" w:cstheme="minorHAnsi"/>
          <w:sz w:val="24"/>
          <w:szCs w:val="24"/>
        </w:rPr>
        <w:t>fiecărui cetățean</w:t>
      </w:r>
      <w:r w:rsidRPr="00381DA2">
        <w:rPr>
          <w:rFonts w:asciiTheme="majorHAnsi" w:hAnsiTheme="majorHAnsi" w:cstheme="minorHAnsi"/>
          <w:i/>
          <w:sz w:val="24"/>
          <w:szCs w:val="24"/>
        </w:rPr>
        <w:t xml:space="preserve">. </w:t>
      </w:r>
      <w:r w:rsidRPr="00381DA2">
        <w:rPr>
          <w:rFonts w:asciiTheme="majorHAnsi" w:hAnsiTheme="majorHAnsi" w:cstheme="minorHAnsi"/>
          <w:sz w:val="24"/>
          <w:szCs w:val="24"/>
        </w:rPr>
        <w:t>Astfel, un instrument institui</w:t>
      </w:r>
      <w:r>
        <w:rPr>
          <w:rFonts w:asciiTheme="majorHAnsi" w:hAnsiTheme="majorHAnsi" w:cstheme="minorHAnsi"/>
          <w:sz w:val="24"/>
          <w:szCs w:val="24"/>
        </w:rPr>
        <w:t>t de stat în vederea respectării</w:t>
      </w:r>
      <w:r w:rsidRPr="00381DA2">
        <w:rPr>
          <w:rFonts w:asciiTheme="majorHAnsi" w:hAnsiTheme="majorHAnsi" w:cstheme="minorHAnsi"/>
          <w:sz w:val="24"/>
          <w:szCs w:val="24"/>
        </w:rPr>
        <w:t xml:space="preserve"> acestui principiu este garantarea asistenței juridice persoanelor care nu dispun de mijloace financiare suficiente pentru a o plăti, în acest sens oferind posibilitatea de a beneficia de servicii juridice și persoanelor apartenente grupurilor social vulnerabile. Procesual acest mecanism este reglementat de Legea nr. 198 din 26.07.2007 cu privire la asistența juridică garantată de stat și </w:t>
      </w:r>
      <w:r>
        <w:rPr>
          <w:rFonts w:asciiTheme="majorHAnsi" w:hAnsiTheme="majorHAnsi" w:cstheme="minorHAnsi"/>
          <w:sz w:val="24"/>
          <w:szCs w:val="24"/>
        </w:rPr>
        <w:t xml:space="preserve">de </w:t>
      </w:r>
      <w:r w:rsidRPr="00381DA2">
        <w:rPr>
          <w:rFonts w:asciiTheme="majorHAnsi" w:hAnsiTheme="majorHAnsi" w:cstheme="minorHAnsi"/>
          <w:sz w:val="24"/>
          <w:szCs w:val="24"/>
        </w:rPr>
        <w:t xml:space="preserve">alte norme interne. De asemenea, obligația de acordare a asistenței juridice calificate și efective rezultă din art. 20 și art. 26 </w:t>
      </w:r>
      <w:r>
        <w:rPr>
          <w:rFonts w:asciiTheme="majorHAnsi" w:hAnsiTheme="majorHAnsi" w:cstheme="minorHAnsi"/>
          <w:sz w:val="24"/>
          <w:szCs w:val="24"/>
        </w:rPr>
        <w:t xml:space="preserve">din </w:t>
      </w:r>
      <w:r w:rsidRPr="00381DA2">
        <w:rPr>
          <w:rFonts w:asciiTheme="majorHAnsi" w:hAnsiTheme="majorHAnsi" w:cstheme="minorHAnsi"/>
          <w:sz w:val="24"/>
          <w:szCs w:val="24"/>
        </w:rPr>
        <w:t>Constituți</w:t>
      </w:r>
      <w:r>
        <w:rPr>
          <w:rFonts w:asciiTheme="majorHAnsi" w:hAnsiTheme="majorHAnsi" w:cstheme="minorHAnsi"/>
          <w:sz w:val="24"/>
          <w:szCs w:val="24"/>
        </w:rPr>
        <w:t>a</w:t>
      </w:r>
      <w:r w:rsidRPr="00381DA2">
        <w:rPr>
          <w:rFonts w:asciiTheme="majorHAnsi" w:hAnsiTheme="majorHAnsi" w:cstheme="minorHAnsi"/>
          <w:sz w:val="24"/>
          <w:szCs w:val="24"/>
        </w:rPr>
        <w:t xml:space="preserve"> Republicii Moldova; prevederile Codului de procedură penală, Codului </w:t>
      </w:r>
      <w:r w:rsidRPr="00381DA2">
        <w:rPr>
          <w:rFonts w:asciiTheme="majorHAnsi" w:hAnsiTheme="majorHAnsi" w:cstheme="minorHAnsi"/>
          <w:sz w:val="24"/>
          <w:szCs w:val="24"/>
        </w:rPr>
        <w:lastRenderedPageBreak/>
        <w:t>contravențional, Codului de procedură civilă și alte acte normative. Angajamentul de a facilita accesul</w:t>
      </w:r>
      <w:r>
        <w:rPr>
          <w:rFonts w:asciiTheme="majorHAnsi" w:hAnsiTheme="majorHAnsi" w:cstheme="minorHAnsi"/>
          <w:sz w:val="24"/>
          <w:szCs w:val="24"/>
        </w:rPr>
        <w:t xml:space="preserve"> liber</w:t>
      </w:r>
      <w:r w:rsidRPr="00381DA2">
        <w:rPr>
          <w:rFonts w:asciiTheme="majorHAnsi" w:hAnsiTheme="majorHAnsi" w:cstheme="minorHAnsi"/>
          <w:sz w:val="24"/>
          <w:szCs w:val="24"/>
        </w:rPr>
        <w:t xml:space="preserve"> la justiție se reflectă și în documente</w:t>
      </w:r>
      <w:r>
        <w:rPr>
          <w:rFonts w:asciiTheme="majorHAnsi" w:hAnsiTheme="majorHAnsi" w:cstheme="minorHAnsi"/>
          <w:sz w:val="24"/>
          <w:szCs w:val="24"/>
        </w:rPr>
        <w:t>le</w:t>
      </w:r>
      <w:r w:rsidRPr="00381DA2">
        <w:rPr>
          <w:rFonts w:asciiTheme="majorHAnsi" w:hAnsiTheme="majorHAnsi" w:cstheme="minorHAnsi"/>
          <w:sz w:val="24"/>
          <w:szCs w:val="24"/>
        </w:rPr>
        <w:t xml:space="preserve"> de politici ce țin de drepturile omului și justiție la nivel național.</w:t>
      </w:r>
    </w:p>
    <w:p w14:paraId="558B5526" w14:textId="77777777" w:rsidR="004E6EE3" w:rsidRPr="00381DA2" w:rsidRDefault="004E6EE3" w:rsidP="004E6EE3">
      <w:pPr>
        <w:spacing w:after="120" w:line="276" w:lineRule="auto"/>
        <w:ind w:right="-187"/>
        <w:jc w:val="both"/>
        <w:rPr>
          <w:rFonts w:asciiTheme="majorHAnsi" w:hAnsiTheme="majorHAnsi" w:cstheme="minorHAnsi"/>
          <w:sz w:val="24"/>
          <w:szCs w:val="24"/>
        </w:rPr>
      </w:pPr>
      <w:r>
        <w:rPr>
          <w:rFonts w:asciiTheme="majorHAnsi" w:hAnsiTheme="majorHAnsi" w:cstheme="minorHAnsi"/>
          <w:sz w:val="24"/>
          <w:szCs w:val="24"/>
        </w:rPr>
        <w:t>În</w:t>
      </w:r>
      <w:r w:rsidRPr="00381DA2">
        <w:rPr>
          <w:rFonts w:asciiTheme="majorHAnsi" w:hAnsiTheme="majorHAnsi" w:cstheme="minorHAnsi"/>
          <w:sz w:val="24"/>
          <w:szCs w:val="24"/>
        </w:rPr>
        <w:t xml:space="preserve"> asistenț</w:t>
      </w:r>
      <w:r>
        <w:rPr>
          <w:rFonts w:asciiTheme="majorHAnsi" w:hAnsiTheme="majorHAnsi" w:cstheme="minorHAnsi"/>
          <w:sz w:val="24"/>
          <w:szCs w:val="24"/>
        </w:rPr>
        <w:t>a</w:t>
      </w:r>
      <w:r w:rsidRPr="00381DA2">
        <w:rPr>
          <w:rFonts w:asciiTheme="majorHAnsi" w:hAnsiTheme="majorHAnsi" w:cstheme="minorHAnsi"/>
          <w:sz w:val="24"/>
          <w:szCs w:val="24"/>
        </w:rPr>
        <w:t xml:space="preserve"> juridică garantată de stat se încadrează cauzele penale</w:t>
      </w:r>
      <w:r>
        <w:rPr>
          <w:rFonts w:asciiTheme="majorHAnsi" w:hAnsiTheme="majorHAnsi" w:cstheme="minorHAnsi"/>
          <w:sz w:val="24"/>
          <w:szCs w:val="24"/>
        </w:rPr>
        <w:t>,</w:t>
      </w:r>
      <w:r w:rsidRPr="00381DA2">
        <w:rPr>
          <w:rFonts w:asciiTheme="majorHAnsi" w:hAnsiTheme="majorHAnsi" w:cstheme="minorHAnsi"/>
          <w:sz w:val="24"/>
          <w:szCs w:val="24"/>
        </w:rPr>
        <w:t xml:space="preserve"> precum și cele non-penale</w:t>
      </w:r>
      <w:r w:rsidRPr="00381DA2">
        <w:rPr>
          <w:rStyle w:val="FootnoteReference"/>
          <w:rFonts w:asciiTheme="majorHAnsi" w:hAnsiTheme="majorHAnsi" w:cstheme="minorHAnsi"/>
          <w:sz w:val="24"/>
          <w:szCs w:val="24"/>
        </w:rPr>
        <w:footnoteReference w:id="3"/>
      </w:r>
      <w:r w:rsidRPr="00381DA2">
        <w:rPr>
          <w:rFonts w:asciiTheme="majorHAnsi" w:hAnsiTheme="majorHAnsi" w:cstheme="minorHAnsi"/>
          <w:sz w:val="24"/>
          <w:szCs w:val="24"/>
        </w:rPr>
        <w:t>, pe</w:t>
      </w:r>
      <w:r>
        <w:rPr>
          <w:rFonts w:asciiTheme="majorHAnsi" w:hAnsiTheme="majorHAnsi" w:cstheme="minorHAnsi"/>
          <w:sz w:val="24"/>
          <w:szCs w:val="24"/>
        </w:rPr>
        <w:t>ntru</w:t>
      </w:r>
      <w:r w:rsidRPr="00381DA2">
        <w:rPr>
          <w:rFonts w:asciiTheme="majorHAnsi" w:hAnsiTheme="majorHAnsi" w:cstheme="minorHAnsi"/>
          <w:sz w:val="24"/>
          <w:szCs w:val="24"/>
        </w:rPr>
        <w:t xml:space="preserve"> primele</w:t>
      </w:r>
      <w:r>
        <w:rPr>
          <w:rFonts w:asciiTheme="majorHAnsi" w:hAnsiTheme="majorHAnsi" w:cstheme="minorHAnsi"/>
          <w:sz w:val="24"/>
          <w:szCs w:val="24"/>
        </w:rPr>
        <w:t>,</w:t>
      </w:r>
      <w:r w:rsidRPr="00381DA2">
        <w:rPr>
          <w:rFonts w:asciiTheme="majorHAnsi" w:hAnsiTheme="majorHAnsi" w:cstheme="minorHAnsi"/>
          <w:sz w:val="24"/>
          <w:szCs w:val="24"/>
        </w:rPr>
        <w:t xml:space="preserve"> la rândul </w:t>
      </w:r>
      <w:r>
        <w:rPr>
          <w:rFonts w:asciiTheme="majorHAnsi" w:hAnsiTheme="majorHAnsi" w:cstheme="minorHAnsi"/>
          <w:sz w:val="24"/>
          <w:szCs w:val="24"/>
        </w:rPr>
        <w:t>lor</w:t>
      </w:r>
      <w:r w:rsidRPr="00381DA2">
        <w:rPr>
          <w:rFonts w:asciiTheme="majorHAnsi" w:hAnsiTheme="majorHAnsi" w:cstheme="minorHAnsi"/>
          <w:sz w:val="24"/>
          <w:szCs w:val="24"/>
        </w:rPr>
        <w:t xml:space="preserve">, </w:t>
      </w:r>
      <w:r>
        <w:rPr>
          <w:rFonts w:asciiTheme="majorHAnsi" w:hAnsiTheme="majorHAnsi" w:cstheme="minorHAnsi"/>
          <w:sz w:val="24"/>
          <w:szCs w:val="24"/>
        </w:rPr>
        <w:t>fiind</w:t>
      </w:r>
      <w:r w:rsidRPr="00381DA2">
        <w:rPr>
          <w:rFonts w:asciiTheme="majorHAnsi" w:hAnsiTheme="majorHAnsi" w:cstheme="minorHAnsi"/>
          <w:sz w:val="24"/>
          <w:szCs w:val="24"/>
        </w:rPr>
        <w:t xml:space="preserve"> concentrată o parte semnificativă </w:t>
      </w:r>
      <w:r>
        <w:rPr>
          <w:rFonts w:asciiTheme="majorHAnsi" w:hAnsiTheme="majorHAnsi" w:cstheme="minorHAnsi"/>
          <w:sz w:val="24"/>
          <w:szCs w:val="24"/>
        </w:rPr>
        <w:t xml:space="preserve">din serviciile </w:t>
      </w:r>
      <w:r w:rsidRPr="00381DA2">
        <w:rPr>
          <w:rFonts w:asciiTheme="majorHAnsi" w:hAnsiTheme="majorHAnsi" w:cstheme="minorHAnsi"/>
          <w:sz w:val="24"/>
          <w:szCs w:val="24"/>
        </w:rPr>
        <w:t>de acordare a AJGS întrucât acest</w:t>
      </w:r>
      <w:r>
        <w:rPr>
          <w:rFonts w:asciiTheme="majorHAnsi" w:hAnsiTheme="majorHAnsi" w:cstheme="minorHAnsi"/>
          <w:sz w:val="24"/>
          <w:szCs w:val="24"/>
        </w:rPr>
        <w:t>e</w:t>
      </w:r>
      <w:r w:rsidRPr="00381DA2">
        <w:rPr>
          <w:rFonts w:asciiTheme="majorHAnsi" w:hAnsiTheme="majorHAnsi" w:cstheme="minorHAnsi"/>
          <w:sz w:val="24"/>
          <w:szCs w:val="24"/>
        </w:rPr>
        <w:t>a</w:t>
      </w:r>
      <w:r>
        <w:rPr>
          <w:rFonts w:asciiTheme="majorHAnsi" w:hAnsiTheme="majorHAnsi" w:cstheme="minorHAnsi"/>
          <w:sz w:val="24"/>
          <w:szCs w:val="24"/>
        </w:rPr>
        <w:t>,</w:t>
      </w:r>
      <w:r w:rsidRPr="00381DA2">
        <w:rPr>
          <w:rFonts w:asciiTheme="majorHAnsi" w:hAnsiTheme="majorHAnsi" w:cstheme="minorHAnsi"/>
          <w:sz w:val="24"/>
          <w:szCs w:val="24"/>
        </w:rPr>
        <w:t xml:space="preserve"> în mare parte</w:t>
      </w:r>
      <w:r>
        <w:rPr>
          <w:rFonts w:asciiTheme="majorHAnsi" w:hAnsiTheme="majorHAnsi" w:cstheme="minorHAnsi"/>
          <w:sz w:val="24"/>
          <w:szCs w:val="24"/>
        </w:rPr>
        <w:t>,</w:t>
      </w:r>
      <w:r w:rsidRPr="00381DA2">
        <w:rPr>
          <w:rFonts w:asciiTheme="majorHAnsi" w:hAnsiTheme="majorHAnsi" w:cstheme="minorHAnsi"/>
          <w:sz w:val="24"/>
          <w:szCs w:val="24"/>
        </w:rPr>
        <w:t xml:space="preserve"> </w:t>
      </w:r>
      <w:r>
        <w:rPr>
          <w:rFonts w:asciiTheme="majorHAnsi" w:hAnsiTheme="majorHAnsi" w:cstheme="minorHAnsi"/>
          <w:sz w:val="24"/>
          <w:szCs w:val="24"/>
        </w:rPr>
        <w:t>se încadrează în</w:t>
      </w:r>
      <w:r w:rsidRPr="00381DA2">
        <w:rPr>
          <w:rFonts w:asciiTheme="majorHAnsi" w:hAnsiTheme="majorHAnsi" w:cstheme="minorHAnsi"/>
          <w:sz w:val="24"/>
          <w:szCs w:val="24"/>
        </w:rPr>
        <w:t xml:space="preserve"> cazurile de asistență juridică obligatorie. </w:t>
      </w:r>
    </w:p>
    <w:p w14:paraId="5D4E7D0D" w14:textId="77777777" w:rsidR="004E6EE3" w:rsidRPr="00381DA2" w:rsidRDefault="004E6EE3" w:rsidP="004E6EE3">
      <w:pPr>
        <w:spacing w:after="0" w:line="276" w:lineRule="auto"/>
        <w:ind w:right="-187"/>
        <w:jc w:val="both"/>
        <w:rPr>
          <w:rFonts w:asciiTheme="majorHAnsi" w:hAnsiTheme="majorHAnsi" w:cstheme="minorHAnsi"/>
          <w:sz w:val="24"/>
          <w:szCs w:val="24"/>
        </w:rPr>
      </w:pPr>
      <w:r w:rsidRPr="00381DA2">
        <w:rPr>
          <w:rFonts w:asciiTheme="majorHAnsi" w:hAnsiTheme="majorHAnsi" w:cstheme="minorHAnsi"/>
          <w:sz w:val="24"/>
          <w:szCs w:val="24"/>
        </w:rPr>
        <w:t>Legea nr. 198</w:t>
      </w:r>
      <w:r>
        <w:rPr>
          <w:rFonts w:asciiTheme="majorHAnsi" w:hAnsiTheme="majorHAnsi" w:cstheme="minorHAnsi"/>
          <w:sz w:val="24"/>
          <w:szCs w:val="24"/>
        </w:rPr>
        <w:t>/</w:t>
      </w:r>
      <w:r w:rsidRPr="00381DA2">
        <w:rPr>
          <w:rFonts w:asciiTheme="majorHAnsi" w:hAnsiTheme="majorHAnsi" w:cstheme="minorHAnsi"/>
          <w:sz w:val="24"/>
          <w:szCs w:val="24"/>
        </w:rPr>
        <w:t>2007 prevede dreptul persoanei de a beneficia de asistența juridică din contul statului în două situații, inclusiv:</w:t>
      </w:r>
    </w:p>
    <w:p w14:paraId="27204B4B" w14:textId="77777777" w:rsidR="004E6EE3" w:rsidRPr="005C249F" w:rsidRDefault="004E6EE3" w:rsidP="004E6EE3">
      <w:pPr>
        <w:pStyle w:val="ListParagraph"/>
        <w:numPr>
          <w:ilvl w:val="0"/>
          <w:numId w:val="13"/>
        </w:numPr>
        <w:spacing w:after="120" w:line="276" w:lineRule="auto"/>
        <w:ind w:right="-187"/>
        <w:jc w:val="both"/>
        <w:rPr>
          <w:rFonts w:asciiTheme="majorHAnsi" w:hAnsiTheme="majorHAnsi" w:cstheme="minorHAnsi"/>
          <w:sz w:val="24"/>
          <w:szCs w:val="24"/>
        </w:rPr>
      </w:pPr>
      <w:r w:rsidRPr="005C249F">
        <w:rPr>
          <w:rFonts w:asciiTheme="majorHAnsi" w:hAnsiTheme="majorHAnsi" w:cstheme="minorHAnsi"/>
          <w:sz w:val="24"/>
          <w:szCs w:val="24"/>
        </w:rPr>
        <w:t>atunci când persoanele nu dispun de mijloace suficiente pentru a acoperi costurile asistenței unui avocat – criteriul financiar</w:t>
      </w:r>
      <w:r>
        <w:rPr>
          <w:rFonts w:asciiTheme="majorHAnsi" w:hAnsiTheme="majorHAnsi" w:cstheme="minorHAnsi"/>
          <w:sz w:val="24"/>
          <w:szCs w:val="24"/>
        </w:rPr>
        <w:t>,</w:t>
      </w:r>
      <w:r w:rsidRPr="005C249F">
        <w:rPr>
          <w:rFonts w:asciiTheme="majorHAnsi" w:hAnsiTheme="majorHAnsi" w:cstheme="minorHAnsi"/>
          <w:sz w:val="24"/>
          <w:szCs w:val="24"/>
        </w:rPr>
        <w:t xml:space="preserve"> și se acordă persoanelor a</w:t>
      </w:r>
      <w:r>
        <w:rPr>
          <w:rFonts w:asciiTheme="majorHAnsi" w:hAnsiTheme="majorHAnsi" w:cstheme="minorHAnsi"/>
          <w:sz w:val="24"/>
          <w:szCs w:val="24"/>
        </w:rPr>
        <w:t>l</w:t>
      </w:r>
      <w:r w:rsidRPr="005C249F">
        <w:rPr>
          <w:rFonts w:asciiTheme="majorHAnsi" w:hAnsiTheme="majorHAnsi" w:cstheme="minorHAnsi"/>
          <w:sz w:val="24"/>
          <w:szCs w:val="24"/>
        </w:rPr>
        <w:t xml:space="preserve"> căror venit mediu lunar este mai mic decât nivelul minim de existență pe cap de locuitor din țară</w:t>
      </w:r>
      <w:r>
        <w:rPr>
          <w:rFonts w:asciiTheme="majorHAnsi" w:hAnsiTheme="majorHAnsi" w:cstheme="minorHAnsi"/>
          <w:sz w:val="24"/>
          <w:szCs w:val="24"/>
        </w:rPr>
        <w:t>,</w:t>
      </w:r>
      <w:r w:rsidRPr="005C249F">
        <w:rPr>
          <w:rFonts w:asciiTheme="majorHAnsi" w:hAnsiTheme="majorHAnsi" w:cstheme="minorHAnsi"/>
          <w:sz w:val="24"/>
          <w:szCs w:val="24"/>
        </w:rPr>
        <w:t xml:space="preserve"> determinat trimestrial de Biroul Național de Statistică; </w:t>
      </w:r>
    </w:p>
    <w:p w14:paraId="1CF5417B" w14:textId="77777777" w:rsidR="004E6EE3" w:rsidRPr="005C249F" w:rsidRDefault="004E6EE3" w:rsidP="004E6EE3">
      <w:pPr>
        <w:pStyle w:val="ListParagraph"/>
        <w:numPr>
          <w:ilvl w:val="0"/>
          <w:numId w:val="13"/>
        </w:numPr>
        <w:spacing w:after="120" w:line="276" w:lineRule="auto"/>
        <w:ind w:right="-187"/>
        <w:contextualSpacing w:val="0"/>
        <w:jc w:val="both"/>
        <w:rPr>
          <w:rFonts w:asciiTheme="majorHAnsi" w:hAnsiTheme="majorHAnsi" w:cstheme="minorHAnsi"/>
          <w:sz w:val="24"/>
          <w:szCs w:val="24"/>
        </w:rPr>
      </w:pPr>
      <w:r w:rsidRPr="005C249F">
        <w:rPr>
          <w:rFonts w:asciiTheme="majorHAnsi" w:hAnsiTheme="majorHAnsi" w:cstheme="minorHAnsi"/>
          <w:sz w:val="24"/>
          <w:szCs w:val="24"/>
        </w:rPr>
        <w:t xml:space="preserve">în situațiile </w:t>
      </w:r>
      <w:r>
        <w:rPr>
          <w:rFonts w:asciiTheme="majorHAnsi" w:hAnsiTheme="majorHAnsi" w:cstheme="minorHAnsi"/>
          <w:sz w:val="24"/>
          <w:szCs w:val="24"/>
        </w:rPr>
        <w:t>în care</w:t>
      </w:r>
      <w:r w:rsidRPr="005C249F">
        <w:rPr>
          <w:rFonts w:asciiTheme="majorHAnsi" w:hAnsiTheme="majorHAnsi" w:cstheme="minorHAnsi"/>
          <w:sz w:val="24"/>
          <w:szCs w:val="24"/>
        </w:rPr>
        <w:t xml:space="preserve"> interesele justiției reclamă acordarea asistenței indiferent de nivelul venitului beneficiarului </w:t>
      </w:r>
      <w:r w:rsidRPr="001C45A3">
        <w:rPr>
          <w:rFonts w:asciiTheme="majorHAnsi" w:hAnsiTheme="majorHAnsi" w:cstheme="minorHAnsi"/>
          <w:sz w:val="24"/>
          <w:szCs w:val="24"/>
        </w:rPr>
        <w:t xml:space="preserve">– </w:t>
      </w:r>
      <w:r w:rsidRPr="007E113A">
        <w:rPr>
          <w:rFonts w:asciiTheme="majorHAnsi" w:hAnsiTheme="majorHAnsi" w:cstheme="minorHAnsi"/>
          <w:sz w:val="24"/>
          <w:szCs w:val="24"/>
        </w:rPr>
        <w:t>care este considerat satisfăcut (</w:t>
      </w:r>
      <w:r w:rsidRPr="00DD52E3">
        <w:rPr>
          <w:rFonts w:asciiTheme="majorHAnsi" w:hAnsiTheme="majorHAnsi" w:cstheme="minorHAnsi"/>
          <w:sz w:val="24"/>
          <w:szCs w:val="24"/>
          <w:lang w:val="ro-MD"/>
        </w:rPr>
        <w:t>asistență juridică obligatorie și de urgență</w:t>
      </w:r>
      <w:r w:rsidRPr="005C249F">
        <w:rPr>
          <w:rFonts w:asciiTheme="majorHAnsi" w:hAnsiTheme="majorHAnsi" w:cstheme="minorHAnsi"/>
          <w:sz w:val="24"/>
          <w:szCs w:val="24"/>
        </w:rPr>
        <w:t xml:space="preserve">).  </w:t>
      </w:r>
    </w:p>
    <w:p w14:paraId="07DDDF3B" w14:textId="77777777" w:rsidR="004E6EE3" w:rsidRPr="00381DA2" w:rsidRDefault="004E6EE3" w:rsidP="004E6EE3">
      <w:pPr>
        <w:spacing w:after="120" w:line="276" w:lineRule="auto"/>
        <w:ind w:right="-187"/>
        <w:jc w:val="both"/>
        <w:rPr>
          <w:rFonts w:asciiTheme="majorHAnsi" w:hAnsiTheme="majorHAnsi" w:cstheme="minorHAnsi"/>
          <w:sz w:val="24"/>
          <w:szCs w:val="24"/>
        </w:rPr>
      </w:pPr>
      <w:r w:rsidRPr="00381DA2">
        <w:rPr>
          <w:rFonts w:asciiTheme="majorHAnsi" w:hAnsiTheme="majorHAnsi" w:cstheme="minorHAnsi"/>
          <w:sz w:val="24"/>
          <w:szCs w:val="24"/>
        </w:rPr>
        <w:t xml:space="preserve">Asistența juridică garantată de stat se clasifică în următoarele tipuri de asistență, inclusiv: </w:t>
      </w:r>
      <w:r w:rsidRPr="00381DA2">
        <w:rPr>
          <w:rFonts w:asciiTheme="majorHAnsi" w:hAnsiTheme="majorHAnsi" w:cstheme="minorHAnsi"/>
          <w:i/>
          <w:sz w:val="24"/>
          <w:szCs w:val="24"/>
        </w:rPr>
        <w:t>(i)</w:t>
      </w:r>
      <w:r>
        <w:rPr>
          <w:rFonts w:asciiTheme="majorHAnsi" w:hAnsiTheme="majorHAnsi" w:cstheme="minorHAnsi"/>
          <w:i/>
          <w:sz w:val="24"/>
          <w:szCs w:val="24"/>
        </w:rPr>
        <w:t xml:space="preserve"> </w:t>
      </w:r>
      <w:r w:rsidRPr="00381DA2">
        <w:rPr>
          <w:rFonts w:asciiTheme="majorHAnsi" w:hAnsiTheme="majorHAnsi" w:cstheme="minorHAnsi"/>
          <w:i/>
          <w:sz w:val="24"/>
          <w:szCs w:val="24"/>
        </w:rPr>
        <w:t>asistență juridică primară</w:t>
      </w:r>
      <w:r w:rsidRPr="00381DA2">
        <w:rPr>
          <w:rFonts w:asciiTheme="majorHAnsi" w:hAnsiTheme="majorHAnsi" w:cstheme="minorHAnsi"/>
          <w:sz w:val="24"/>
          <w:szCs w:val="24"/>
        </w:rPr>
        <w:t xml:space="preserve"> – care preponderent este acordată de para-juriști</w:t>
      </w:r>
      <w:r>
        <w:rPr>
          <w:rFonts w:asciiTheme="majorHAnsi" w:hAnsiTheme="majorHAnsi" w:cstheme="minorHAnsi"/>
          <w:sz w:val="24"/>
          <w:szCs w:val="24"/>
        </w:rPr>
        <w:t>,</w:t>
      </w:r>
      <w:r w:rsidRPr="00381DA2">
        <w:rPr>
          <w:rFonts w:asciiTheme="majorHAnsi" w:hAnsiTheme="majorHAnsi" w:cstheme="minorHAnsi"/>
          <w:sz w:val="24"/>
          <w:szCs w:val="24"/>
        </w:rPr>
        <w:t xml:space="preserve"> precum și </w:t>
      </w:r>
      <w:r>
        <w:rPr>
          <w:rFonts w:asciiTheme="majorHAnsi" w:hAnsiTheme="majorHAnsi" w:cstheme="minorHAnsi"/>
          <w:sz w:val="24"/>
          <w:szCs w:val="24"/>
        </w:rPr>
        <w:t xml:space="preserve">de </w:t>
      </w:r>
      <w:r w:rsidRPr="00381DA2">
        <w:rPr>
          <w:rFonts w:asciiTheme="majorHAnsi" w:hAnsiTheme="majorHAnsi" w:cstheme="minorHAnsi"/>
          <w:sz w:val="24"/>
          <w:szCs w:val="24"/>
        </w:rPr>
        <w:t xml:space="preserve">avocații publici, și </w:t>
      </w:r>
      <w:r w:rsidRPr="00381DA2">
        <w:rPr>
          <w:rFonts w:asciiTheme="majorHAnsi" w:hAnsiTheme="majorHAnsi" w:cstheme="minorHAnsi"/>
          <w:i/>
          <w:sz w:val="24"/>
          <w:szCs w:val="24"/>
        </w:rPr>
        <w:t>(ii) asistență juridică calificată</w:t>
      </w:r>
      <w:r w:rsidRPr="00381DA2">
        <w:rPr>
          <w:rFonts w:asciiTheme="majorHAnsi" w:hAnsiTheme="majorHAnsi" w:cstheme="minorHAnsi"/>
          <w:sz w:val="24"/>
          <w:szCs w:val="24"/>
        </w:rPr>
        <w:t xml:space="preserve"> – care poate fi ordinară și de urgență și este acordată de avocații publici și avocații contractați la cerere.</w:t>
      </w:r>
    </w:p>
    <w:p w14:paraId="65C9A237" w14:textId="77777777" w:rsidR="004E6EE3" w:rsidRPr="00381DA2" w:rsidRDefault="004E6EE3" w:rsidP="004E6EE3">
      <w:pPr>
        <w:spacing w:line="276" w:lineRule="auto"/>
        <w:ind w:right="-187"/>
        <w:jc w:val="both"/>
        <w:rPr>
          <w:rFonts w:asciiTheme="majorHAnsi" w:hAnsiTheme="majorHAnsi" w:cstheme="minorHAnsi"/>
          <w:sz w:val="24"/>
          <w:szCs w:val="24"/>
        </w:rPr>
      </w:pPr>
      <w:r w:rsidRPr="00381DA2">
        <w:rPr>
          <w:rFonts w:asciiTheme="majorHAnsi" w:hAnsiTheme="majorHAnsi" w:cstheme="minorHAnsi"/>
          <w:sz w:val="24"/>
          <w:szCs w:val="24"/>
        </w:rPr>
        <w:t>Responsabilitate</w:t>
      </w:r>
      <w:r>
        <w:rPr>
          <w:rFonts w:asciiTheme="majorHAnsi" w:hAnsiTheme="majorHAnsi" w:cstheme="minorHAnsi"/>
          <w:sz w:val="24"/>
          <w:szCs w:val="24"/>
        </w:rPr>
        <w:t>a</w:t>
      </w:r>
      <w:r w:rsidRPr="00381DA2">
        <w:rPr>
          <w:rFonts w:asciiTheme="majorHAnsi" w:hAnsiTheme="majorHAnsi" w:cstheme="minorHAnsi"/>
          <w:sz w:val="24"/>
          <w:szCs w:val="24"/>
        </w:rPr>
        <w:t xml:space="preserve"> privind garantarea în sens general a implementării dreptului la asistență juridică garantată de stat,</w:t>
      </w:r>
      <w:r>
        <w:rPr>
          <w:rFonts w:asciiTheme="majorHAnsi" w:hAnsiTheme="majorHAnsi" w:cstheme="minorHAnsi"/>
          <w:sz w:val="24"/>
          <w:szCs w:val="24"/>
        </w:rPr>
        <w:t xml:space="preserve"> precum și formularea politicilor</w:t>
      </w:r>
      <w:r w:rsidRPr="00381DA2">
        <w:rPr>
          <w:rFonts w:asciiTheme="majorHAnsi" w:hAnsiTheme="majorHAnsi" w:cstheme="minorHAnsi"/>
          <w:sz w:val="24"/>
          <w:szCs w:val="24"/>
        </w:rPr>
        <w:t xml:space="preserve"> de stat în domeniu revine Ministerului Justiției. </w:t>
      </w:r>
      <w:r>
        <w:rPr>
          <w:rFonts w:asciiTheme="majorHAnsi" w:hAnsiTheme="majorHAnsi" w:cstheme="minorHAnsi"/>
          <w:sz w:val="24"/>
          <w:szCs w:val="24"/>
        </w:rPr>
        <w:t>Sistemul</w:t>
      </w:r>
      <w:r w:rsidRPr="00381DA2">
        <w:rPr>
          <w:rFonts w:asciiTheme="majorHAnsi" w:hAnsiTheme="majorHAnsi" w:cstheme="minorHAnsi"/>
          <w:sz w:val="24"/>
          <w:szCs w:val="24"/>
        </w:rPr>
        <w:t xml:space="preserve"> de acordare a asistenței juridice garantate de stat este organizat și administrat de către Consiliul Național pentru Asistență Juridică Garantată de Stat</w:t>
      </w:r>
      <w:r w:rsidRPr="00381DA2">
        <w:rPr>
          <w:rStyle w:val="FootnoteReference"/>
          <w:rFonts w:asciiTheme="majorHAnsi" w:hAnsiTheme="majorHAnsi" w:cstheme="minorHAnsi"/>
          <w:sz w:val="24"/>
          <w:szCs w:val="24"/>
        </w:rPr>
        <w:footnoteReference w:id="4"/>
      </w:r>
      <w:r w:rsidRPr="00381DA2">
        <w:rPr>
          <w:rFonts w:asciiTheme="majorHAnsi" w:hAnsiTheme="majorHAnsi" w:cstheme="minorHAnsi"/>
          <w:sz w:val="24"/>
          <w:szCs w:val="24"/>
        </w:rPr>
        <w:t>. Administrarea în teritoriu a procesului de acordare a asistenței juridice garantate de stat este realizată de către Oficiile teritoriale ale Consiliului Național, inclusiv</w:t>
      </w:r>
      <w:r>
        <w:rPr>
          <w:rFonts w:asciiTheme="majorHAnsi" w:hAnsiTheme="majorHAnsi" w:cstheme="minorHAnsi"/>
          <w:sz w:val="24"/>
          <w:szCs w:val="24"/>
        </w:rPr>
        <w:t xml:space="preserve"> de</w:t>
      </w:r>
      <w:r w:rsidRPr="00381DA2">
        <w:rPr>
          <w:rFonts w:asciiTheme="majorHAnsi" w:hAnsiTheme="majorHAnsi" w:cstheme="minorHAnsi"/>
          <w:sz w:val="24"/>
          <w:szCs w:val="24"/>
        </w:rPr>
        <w:t xml:space="preserve">: OT Chișinău, OT Bălți, OT Cahul și OT Comrat. </w:t>
      </w:r>
      <w:r>
        <w:rPr>
          <w:rFonts w:asciiTheme="majorHAnsi" w:hAnsiTheme="majorHAnsi" w:cstheme="minorHAnsi"/>
          <w:sz w:val="24"/>
          <w:szCs w:val="24"/>
        </w:rPr>
        <w:t>Pe</w:t>
      </w:r>
      <w:r w:rsidRPr="00381DA2">
        <w:rPr>
          <w:rFonts w:asciiTheme="majorHAnsi" w:hAnsiTheme="majorHAnsi" w:cstheme="minorHAnsi"/>
          <w:sz w:val="24"/>
          <w:szCs w:val="24"/>
        </w:rPr>
        <w:t>ntru susținerea eforturilor privind administrarea și gestionarea</w:t>
      </w:r>
      <w:r>
        <w:rPr>
          <w:rFonts w:asciiTheme="majorHAnsi" w:hAnsiTheme="majorHAnsi" w:cstheme="minorHAnsi"/>
          <w:sz w:val="24"/>
          <w:szCs w:val="24"/>
        </w:rPr>
        <w:t xml:space="preserve"> mijloacelor alocate pentru </w:t>
      </w:r>
      <w:r w:rsidRPr="00381DA2">
        <w:rPr>
          <w:rFonts w:asciiTheme="majorHAnsi" w:hAnsiTheme="majorHAnsi" w:cstheme="minorHAnsi"/>
          <w:sz w:val="24"/>
          <w:szCs w:val="24"/>
        </w:rPr>
        <w:t>asistenț</w:t>
      </w:r>
      <w:r>
        <w:rPr>
          <w:rFonts w:asciiTheme="majorHAnsi" w:hAnsiTheme="majorHAnsi" w:cstheme="minorHAnsi"/>
          <w:sz w:val="24"/>
          <w:szCs w:val="24"/>
        </w:rPr>
        <w:t xml:space="preserve">a </w:t>
      </w:r>
      <w:r w:rsidRPr="00381DA2">
        <w:rPr>
          <w:rFonts w:asciiTheme="majorHAnsi" w:hAnsiTheme="majorHAnsi" w:cstheme="minorHAnsi"/>
          <w:sz w:val="24"/>
          <w:szCs w:val="24"/>
        </w:rPr>
        <w:t>juridic</w:t>
      </w:r>
      <w:r>
        <w:rPr>
          <w:rFonts w:asciiTheme="majorHAnsi" w:hAnsiTheme="majorHAnsi" w:cstheme="minorHAnsi"/>
          <w:sz w:val="24"/>
          <w:szCs w:val="24"/>
        </w:rPr>
        <w:t>ă</w:t>
      </w:r>
      <w:r w:rsidRPr="00381DA2">
        <w:rPr>
          <w:rFonts w:asciiTheme="majorHAnsi" w:hAnsiTheme="majorHAnsi" w:cstheme="minorHAnsi"/>
          <w:sz w:val="24"/>
          <w:szCs w:val="24"/>
        </w:rPr>
        <w:t xml:space="preserve"> a fost instituit aparatul administrativ al Consiliului Național. Principalele responsabilități ale organelor de administrare a sistemului de acordare a serviciilor juridice</w:t>
      </w:r>
      <w:r>
        <w:rPr>
          <w:rFonts w:asciiTheme="majorHAnsi" w:hAnsiTheme="majorHAnsi" w:cstheme="minorHAnsi"/>
          <w:sz w:val="24"/>
          <w:szCs w:val="24"/>
        </w:rPr>
        <w:t>,</w:t>
      </w:r>
      <w:r w:rsidRPr="00381DA2">
        <w:rPr>
          <w:rFonts w:asciiTheme="majorHAnsi" w:hAnsiTheme="majorHAnsi" w:cstheme="minorHAnsi"/>
          <w:sz w:val="24"/>
          <w:szCs w:val="24"/>
        </w:rPr>
        <w:t xml:space="preserve"> precum și a</w:t>
      </w:r>
      <w:r>
        <w:rPr>
          <w:rFonts w:asciiTheme="majorHAnsi" w:hAnsiTheme="majorHAnsi" w:cstheme="minorHAnsi"/>
          <w:sz w:val="24"/>
          <w:szCs w:val="24"/>
        </w:rPr>
        <w:t>le</w:t>
      </w:r>
      <w:r w:rsidRPr="00381DA2">
        <w:rPr>
          <w:rFonts w:asciiTheme="majorHAnsi" w:hAnsiTheme="majorHAnsi" w:cstheme="minorHAnsi"/>
          <w:sz w:val="24"/>
          <w:szCs w:val="24"/>
        </w:rPr>
        <w:t xml:space="preserve"> altor actori implicați, sunt următoarele:</w:t>
      </w:r>
    </w:p>
    <w:tbl>
      <w:tblPr>
        <w:tblStyle w:val="TableGrid"/>
        <w:tblW w:w="9540" w:type="dxa"/>
        <w:tblInd w:w="-105" w:type="dxa"/>
        <w:tblLook w:val="04A0" w:firstRow="1" w:lastRow="0" w:firstColumn="1" w:lastColumn="0" w:noHBand="0" w:noVBand="1"/>
      </w:tblPr>
      <w:tblGrid>
        <w:gridCol w:w="2520"/>
        <w:gridCol w:w="2520"/>
        <w:gridCol w:w="2430"/>
        <w:gridCol w:w="2070"/>
      </w:tblGrid>
      <w:tr w:rsidR="000A6058" w:rsidRPr="00381DA2" w14:paraId="393B1630" w14:textId="77777777" w:rsidTr="00080598">
        <w:trPr>
          <w:trHeight w:val="600"/>
        </w:trPr>
        <w:tc>
          <w:tcPr>
            <w:tcW w:w="9540" w:type="dxa"/>
            <w:gridSpan w:val="4"/>
            <w:tcBorders>
              <w:top w:val="single" w:sz="12" w:space="0" w:color="E7E6E6" w:themeColor="background2"/>
              <w:left w:val="single" w:sz="12" w:space="0" w:color="E7E6E6" w:themeColor="background2"/>
              <w:bottom w:val="single" w:sz="12" w:space="0" w:color="FFFFFF" w:themeColor="background1"/>
              <w:right w:val="single" w:sz="12" w:space="0" w:color="E7E6E6"/>
            </w:tcBorders>
            <w:shd w:val="clear" w:color="auto" w:fill="2E74B5" w:themeFill="accent1" w:themeFillShade="BF"/>
          </w:tcPr>
          <w:p w14:paraId="0360F246" w14:textId="77777777" w:rsidR="000A6058" w:rsidRPr="001D74E2" w:rsidRDefault="000A6058" w:rsidP="003A66EF">
            <w:pPr>
              <w:spacing w:line="276" w:lineRule="auto"/>
              <w:jc w:val="center"/>
              <w:rPr>
                <w:rFonts w:asciiTheme="majorHAnsi" w:hAnsiTheme="majorHAnsi" w:cstheme="minorHAnsi"/>
                <w:b/>
                <w:color w:val="FFFFFF" w:themeColor="background1"/>
                <w:sz w:val="28"/>
                <w:szCs w:val="28"/>
              </w:rPr>
            </w:pPr>
            <w:r w:rsidRPr="001D74E2">
              <w:rPr>
                <w:rFonts w:asciiTheme="majorHAnsi" w:hAnsiTheme="majorHAnsi" w:cstheme="minorHAnsi"/>
                <w:b/>
                <w:color w:val="FFFFFF" w:themeColor="background1"/>
                <w:sz w:val="28"/>
                <w:szCs w:val="28"/>
              </w:rPr>
              <w:t>RESPONSABILITĂȚILE părților implicate în proces</w:t>
            </w:r>
            <w:r w:rsidR="006A55D9">
              <w:rPr>
                <w:rFonts w:asciiTheme="majorHAnsi" w:hAnsiTheme="majorHAnsi" w:cstheme="minorHAnsi"/>
                <w:b/>
                <w:color w:val="FFFFFF" w:themeColor="background1"/>
                <w:sz w:val="28"/>
                <w:szCs w:val="28"/>
              </w:rPr>
              <w:t xml:space="preserve"> de asistență juridică</w:t>
            </w:r>
            <w:r w:rsidRPr="001D74E2">
              <w:rPr>
                <w:rFonts w:asciiTheme="majorHAnsi" w:hAnsiTheme="majorHAnsi" w:cstheme="minorHAnsi"/>
                <w:b/>
                <w:color w:val="FFFFFF" w:themeColor="background1"/>
                <w:sz w:val="28"/>
                <w:szCs w:val="28"/>
              </w:rPr>
              <w:t xml:space="preserve"> </w:t>
            </w:r>
          </w:p>
        </w:tc>
      </w:tr>
      <w:tr w:rsidR="00741078" w:rsidRPr="00381DA2" w14:paraId="215BC6AF" w14:textId="77777777" w:rsidTr="00080598">
        <w:trPr>
          <w:trHeight w:val="600"/>
        </w:trPr>
        <w:tc>
          <w:tcPr>
            <w:tcW w:w="2520" w:type="dxa"/>
            <w:tcBorders>
              <w:top w:val="single" w:sz="12" w:space="0" w:color="FFFFFF" w:themeColor="background1"/>
              <w:left w:val="single" w:sz="12" w:space="0" w:color="E7E6E6" w:themeColor="background2"/>
              <w:bottom w:val="single" w:sz="12" w:space="0" w:color="FFFFFF" w:themeColor="background1"/>
              <w:right w:val="single" w:sz="12" w:space="0" w:color="FFFFFF" w:themeColor="background1"/>
            </w:tcBorders>
            <w:shd w:val="clear" w:color="auto" w:fill="F2F2F2" w:themeFill="background1" w:themeFillShade="F2"/>
          </w:tcPr>
          <w:p w14:paraId="2ACEF01A" w14:textId="77777777" w:rsidR="00741078" w:rsidRPr="00381DA2" w:rsidRDefault="00797406" w:rsidP="001D74E2">
            <w:pPr>
              <w:tabs>
                <w:tab w:val="left" w:pos="1068"/>
              </w:tabs>
              <w:spacing w:after="120"/>
              <w:rPr>
                <w:rFonts w:asciiTheme="majorHAnsi" w:hAnsiTheme="majorHAnsi" w:cstheme="minorHAnsi"/>
                <w:sz w:val="20"/>
                <w:szCs w:val="20"/>
              </w:rPr>
            </w:pPr>
            <w:r w:rsidRPr="000B6BD9">
              <w:rPr>
                <w:rFonts w:asciiTheme="majorHAnsi" w:hAnsiTheme="majorHAnsi" w:cstheme="minorHAnsi"/>
                <w:b/>
                <w:noProof/>
                <w:sz w:val="20"/>
                <w:szCs w:val="20"/>
                <w:lang w:val="en-US"/>
              </w:rPr>
              <w:drawing>
                <wp:anchor distT="0" distB="0" distL="114300" distR="114300" simplePos="0" relativeHeight="251685888" behindDoc="0" locked="0" layoutInCell="1" allowOverlap="1" wp14:anchorId="7CB31958" wp14:editId="7DE04F5C">
                  <wp:simplePos x="0" y="0"/>
                  <wp:positionH relativeFrom="column">
                    <wp:posOffset>2336</wp:posOffset>
                  </wp:positionH>
                  <wp:positionV relativeFrom="paragraph">
                    <wp:posOffset>2271</wp:posOffset>
                  </wp:positionV>
                  <wp:extent cx="511444" cy="666855"/>
                  <wp:effectExtent l="0" t="0" r="3175" b="0"/>
                  <wp:wrapSquare wrapText="bothSides"/>
                  <wp:docPr id="2" name="Picture 2" descr="d:\a_certan\Desktop\Asistența garantată de stat\RAPORTARE\maculator\guvernul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_certan\Desktop\Asistența garantată de stat\RAPORTARE\maculator\guvernul_r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44" cy="666855"/>
                          </a:xfrm>
                          <a:prstGeom prst="rect">
                            <a:avLst/>
                          </a:prstGeom>
                          <a:noFill/>
                          <a:ln>
                            <a:noFill/>
                          </a:ln>
                        </pic:spPr>
                      </pic:pic>
                    </a:graphicData>
                  </a:graphic>
                </wp:anchor>
              </w:drawing>
            </w:r>
            <w:r w:rsidR="00741078" w:rsidRPr="000B6BD9">
              <w:rPr>
                <w:rFonts w:asciiTheme="majorHAnsi" w:hAnsiTheme="majorHAnsi" w:cstheme="minorHAnsi"/>
                <w:b/>
                <w:color w:val="2F5496" w:themeColor="accent5" w:themeShade="BF"/>
                <w:sz w:val="20"/>
                <w:szCs w:val="20"/>
              </w:rPr>
              <w:t>Ministerul Justiției</w:t>
            </w:r>
            <w:r w:rsidR="00741078" w:rsidRPr="000B6BD9">
              <w:rPr>
                <w:rFonts w:asciiTheme="majorHAnsi" w:hAnsiTheme="majorHAnsi" w:cstheme="minorHAnsi"/>
                <w:b/>
                <w:sz w:val="20"/>
                <w:szCs w:val="20"/>
              </w:rPr>
              <w:t xml:space="preserve"> -</w:t>
            </w:r>
            <w:r w:rsidR="00741078" w:rsidRPr="00381DA2">
              <w:rPr>
                <w:rFonts w:asciiTheme="majorHAnsi" w:hAnsiTheme="majorHAnsi" w:cstheme="minorHAnsi"/>
                <w:sz w:val="20"/>
                <w:szCs w:val="20"/>
              </w:rPr>
              <w:t>elaborează și promovează politica de stat în domeniul asistenței juridice garantate de stat.</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DDE5EB" w14:textId="77777777" w:rsidR="00741078" w:rsidRPr="00381DA2" w:rsidRDefault="00741078" w:rsidP="001D74E2">
            <w:pPr>
              <w:spacing w:after="120"/>
              <w:jc w:val="both"/>
              <w:rPr>
                <w:rFonts w:asciiTheme="majorHAnsi" w:hAnsiTheme="majorHAnsi" w:cstheme="minorHAnsi"/>
                <w:sz w:val="20"/>
                <w:szCs w:val="20"/>
              </w:rPr>
            </w:pPr>
            <w:r w:rsidRPr="000B6BD9">
              <w:rPr>
                <w:rFonts w:asciiTheme="majorHAnsi" w:hAnsiTheme="majorHAnsi" w:cstheme="minorHAnsi"/>
                <w:b/>
                <w:color w:val="2F5496" w:themeColor="accent5" w:themeShade="BF"/>
                <w:sz w:val="20"/>
                <w:szCs w:val="20"/>
              </w:rPr>
              <w:t>Uniunea Avocaților și Barourile -</w:t>
            </w:r>
            <w:r w:rsidRPr="00381DA2">
              <w:rPr>
                <w:rFonts w:asciiTheme="majorHAnsi" w:hAnsiTheme="majorHAnsi" w:cstheme="minorHAnsi"/>
                <w:color w:val="2F5496" w:themeColor="accent5" w:themeShade="BF"/>
                <w:sz w:val="20"/>
                <w:szCs w:val="20"/>
              </w:rPr>
              <w:t xml:space="preserve"> </w:t>
            </w:r>
            <w:r w:rsidRPr="00381DA2">
              <w:rPr>
                <w:rFonts w:asciiTheme="majorHAnsi" w:hAnsiTheme="majorHAnsi" w:cstheme="minorHAnsi"/>
                <w:sz w:val="20"/>
                <w:szCs w:val="20"/>
              </w:rPr>
              <w:t xml:space="preserve">participă la elaborarea criteriilor de selectare a avocaților precum și </w:t>
            </w:r>
            <w:r w:rsidR="004E6EE3">
              <w:rPr>
                <w:rFonts w:asciiTheme="majorHAnsi" w:hAnsiTheme="majorHAnsi" w:cstheme="minorHAnsi"/>
                <w:sz w:val="20"/>
                <w:szCs w:val="20"/>
              </w:rPr>
              <w:t xml:space="preserve">la </w:t>
            </w:r>
            <w:r w:rsidRPr="00381DA2">
              <w:rPr>
                <w:rFonts w:asciiTheme="majorHAnsi" w:hAnsiTheme="majorHAnsi" w:cstheme="minorHAnsi"/>
                <w:sz w:val="20"/>
                <w:szCs w:val="20"/>
              </w:rPr>
              <w:t>monitorizarea activității acestora.</w:t>
            </w:r>
          </w:p>
        </w:tc>
        <w:tc>
          <w:tcPr>
            <w:tcW w:w="24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CA455B" w14:textId="1DB63051" w:rsidR="00741078" w:rsidRPr="00381DA2" w:rsidRDefault="00741078" w:rsidP="00851905">
            <w:pPr>
              <w:jc w:val="both"/>
              <w:rPr>
                <w:rFonts w:asciiTheme="majorHAnsi" w:hAnsiTheme="majorHAnsi" w:cstheme="minorHAnsi"/>
                <w:sz w:val="20"/>
                <w:szCs w:val="20"/>
              </w:rPr>
            </w:pPr>
            <w:r w:rsidRPr="00381DA2">
              <w:rPr>
                <w:rFonts w:asciiTheme="majorHAnsi" w:hAnsiTheme="majorHAnsi" w:cstheme="minorHAnsi"/>
                <w:color w:val="0070C0"/>
                <w:sz w:val="20"/>
                <w:szCs w:val="20"/>
              </w:rPr>
              <w:t xml:space="preserve"> </w:t>
            </w:r>
            <w:r w:rsidRPr="002F4439">
              <w:rPr>
                <w:rFonts w:asciiTheme="majorHAnsi" w:hAnsiTheme="majorHAnsi" w:cstheme="minorHAnsi"/>
                <w:b/>
                <w:color w:val="2F5496" w:themeColor="accent5" w:themeShade="BF"/>
                <w:sz w:val="20"/>
                <w:szCs w:val="20"/>
              </w:rPr>
              <w:t xml:space="preserve">CNAJGS </w:t>
            </w:r>
            <w:r w:rsidR="00E47FC1" w:rsidRPr="002F4439">
              <w:rPr>
                <w:rFonts w:asciiTheme="majorHAnsi" w:hAnsiTheme="majorHAnsi" w:cstheme="minorHAnsi"/>
                <w:b/>
                <w:color w:val="2F5496" w:themeColor="accent5" w:themeShade="BF"/>
                <w:sz w:val="20"/>
                <w:szCs w:val="20"/>
              </w:rPr>
              <w:t>–</w:t>
            </w:r>
            <w:r w:rsidRPr="002F4439">
              <w:rPr>
                <w:rFonts w:asciiTheme="majorHAnsi" w:hAnsiTheme="majorHAnsi" w:cstheme="minorHAnsi"/>
                <w:color w:val="2F5496" w:themeColor="accent5" w:themeShade="BF"/>
                <w:sz w:val="20"/>
                <w:szCs w:val="20"/>
              </w:rPr>
              <w:t xml:space="preserve"> </w:t>
            </w:r>
            <w:r w:rsidR="009476D6" w:rsidRPr="002F4439">
              <w:rPr>
                <w:rFonts w:asciiTheme="majorHAnsi" w:hAnsiTheme="majorHAnsi" w:cstheme="minorHAnsi"/>
                <w:sz w:val="20"/>
                <w:szCs w:val="20"/>
              </w:rPr>
              <w:t xml:space="preserve">persoană juridică, </w:t>
            </w:r>
            <w:r w:rsidR="00E47FC1" w:rsidRPr="002F4439">
              <w:rPr>
                <w:rFonts w:asciiTheme="majorHAnsi" w:hAnsiTheme="majorHAnsi" w:cstheme="minorHAnsi"/>
                <w:sz w:val="20"/>
                <w:szCs w:val="20"/>
              </w:rPr>
              <w:t xml:space="preserve">organ colegial </w:t>
            </w:r>
            <w:r w:rsidRPr="002F4439">
              <w:rPr>
                <w:rFonts w:asciiTheme="majorHAnsi" w:hAnsiTheme="majorHAnsi" w:cstheme="minorHAnsi"/>
                <w:sz w:val="20"/>
                <w:szCs w:val="20"/>
              </w:rPr>
              <w:t xml:space="preserve"> </w:t>
            </w:r>
            <w:r w:rsidR="00E47FC1" w:rsidRPr="002F4439">
              <w:rPr>
                <w:rFonts w:asciiTheme="majorHAnsi" w:hAnsiTheme="majorHAnsi" w:cstheme="minorHAnsi"/>
                <w:sz w:val="20"/>
                <w:szCs w:val="20"/>
              </w:rPr>
              <w:t xml:space="preserve">cu </w:t>
            </w:r>
            <w:r w:rsidRPr="002F4439">
              <w:rPr>
                <w:rFonts w:asciiTheme="majorHAnsi" w:hAnsiTheme="majorHAnsi" w:cstheme="minorHAnsi"/>
                <w:sz w:val="20"/>
                <w:szCs w:val="20"/>
              </w:rPr>
              <w:t xml:space="preserve">atribuții decizionale </w:t>
            </w:r>
            <w:r w:rsidR="00E47FC1" w:rsidRPr="002F4439">
              <w:rPr>
                <w:rFonts w:asciiTheme="majorHAnsi" w:hAnsiTheme="majorHAnsi" w:cstheme="minorHAnsi"/>
                <w:sz w:val="20"/>
                <w:szCs w:val="20"/>
              </w:rPr>
              <w:t>asupra</w:t>
            </w:r>
            <w:r w:rsidR="00E47FC1" w:rsidRPr="00381DA2">
              <w:rPr>
                <w:rFonts w:asciiTheme="majorHAnsi" w:hAnsiTheme="majorHAnsi" w:cstheme="minorHAnsi"/>
                <w:sz w:val="20"/>
                <w:szCs w:val="20"/>
              </w:rPr>
              <w:t xml:space="preserve"> a</w:t>
            </w:r>
            <w:r w:rsidR="00851905">
              <w:rPr>
                <w:rFonts w:asciiTheme="majorHAnsi" w:hAnsiTheme="majorHAnsi" w:cstheme="minorHAnsi"/>
                <w:sz w:val="20"/>
                <w:szCs w:val="20"/>
              </w:rPr>
              <w:t>dministrării</w:t>
            </w:r>
            <w:r w:rsidR="00E47FC1" w:rsidRPr="00381DA2">
              <w:rPr>
                <w:rFonts w:asciiTheme="majorHAnsi" w:hAnsiTheme="majorHAnsi" w:cstheme="minorHAnsi"/>
                <w:sz w:val="20"/>
                <w:szCs w:val="20"/>
              </w:rPr>
              <w:t xml:space="preserve"> întreg</w:t>
            </w:r>
            <w:r w:rsidR="00851905">
              <w:rPr>
                <w:rFonts w:asciiTheme="majorHAnsi" w:hAnsiTheme="majorHAnsi" w:cstheme="minorHAnsi"/>
                <w:sz w:val="20"/>
                <w:szCs w:val="20"/>
              </w:rPr>
              <w:t>ului sistem</w:t>
            </w:r>
            <w:r w:rsidRPr="00381DA2">
              <w:rPr>
                <w:rFonts w:asciiTheme="majorHAnsi" w:hAnsiTheme="majorHAnsi" w:cstheme="minorHAnsi"/>
                <w:sz w:val="20"/>
                <w:szCs w:val="20"/>
              </w:rPr>
              <w:t xml:space="preserve"> de AJGS.</w:t>
            </w:r>
          </w:p>
        </w:tc>
        <w:tc>
          <w:tcPr>
            <w:tcW w:w="2070" w:type="dxa"/>
            <w:tcBorders>
              <w:top w:val="single" w:sz="12" w:space="0" w:color="FFFFFF" w:themeColor="background1"/>
              <w:left w:val="single" w:sz="12" w:space="0" w:color="FFFFFF" w:themeColor="background1"/>
              <w:bottom w:val="single" w:sz="12" w:space="0" w:color="FFFFFF" w:themeColor="background1"/>
              <w:right w:val="single" w:sz="12" w:space="0" w:color="E7E6E6" w:themeColor="background2"/>
            </w:tcBorders>
            <w:shd w:val="clear" w:color="auto" w:fill="F2F2F2" w:themeFill="background1" w:themeFillShade="F2"/>
          </w:tcPr>
          <w:p w14:paraId="10D39DDC" w14:textId="77777777" w:rsidR="00741078" w:rsidRPr="00381DA2" w:rsidRDefault="00741078" w:rsidP="00851905">
            <w:pPr>
              <w:jc w:val="both"/>
              <w:rPr>
                <w:rFonts w:asciiTheme="majorHAnsi" w:hAnsiTheme="majorHAnsi" w:cstheme="minorHAnsi"/>
                <w:sz w:val="20"/>
                <w:szCs w:val="20"/>
              </w:rPr>
            </w:pPr>
            <w:r w:rsidRPr="000B6BD9">
              <w:rPr>
                <w:rFonts w:asciiTheme="majorHAnsi" w:hAnsiTheme="majorHAnsi" w:cstheme="minorHAnsi"/>
                <w:b/>
                <w:color w:val="2F5496" w:themeColor="accent5" w:themeShade="BF"/>
                <w:sz w:val="20"/>
                <w:szCs w:val="20"/>
              </w:rPr>
              <w:t>Aparatul administrativ</w:t>
            </w:r>
            <w:r w:rsidRPr="00381DA2">
              <w:rPr>
                <w:rFonts w:asciiTheme="majorHAnsi" w:hAnsiTheme="majorHAnsi" w:cstheme="minorHAnsi"/>
                <w:sz w:val="20"/>
                <w:szCs w:val="20"/>
              </w:rPr>
              <w:t xml:space="preserve"> </w:t>
            </w:r>
            <w:r w:rsidRPr="00381DA2">
              <w:rPr>
                <w:rFonts w:asciiTheme="majorHAnsi" w:hAnsiTheme="majorHAnsi" w:cstheme="minorHAnsi"/>
                <w:color w:val="2F5496" w:themeColor="accent5" w:themeShade="BF"/>
                <w:sz w:val="20"/>
                <w:szCs w:val="20"/>
              </w:rPr>
              <w:t>–</w:t>
            </w:r>
            <w:r w:rsidRPr="00381DA2">
              <w:rPr>
                <w:rFonts w:asciiTheme="majorHAnsi" w:hAnsiTheme="majorHAnsi" w:cstheme="minorHAnsi"/>
                <w:sz w:val="20"/>
                <w:szCs w:val="20"/>
              </w:rPr>
              <w:t xml:space="preserve"> asigură funcționarea Consiliului Național</w:t>
            </w:r>
            <w:r w:rsidR="00851905">
              <w:rPr>
                <w:rFonts w:asciiTheme="majorHAnsi" w:hAnsiTheme="majorHAnsi" w:cstheme="minorHAnsi"/>
                <w:sz w:val="20"/>
                <w:szCs w:val="20"/>
              </w:rPr>
              <w:t>, organizarea și monitorizarea</w:t>
            </w:r>
            <w:r w:rsidRPr="00381DA2">
              <w:rPr>
                <w:rFonts w:asciiTheme="majorHAnsi" w:hAnsiTheme="majorHAnsi" w:cstheme="minorHAnsi"/>
                <w:sz w:val="20"/>
                <w:szCs w:val="20"/>
              </w:rPr>
              <w:t xml:space="preserve"> procesul</w:t>
            </w:r>
            <w:r w:rsidR="00851905">
              <w:rPr>
                <w:rFonts w:asciiTheme="majorHAnsi" w:hAnsiTheme="majorHAnsi" w:cstheme="minorHAnsi"/>
                <w:sz w:val="20"/>
                <w:szCs w:val="20"/>
              </w:rPr>
              <w:t>ui</w:t>
            </w:r>
            <w:r w:rsidRPr="00381DA2">
              <w:rPr>
                <w:rFonts w:asciiTheme="majorHAnsi" w:hAnsiTheme="majorHAnsi" w:cstheme="minorHAnsi"/>
                <w:sz w:val="20"/>
                <w:szCs w:val="20"/>
              </w:rPr>
              <w:t xml:space="preserve"> de acordare</w:t>
            </w:r>
            <w:r w:rsidR="004E6EE3">
              <w:rPr>
                <w:rFonts w:asciiTheme="majorHAnsi" w:hAnsiTheme="majorHAnsi" w:cstheme="minorHAnsi"/>
                <w:sz w:val="20"/>
                <w:szCs w:val="20"/>
              </w:rPr>
              <w:t xml:space="preserve"> a</w:t>
            </w:r>
            <w:r w:rsidRPr="00381DA2">
              <w:rPr>
                <w:rFonts w:asciiTheme="majorHAnsi" w:hAnsiTheme="majorHAnsi" w:cstheme="minorHAnsi"/>
                <w:sz w:val="20"/>
                <w:szCs w:val="20"/>
              </w:rPr>
              <w:t xml:space="preserve"> AJGS.</w:t>
            </w:r>
          </w:p>
        </w:tc>
      </w:tr>
      <w:tr w:rsidR="004E6EE3" w:rsidRPr="00381DA2" w14:paraId="1C88A49C" w14:textId="77777777" w:rsidTr="00080598">
        <w:trPr>
          <w:trHeight w:val="600"/>
        </w:trPr>
        <w:tc>
          <w:tcPr>
            <w:tcW w:w="2520" w:type="dxa"/>
            <w:tcBorders>
              <w:top w:val="single" w:sz="12" w:space="0" w:color="FFFFFF" w:themeColor="background1"/>
              <w:left w:val="single" w:sz="12" w:space="0" w:color="E7E6E6" w:themeColor="background2"/>
              <w:bottom w:val="single" w:sz="12" w:space="0" w:color="FFFFFF" w:themeColor="background1"/>
              <w:right w:val="single" w:sz="12" w:space="0" w:color="FFFFFF" w:themeColor="background1"/>
            </w:tcBorders>
            <w:shd w:val="clear" w:color="auto" w:fill="F2F2F2" w:themeFill="background1" w:themeFillShade="F2"/>
          </w:tcPr>
          <w:p w14:paraId="58E1DF2B" w14:textId="10F9EF83" w:rsidR="004E6EE3" w:rsidRPr="00381DA2" w:rsidRDefault="004E6EE3" w:rsidP="004E6EE3">
            <w:pPr>
              <w:jc w:val="both"/>
              <w:rPr>
                <w:rFonts w:asciiTheme="majorHAnsi" w:hAnsiTheme="majorHAnsi" w:cstheme="minorHAnsi"/>
                <w:sz w:val="20"/>
                <w:szCs w:val="20"/>
              </w:rPr>
            </w:pPr>
            <w:r w:rsidRPr="00381DA2">
              <w:rPr>
                <w:rFonts w:asciiTheme="majorHAnsi" w:hAnsiTheme="majorHAnsi" w:cstheme="minorHAnsi"/>
                <w:sz w:val="20"/>
                <w:szCs w:val="20"/>
              </w:rPr>
              <w:lastRenderedPageBreak/>
              <w:t xml:space="preserve"> </w:t>
            </w:r>
            <w:r w:rsidRPr="004E6EE3">
              <w:rPr>
                <w:rFonts w:asciiTheme="majorHAnsi" w:hAnsiTheme="majorHAnsi" w:cstheme="minorHAnsi"/>
                <w:b/>
                <w:iCs/>
                <w:color w:val="2F5496" w:themeColor="accent5" w:themeShade="BF"/>
                <w:sz w:val="20"/>
                <w:szCs w:val="20"/>
              </w:rPr>
              <w:t xml:space="preserve">Oficiile </w:t>
            </w:r>
            <w:r w:rsidRPr="002F4439">
              <w:rPr>
                <w:rFonts w:asciiTheme="majorHAnsi" w:hAnsiTheme="majorHAnsi" w:cstheme="minorHAnsi"/>
                <w:b/>
                <w:iCs/>
                <w:color w:val="2F5496" w:themeColor="accent5" w:themeShade="BF"/>
                <w:sz w:val="20"/>
                <w:szCs w:val="20"/>
              </w:rPr>
              <w:t>Teritoriale</w:t>
            </w:r>
            <w:r w:rsidRPr="002F4439">
              <w:rPr>
                <w:rFonts w:asciiTheme="majorHAnsi" w:hAnsiTheme="majorHAnsi" w:cstheme="minorHAnsi"/>
                <w:iCs/>
                <w:color w:val="2F5496" w:themeColor="accent5" w:themeShade="BF"/>
                <w:sz w:val="20"/>
                <w:szCs w:val="20"/>
              </w:rPr>
              <w:t xml:space="preserve"> </w:t>
            </w:r>
            <w:r w:rsidRPr="002F4439">
              <w:rPr>
                <w:rFonts w:asciiTheme="majorHAnsi" w:hAnsiTheme="majorHAnsi" w:cstheme="minorHAnsi"/>
                <w:color w:val="2F5496" w:themeColor="accent5" w:themeShade="BF"/>
                <w:sz w:val="20"/>
                <w:szCs w:val="20"/>
              </w:rPr>
              <w:t>–</w:t>
            </w:r>
            <w:r w:rsidRPr="002F4439">
              <w:rPr>
                <w:rFonts w:asciiTheme="majorHAnsi" w:hAnsiTheme="majorHAnsi" w:cstheme="minorHAnsi"/>
                <w:sz w:val="20"/>
                <w:szCs w:val="20"/>
              </w:rPr>
              <w:t xml:space="preserve"> </w:t>
            </w:r>
            <w:r w:rsidR="009476D6" w:rsidRPr="002F4439">
              <w:rPr>
                <w:rFonts w:asciiTheme="majorHAnsi" w:hAnsiTheme="majorHAnsi" w:cstheme="minorHAnsi"/>
                <w:sz w:val="20"/>
                <w:szCs w:val="20"/>
              </w:rPr>
              <w:t xml:space="preserve">persoane juridice, care </w:t>
            </w:r>
            <w:r w:rsidRPr="002F4439">
              <w:rPr>
                <w:rFonts w:asciiTheme="majorHAnsi" w:hAnsiTheme="majorHAnsi" w:cstheme="minorHAnsi"/>
                <w:sz w:val="20"/>
                <w:szCs w:val="20"/>
              </w:rPr>
              <w:t>asigură acordarea efectivă</w:t>
            </w:r>
            <w:r w:rsidRPr="00381DA2">
              <w:rPr>
                <w:rFonts w:asciiTheme="majorHAnsi" w:hAnsiTheme="majorHAnsi" w:cstheme="minorHAnsi"/>
                <w:sz w:val="20"/>
                <w:szCs w:val="20"/>
              </w:rPr>
              <w:t xml:space="preserve"> a asistenței juridice garantat</w:t>
            </w:r>
            <w:r>
              <w:rPr>
                <w:rFonts w:asciiTheme="majorHAnsi" w:hAnsiTheme="majorHAnsi" w:cstheme="minorHAnsi"/>
                <w:sz w:val="20"/>
                <w:szCs w:val="20"/>
              </w:rPr>
              <w:t>e</w:t>
            </w:r>
            <w:r w:rsidRPr="00381DA2">
              <w:rPr>
                <w:rFonts w:asciiTheme="majorHAnsi" w:hAnsiTheme="majorHAnsi" w:cstheme="minorHAnsi"/>
                <w:sz w:val="20"/>
                <w:szCs w:val="20"/>
              </w:rPr>
              <w:t xml:space="preserve"> de stat</w:t>
            </w:r>
            <w:r>
              <w:rPr>
                <w:rFonts w:asciiTheme="majorHAnsi" w:hAnsiTheme="majorHAnsi" w:cstheme="minorHAnsi"/>
                <w:sz w:val="20"/>
                <w:szCs w:val="20"/>
              </w:rPr>
              <w:t>.</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C3B6C47" w14:textId="77777777" w:rsidR="004E6EE3" w:rsidRPr="00381DA2" w:rsidRDefault="004E6EE3" w:rsidP="004E6EE3">
            <w:pPr>
              <w:jc w:val="both"/>
              <w:rPr>
                <w:rFonts w:asciiTheme="majorHAnsi" w:hAnsiTheme="majorHAnsi" w:cstheme="minorHAnsi"/>
                <w:sz w:val="20"/>
                <w:szCs w:val="20"/>
              </w:rPr>
            </w:pPr>
            <w:r w:rsidRPr="004E6EE3">
              <w:rPr>
                <w:rFonts w:asciiTheme="majorHAnsi" w:hAnsiTheme="majorHAnsi" w:cstheme="minorHAnsi"/>
                <w:b/>
                <w:color w:val="2F5496" w:themeColor="accent5" w:themeShade="BF"/>
                <w:sz w:val="20"/>
                <w:szCs w:val="20"/>
              </w:rPr>
              <w:t>Para-juriștii –</w:t>
            </w:r>
            <w:r w:rsidRPr="00381DA2">
              <w:rPr>
                <w:rFonts w:asciiTheme="majorHAnsi" w:hAnsiTheme="majorHAnsi" w:cstheme="minorHAnsi"/>
                <w:color w:val="2F5496" w:themeColor="accent5" w:themeShade="BF"/>
                <w:sz w:val="20"/>
                <w:szCs w:val="20"/>
              </w:rPr>
              <w:t xml:space="preserve"> </w:t>
            </w:r>
            <w:r w:rsidRPr="00381DA2">
              <w:rPr>
                <w:rFonts w:asciiTheme="majorHAnsi" w:hAnsiTheme="majorHAnsi" w:cstheme="minorHAnsi"/>
                <w:sz w:val="20"/>
                <w:szCs w:val="20"/>
              </w:rPr>
              <w:t>persoan</w:t>
            </w:r>
            <w:r>
              <w:rPr>
                <w:rFonts w:asciiTheme="majorHAnsi" w:hAnsiTheme="majorHAnsi" w:cstheme="minorHAnsi"/>
                <w:sz w:val="20"/>
                <w:szCs w:val="20"/>
              </w:rPr>
              <w:t>e</w:t>
            </w:r>
            <w:r w:rsidRPr="00381DA2">
              <w:rPr>
                <w:rFonts w:asciiTheme="majorHAnsi" w:hAnsiTheme="majorHAnsi" w:cstheme="minorHAnsi"/>
                <w:sz w:val="20"/>
                <w:szCs w:val="20"/>
              </w:rPr>
              <w:t xml:space="preserve"> care nu practică activitate</w:t>
            </w:r>
            <w:r>
              <w:rPr>
                <w:rFonts w:asciiTheme="majorHAnsi" w:hAnsiTheme="majorHAnsi" w:cstheme="minorHAnsi"/>
                <w:sz w:val="20"/>
                <w:szCs w:val="20"/>
              </w:rPr>
              <w:t>a</w:t>
            </w:r>
            <w:r w:rsidRPr="00381DA2">
              <w:rPr>
                <w:rFonts w:asciiTheme="majorHAnsi" w:hAnsiTheme="majorHAnsi" w:cstheme="minorHAnsi"/>
                <w:sz w:val="20"/>
                <w:szCs w:val="20"/>
              </w:rPr>
              <w:t xml:space="preserve"> de avocat </w:t>
            </w:r>
            <w:proofErr w:type="spellStart"/>
            <w:r w:rsidRPr="00381DA2">
              <w:rPr>
                <w:rFonts w:asciiTheme="majorHAnsi" w:hAnsiTheme="majorHAnsi" w:cstheme="minorHAnsi"/>
                <w:sz w:val="20"/>
                <w:szCs w:val="20"/>
              </w:rPr>
              <w:t>şi</w:t>
            </w:r>
            <w:proofErr w:type="spellEnd"/>
            <w:r w:rsidRPr="00381DA2">
              <w:rPr>
                <w:rFonts w:asciiTheme="majorHAnsi" w:hAnsiTheme="majorHAnsi" w:cstheme="minorHAnsi"/>
                <w:sz w:val="20"/>
                <w:szCs w:val="20"/>
              </w:rPr>
              <w:t xml:space="preserve"> care, după o instruire specială, </w:t>
            </w:r>
            <w:r>
              <w:rPr>
                <w:rFonts w:asciiTheme="majorHAnsi" w:hAnsiTheme="majorHAnsi" w:cstheme="minorHAnsi"/>
                <w:sz w:val="20"/>
                <w:szCs w:val="20"/>
              </w:rPr>
              <w:t>sunt</w:t>
            </w:r>
            <w:r w:rsidRPr="00381DA2">
              <w:rPr>
                <w:rFonts w:asciiTheme="majorHAnsi" w:hAnsiTheme="majorHAnsi" w:cstheme="minorHAnsi"/>
                <w:sz w:val="20"/>
                <w:szCs w:val="20"/>
              </w:rPr>
              <w:t xml:space="preserve"> califica</w:t>
            </w:r>
            <w:r>
              <w:rPr>
                <w:rFonts w:asciiTheme="majorHAnsi" w:hAnsiTheme="majorHAnsi" w:cstheme="minorHAnsi"/>
                <w:sz w:val="20"/>
                <w:szCs w:val="20"/>
              </w:rPr>
              <w:t>ți</w:t>
            </w:r>
            <w:r w:rsidRPr="00381DA2">
              <w:rPr>
                <w:rFonts w:asciiTheme="majorHAnsi" w:hAnsiTheme="majorHAnsi" w:cstheme="minorHAnsi"/>
                <w:sz w:val="20"/>
                <w:szCs w:val="20"/>
              </w:rPr>
              <w:t xml:space="preserve"> să ac</w:t>
            </w:r>
            <w:r>
              <w:rPr>
                <w:rFonts w:asciiTheme="majorHAnsi" w:hAnsiTheme="majorHAnsi" w:cstheme="minorHAnsi"/>
                <w:sz w:val="20"/>
                <w:szCs w:val="20"/>
              </w:rPr>
              <w:t>orde asistență juridică primară.</w:t>
            </w:r>
          </w:p>
        </w:tc>
        <w:tc>
          <w:tcPr>
            <w:tcW w:w="24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B5E311" w14:textId="77777777" w:rsidR="004E6EE3" w:rsidRPr="00381DA2" w:rsidRDefault="004E6EE3" w:rsidP="004E6EE3">
            <w:pPr>
              <w:jc w:val="both"/>
              <w:rPr>
                <w:rFonts w:asciiTheme="majorHAnsi" w:hAnsiTheme="majorHAnsi" w:cstheme="minorHAnsi"/>
                <w:color w:val="2F5496" w:themeColor="accent5" w:themeShade="BF"/>
                <w:sz w:val="20"/>
                <w:szCs w:val="20"/>
              </w:rPr>
            </w:pPr>
            <w:r w:rsidRPr="004E6EE3">
              <w:rPr>
                <w:rFonts w:asciiTheme="majorHAnsi" w:hAnsiTheme="majorHAnsi" w:cstheme="minorHAnsi"/>
                <w:b/>
                <w:color w:val="2F5496" w:themeColor="accent5" w:themeShade="BF"/>
                <w:sz w:val="20"/>
                <w:szCs w:val="20"/>
              </w:rPr>
              <w:t>Avocații contractați de stat</w:t>
            </w:r>
            <w:r w:rsidRPr="00381DA2">
              <w:rPr>
                <w:rFonts w:asciiTheme="majorHAnsi" w:hAnsiTheme="majorHAnsi" w:cstheme="minorHAnsi"/>
                <w:color w:val="2F5496" w:themeColor="accent5" w:themeShade="BF"/>
                <w:sz w:val="20"/>
                <w:szCs w:val="20"/>
              </w:rPr>
              <w:t xml:space="preserve"> -</w:t>
            </w:r>
            <w:r w:rsidRPr="00381DA2">
              <w:rPr>
                <w:rFonts w:asciiTheme="majorHAnsi" w:hAnsiTheme="majorHAnsi" w:cstheme="minorHAnsi"/>
                <w:sz w:val="20"/>
                <w:szCs w:val="20"/>
              </w:rPr>
              <w:t xml:space="preserve"> acordă gratuit sau parțial gratuit asistență juridică calificată din contul mijloacelor destinate acordării garantate de stat.</w:t>
            </w:r>
          </w:p>
        </w:tc>
        <w:tc>
          <w:tcPr>
            <w:tcW w:w="2070" w:type="dxa"/>
            <w:tcBorders>
              <w:top w:val="single" w:sz="12" w:space="0" w:color="FFFFFF" w:themeColor="background1"/>
              <w:left w:val="single" w:sz="12" w:space="0" w:color="FFFFFF" w:themeColor="background1"/>
              <w:bottom w:val="single" w:sz="12" w:space="0" w:color="FFFFFF" w:themeColor="background1"/>
              <w:right w:val="single" w:sz="12" w:space="0" w:color="E7E6E6" w:themeColor="background2"/>
            </w:tcBorders>
            <w:shd w:val="clear" w:color="auto" w:fill="F2F2F2" w:themeFill="background1" w:themeFillShade="F2"/>
          </w:tcPr>
          <w:p w14:paraId="62D4E601" w14:textId="77777777" w:rsidR="004E6EE3" w:rsidRPr="003A66EF" w:rsidRDefault="004E6EE3" w:rsidP="004E6EE3">
            <w:pPr>
              <w:jc w:val="both"/>
              <w:rPr>
                <w:rFonts w:asciiTheme="majorHAnsi" w:hAnsiTheme="majorHAnsi" w:cstheme="minorHAnsi"/>
                <w:sz w:val="20"/>
                <w:szCs w:val="20"/>
              </w:rPr>
            </w:pPr>
            <w:r w:rsidRPr="004E6EE3">
              <w:rPr>
                <w:rFonts w:asciiTheme="majorHAnsi" w:hAnsiTheme="majorHAnsi" w:cstheme="minorHAnsi"/>
                <w:b/>
                <w:color w:val="2F5496" w:themeColor="accent5" w:themeShade="BF"/>
                <w:sz w:val="20"/>
                <w:szCs w:val="20"/>
              </w:rPr>
              <w:t>Beneficiarii</w:t>
            </w:r>
            <w:r>
              <w:rPr>
                <w:rFonts w:asciiTheme="majorHAnsi" w:hAnsiTheme="majorHAnsi" w:cstheme="minorHAnsi"/>
                <w:color w:val="2F5496" w:themeColor="accent5" w:themeShade="BF"/>
                <w:sz w:val="20"/>
                <w:szCs w:val="20"/>
              </w:rPr>
              <w:t xml:space="preserve"> </w:t>
            </w:r>
            <w:r w:rsidRPr="00381DA2">
              <w:rPr>
                <w:rFonts w:asciiTheme="majorHAnsi" w:hAnsiTheme="majorHAnsi" w:cstheme="minorHAnsi"/>
                <w:color w:val="2F5496" w:themeColor="accent5" w:themeShade="BF"/>
                <w:sz w:val="20"/>
                <w:szCs w:val="20"/>
              </w:rPr>
              <w:t xml:space="preserve">- </w:t>
            </w:r>
            <w:r>
              <w:rPr>
                <w:rFonts w:asciiTheme="majorHAnsi" w:hAnsiTheme="majorHAnsi" w:cstheme="minorHAnsi"/>
                <w:sz w:val="20"/>
                <w:szCs w:val="20"/>
              </w:rPr>
              <w:t>persoanele care beneficiază de AJGS.</w:t>
            </w:r>
          </w:p>
        </w:tc>
      </w:tr>
    </w:tbl>
    <w:p w14:paraId="411FABE5" w14:textId="77777777" w:rsidR="00797406" w:rsidRPr="00381DA2" w:rsidRDefault="00797406" w:rsidP="003A66EF">
      <w:pPr>
        <w:spacing w:before="120" w:after="24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Responsabilitățile integrale </w:t>
      </w:r>
      <w:r w:rsidR="00FD7FA8" w:rsidRPr="00381DA2">
        <w:rPr>
          <w:rFonts w:asciiTheme="majorHAnsi" w:hAnsiTheme="majorHAnsi" w:cstheme="minorHAnsi"/>
          <w:sz w:val="24"/>
          <w:szCs w:val="24"/>
        </w:rPr>
        <w:t xml:space="preserve">ale instituțiilor vizate </w:t>
      </w:r>
      <w:r w:rsidRPr="00381DA2">
        <w:rPr>
          <w:rFonts w:asciiTheme="majorHAnsi" w:hAnsiTheme="majorHAnsi" w:cstheme="minorHAnsi"/>
          <w:sz w:val="24"/>
          <w:szCs w:val="24"/>
        </w:rPr>
        <w:t>sunt reflectate în Anexa nr.</w:t>
      </w:r>
      <w:r w:rsidR="009C3837" w:rsidRPr="00381DA2">
        <w:rPr>
          <w:rFonts w:asciiTheme="majorHAnsi" w:hAnsiTheme="majorHAnsi" w:cstheme="minorHAnsi"/>
          <w:sz w:val="24"/>
          <w:szCs w:val="24"/>
        </w:rPr>
        <w:t>1</w:t>
      </w:r>
      <w:r w:rsidRPr="00381DA2">
        <w:rPr>
          <w:rFonts w:asciiTheme="majorHAnsi" w:hAnsiTheme="majorHAnsi" w:cstheme="minorHAnsi"/>
          <w:sz w:val="24"/>
          <w:szCs w:val="24"/>
        </w:rPr>
        <w:t xml:space="preserve"> la Raportul de audit.</w:t>
      </w:r>
    </w:p>
    <w:p w14:paraId="77124502" w14:textId="77777777" w:rsidR="008E4511" w:rsidRPr="00381DA2" w:rsidRDefault="00462176" w:rsidP="003A66EF">
      <w:pPr>
        <w:pStyle w:val="Heading3"/>
        <w:spacing w:after="120" w:line="276" w:lineRule="auto"/>
        <w:rPr>
          <w:rFonts w:eastAsia="Times New Roman" w:cstheme="minorHAnsi"/>
          <w:b/>
          <w:color w:val="2E74B5" w:themeColor="accent1" w:themeShade="BF"/>
        </w:rPr>
      </w:pPr>
      <w:r w:rsidRPr="00381DA2">
        <w:rPr>
          <w:rFonts w:cstheme="minorHAnsi"/>
        </w:rPr>
        <w:t xml:space="preserve"> </w:t>
      </w:r>
      <w:bookmarkStart w:id="13" w:name="_Toc128640802"/>
      <w:r w:rsidR="008E4511" w:rsidRPr="00381DA2">
        <w:rPr>
          <w:rFonts w:eastAsia="Times New Roman" w:cstheme="minorHAnsi"/>
          <w:b/>
          <w:color w:val="2E74B5" w:themeColor="accent1" w:themeShade="BF"/>
        </w:rPr>
        <w:t>2.2</w:t>
      </w:r>
      <w:r w:rsidR="00F20042" w:rsidRPr="00381DA2">
        <w:rPr>
          <w:rFonts w:eastAsia="Times New Roman" w:cstheme="minorHAnsi"/>
          <w:b/>
          <w:color w:val="2E74B5" w:themeColor="accent1" w:themeShade="BF"/>
        </w:rPr>
        <w:t>.</w:t>
      </w:r>
      <w:r w:rsidR="00A74E74" w:rsidRPr="00381DA2">
        <w:rPr>
          <w:rFonts w:eastAsia="Times New Roman" w:cstheme="minorHAnsi"/>
          <w:b/>
          <w:color w:val="2E74B5" w:themeColor="accent1" w:themeShade="BF"/>
        </w:rPr>
        <w:t xml:space="preserve"> </w:t>
      </w:r>
      <w:r w:rsidR="007F2B0D" w:rsidRPr="00381DA2">
        <w:rPr>
          <w:rFonts w:eastAsia="Times New Roman" w:cstheme="minorHAnsi"/>
          <w:b/>
          <w:color w:val="2E74B5" w:themeColor="accent1" w:themeShade="BF"/>
        </w:rPr>
        <w:t>Date</w:t>
      </w:r>
      <w:r w:rsidR="004C4031" w:rsidRPr="00381DA2">
        <w:rPr>
          <w:rFonts w:eastAsia="Times New Roman" w:cstheme="minorHAnsi"/>
          <w:b/>
          <w:color w:val="2E74B5" w:themeColor="accent1" w:themeShade="BF"/>
        </w:rPr>
        <w:t xml:space="preserve"> de context general</w:t>
      </w:r>
      <w:r w:rsidR="00EC1EAF" w:rsidRPr="00381DA2">
        <w:rPr>
          <w:rFonts w:eastAsia="Times New Roman" w:cstheme="minorHAnsi"/>
          <w:b/>
          <w:color w:val="2E74B5" w:themeColor="accent1" w:themeShade="BF"/>
        </w:rPr>
        <w:t xml:space="preserve"> </w:t>
      </w:r>
      <w:r w:rsidR="004C4031" w:rsidRPr="00381DA2">
        <w:rPr>
          <w:rFonts w:eastAsia="Times New Roman" w:cstheme="minorHAnsi"/>
          <w:b/>
          <w:color w:val="2E74B5" w:themeColor="accent1" w:themeShade="BF"/>
        </w:rPr>
        <w:t>privind sistemul de</w:t>
      </w:r>
      <w:r w:rsidR="000E172F" w:rsidRPr="00381DA2">
        <w:rPr>
          <w:rFonts w:eastAsia="Times New Roman" w:cstheme="minorHAnsi"/>
          <w:b/>
          <w:color w:val="2E74B5" w:themeColor="accent1" w:themeShade="BF"/>
        </w:rPr>
        <w:t xml:space="preserve"> AJGS</w:t>
      </w:r>
      <w:bookmarkEnd w:id="13"/>
    </w:p>
    <w:p w14:paraId="12EE4F3F" w14:textId="77777777" w:rsidR="00B86E5F" w:rsidRPr="00381DA2" w:rsidRDefault="007C780A" w:rsidP="003A66EF">
      <w:pPr>
        <w:pStyle w:val="NormalWeb"/>
        <w:numPr>
          <w:ilvl w:val="0"/>
          <w:numId w:val="23"/>
        </w:numPr>
        <w:tabs>
          <w:tab w:val="left" w:pos="360"/>
        </w:tabs>
        <w:spacing w:after="120" w:line="276" w:lineRule="auto"/>
        <w:ind w:left="0"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În perioada 2020-2022, per total, au fost înregistrate 182 114 de cazuri de acordare a asistenței juridice garantat</w:t>
      </w:r>
      <w:r>
        <w:rPr>
          <w:rFonts w:asciiTheme="majorHAnsi" w:eastAsia="Times New Roman" w:hAnsiTheme="majorHAnsi" w:cstheme="minorHAnsi"/>
          <w:lang w:val="ro-MD"/>
        </w:rPr>
        <w:t>e</w:t>
      </w:r>
      <w:r w:rsidRPr="00381DA2">
        <w:rPr>
          <w:rFonts w:asciiTheme="majorHAnsi" w:eastAsia="Times New Roman" w:hAnsiTheme="majorHAnsi" w:cstheme="minorHAnsi"/>
          <w:lang w:val="ro-MD"/>
        </w:rPr>
        <w:t xml:space="preserve"> de stat pentru finanțarea cărora din contul bugetului de stat s-au utilizat 226,9 mil. lei. Reprezentarea acestora per</w:t>
      </w:r>
      <w:r>
        <w:rPr>
          <w:rFonts w:asciiTheme="majorHAnsi" w:eastAsia="Times New Roman" w:hAnsiTheme="majorHAnsi" w:cstheme="minorHAnsi"/>
          <w:lang w:val="ro-MD"/>
        </w:rPr>
        <w:t xml:space="preserve"> </w:t>
      </w:r>
      <w:r w:rsidRPr="00381DA2">
        <w:rPr>
          <w:rFonts w:asciiTheme="majorHAnsi" w:eastAsia="Times New Roman" w:hAnsiTheme="majorHAnsi" w:cstheme="minorHAnsi"/>
          <w:lang w:val="ro-MD"/>
        </w:rPr>
        <w:t>an</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precum și fluctuațiile înregistrate s</w:t>
      </w:r>
      <w:r>
        <w:rPr>
          <w:rFonts w:asciiTheme="majorHAnsi" w:eastAsia="Times New Roman" w:hAnsiTheme="majorHAnsi" w:cstheme="minorHAnsi"/>
          <w:lang w:val="ro-MD"/>
        </w:rPr>
        <w:t>u</w:t>
      </w:r>
      <w:r w:rsidRPr="00381DA2">
        <w:rPr>
          <w:rFonts w:asciiTheme="majorHAnsi" w:eastAsia="Times New Roman" w:hAnsiTheme="majorHAnsi" w:cstheme="minorHAnsi"/>
          <w:lang w:val="ro-MD"/>
        </w:rPr>
        <w:t>nt prezentate în diagrama de mai jos.</w:t>
      </w:r>
      <w:r w:rsidR="00AE27B5" w:rsidRPr="00381DA2">
        <w:rPr>
          <w:rFonts w:asciiTheme="majorHAnsi" w:eastAsia="Times New Roman" w:hAnsiTheme="majorHAnsi" w:cstheme="minorHAnsi"/>
          <w:lang w:val="ro-MD"/>
        </w:rPr>
        <w:t xml:space="preserve"> </w:t>
      </w:r>
    </w:p>
    <w:p w14:paraId="5B62DE8E" w14:textId="77777777" w:rsidR="00215713" w:rsidRPr="00381DA2" w:rsidRDefault="0091253C" w:rsidP="003A66EF">
      <w:pPr>
        <w:pStyle w:val="NormalWeb"/>
        <w:spacing w:line="276" w:lineRule="auto"/>
        <w:ind w:right="807" w:firstLine="0"/>
        <w:jc w:val="right"/>
        <w:rPr>
          <w:rFonts w:asciiTheme="majorHAnsi" w:eastAsia="Times New Roman" w:hAnsiTheme="majorHAnsi" w:cstheme="minorHAnsi"/>
          <w:b/>
          <w:lang w:val="ro-MD"/>
        </w:rPr>
      </w:pPr>
      <w:r w:rsidRPr="00381DA2">
        <w:rPr>
          <w:rFonts w:asciiTheme="majorHAnsi" w:eastAsia="Times New Roman" w:hAnsiTheme="majorHAnsi" w:cstheme="minorHAnsi"/>
          <w:b/>
          <w:lang w:val="ro-MD"/>
        </w:rPr>
        <w:t>Diagrama nr.1</w:t>
      </w:r>
    </w:p>
    <w:p w14:paraId="7B00D00A" w14:textId="77777777" w:rsidR="00703ACD" w:rsidRPr="00381DA2" w:rsidRDefault="00294BB7" w:rsidP="003A66EF">
      <w:pPr>
        <w:pStyle w:val="NormalWeb"/>
        <w:spacing w:line="276" w:lineRule="auto"/>
        <w:ind w:firstLine="0"/>
        <w:jc w:val="center"/>
        <w:rPr>
          <w:rFonts w:asciiTheme="majorHAnsi" w:eastAsia="Times New Roman" w:hAnsiTheme="majorHAnsi" w:cstheme="minorHAnsi"/>
          <w:lang w:val="ro-MD"/>
        </w:rPr>
      </w:pPr>
      <w:r w:rsidRPr="00381DA2">
        <w:rPr>
          <w:rFonts w:asciiTheme="majorHAnsi" w:hAnsiTheme="majorHAnsi" w:cstheme="minorHAnsi"/>
          <w:noProof/>
        </w:rPr>
        <w:drawing>
          <wp:inline distT="0" distB="0" distL="0" distR="0" wp14:anchorId="21516925" wp14:editId="4B3B797F">
            <wp:extent cx="5349240" cy="26060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3A0365" w14:textId="77777777" w:rsidR="00881C79" w:rsidRPr="00381DA2" w:rsidRDefault="00881C79" w:rsidP="003A66EF">
      <w:pPr>
        <w:pStyle w:val="NormalWeb"/>
        <w:spacing w:after="120" w:line="276" w:lineRule="auto"/>
        <w:ind w:left="810" w:firstLine="90"/>
        <w:rPr>
          <w:rFonts w:asciiTheme="majorHAnsi" w:hAnsiTheme="majorHAnsi" w:cstheme="minorHAnsi"/>
          <w:i/>
          <w:sz w:val="20"/>
          <w:szCs w:val="20"/>
          <w:lang w:val="ro-MD"/>
        </w:rPr>
      </w:pPr>
      <w:r w:rsidRPr="00381DA2">
        <w:rPr>
          <w:rFonts w:asciiTheme="majorHAnsi" w:hAnsiTheme="majorHAnsi" w:cstheme="minorHAnsi"/>
          <w:b/>
          <w:bCs/>
          <w:i/>
          <w:sz w:val="20"/>
          <w:szCs w:val="20"/>
          <w:lang w:val="ro-MD"/>
        </w:rPr>
        <w:t>Sursă:</w:t>
      </w:r>
      <w:r w:rsidRPr="00381DA2">
        <w:rPr>
          <w:rFonts w:asciiTheme="majorHAnsi" w:hAnsiTheme="majorHAnsi" w:cstheme="minorHAnsi"/>
          <w:i/>
          <w:sz w:val="20"/>
          <w:szCs w:val="20"/>
          <w:lang w:val="ro-MD"/>
        </w:rPr>
        <w:t xml:space="preserve"> Informațiile publicate de către CNAJGS</w:t>
      </w:r>
      <w:r w:rsidR="004C6282" w:rsidRPr="00381DA2">
        <w:rPr>
          <w:rFonts w:asciiTheme="majorHAnsi" w:eastAsia="Times New Roman" w:hAnsiTheme="majorHAnsi" w:cstheme="minorHAnsi"/>
          <w:i/>
          <w:sz w:val="20"/>
          <w:szCs w:val="20"/>
          <w:lang w:val="ro-MD"/>
        </w:rPr>
        <w:t xml:space="preserve"> pentru anii 2020</w:t>
      </w:r>
      <w:r w:rsidRPr="00381DA2">
        <w:rPr>
          <w:rFonts w:asciiTheme="majorHAnsi" w:eastAsia="Times New Roman" w:hAnsiTheme="majorHAnsi" w:cstheme="minorHAnsi"/>
          <w:i/>
          <w:sz w:val="20"/>
          <w:szCs w:val="20"/>
          <w:lang w:val="ro-MD"/>
        </w:rPr>
        <w:t>-202</w:t>
      </w:r>
      <w:r w:rsidR="007C780A">
        <w:rPr>
          <w:rFonts w:asciiTheme="majorHAnsi" w:eastAsia="Times New Roman" w:hAnsiTheme="majorHAnsi" w:cstheme="minorHAnsi"/>
          <w:i/>
          <w:sz w:val="20"/>
          <w:szCs w:val="20"/>
          <w:lang w:val="ro-MD"/>
        </w:rPr>
        <w:t>2</w:t>
      </w:r>
      <w:r w:rsidRPr="00381DA2">
        <w:rPr>
          <w:rFonts w:asciiTheme="majorHAnsi" w:eastAsia="Times New Roman" w:hAnsiTheme="majorHAnsi" w:cstheme="minorHAnsi"/>
          <w:i/>
          <w:sz w:val="20"/>
          <w:szCs w:val="20"/>
          <w:lang w:val="ro-MD"/>
        </w:rPr>
        <w:t>.</w:t>
      </w:r>
    </w:p>
    <w:p w14:paraId="71A12BF4" w14:textId="77777777" w:rsidR="007C780A" w:rsidRPr="00381DA2" w:rsidRDefault="007C780A" w:rsidP="007C780A">
      <w:pPr>
        <w:pStyle w:val="NormalWeb"/>
        <w:spacing w:after="120" w:line="276" w:lineRule="auto"/>
        <w:ind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Datele sistematizate în diagramă relevă că evoluția din ultimii 3 ani a numărului de cazuri de acordare a asistenței juridice garantate de stat și valoarea cheltuielilor suportate de stat a înregistrat simultan un trend ascendent constant.</w:t>
      </w:r>
      <w:r w:rsidRPr="00381DA2">
        <w:rPr>
          <w:rFonts w:asciiTheme="majorHAnsi" w:hAnsiTheme="majorHAnsi" w:cstheme="minorHAnsi"/>
        </w:rPr>
        <w:t xml:space="preserve"> </w:t>
      </w:r>
      <w:r w:rsidRPr="00381DA2">
        <w:rPr>
          <w:rFonts w:asciiTheme="majorHAnsi" w:eastAsia="Times New Roman" w:hAnsiTheme="majorHAnsi" w:cstheme="minorHAnsi"/>
          <w:lang w:val="ro-MD"/>
        </w:rPr>
        <w:t>Apogeul, cu cel mai înalt număr de cazuri de acordare a asistenței juridice garantate de stat</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a fost înregistrat în anul 2022</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cu 63 976 </w:t>
      </w:r>
      <w:r>
        <w:rPr>
          <w:rFonts w:asciiTheme="majorHAnsi" w:eastAsia="Times New Roman" w:hAnsiTheme="majorHAnsi" w:cstheme="minorHAnsi"/>
          <w:lang w:val="ro-MD"/>
        </w:rPr>
        <w:t xml:space="preserve">de </w:t>
      </w:r>
      <w:r w:rsidRPr="00381DA2">
        <w:rPr>
          <w:rFonts w:asciiTheme="majorHAnsi" w:eastAsia="Times New Roman" w:hAnsiTheme="majorHAnsi" w:cstheme="minorHAnsi"/>
          <w:lang w:val="ro-MD"/>
        </w:rPr>
        <w:t>cazuri</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pentru care au fost utilizate 92,7 mil.lei</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sau cu 12,7 mil. lei mai mult ca în anul 2021</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și cu 38,5 mil. lei</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comparativ cu anul 2020. </w:t>
      </w:r>
    </w:p>
    <w:p w14:paraId="4F202FEB" w14:textId="77777777" w:rsidR="007C780A" w:rsidRPr="00381DA2" w:rsidRDefault="007C780A" w:rsidP="007C780A">
      <w:pPr>
        <w:pStyle w:val="NormalWeb"/>
        <w:numPr>
          <w:ilvl w:val="0"/>
          <w:numId w:val="23"/>
        </w:numPr>
        <w:tabs>
          <w:tab w:val="left" w:pos="360"/>
        </w:tabs>
        <w:spacing w:after="120" w:line="276" w:lineRule="auto"/>
        <w:ind w:left="0"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 xml:space="preserve">În ceea ce privește finanțarea domeniilor sistemului de AJGS, se </w:t>
      </w:r>
      <w:r>
        <w:rPr>
          <w:rFonts w:asciiTheme="majorHAnsi" w:eastAsia="Times New Roman" w:hAnsiTheme="majorHAnsi" w:cstheme="minorHAnsi"/>
          <w:lang w:val="ro-MD"/>
        </w:rPr>
        <w:t>cere</w:t>
      </w:r>
      <w:r w:rsidRPr="00381DA2">
        <w:rPr>
          <w:rFonts w:asciiTheme="majorHAnsi" w:eastAsia="Times New Roman" w:hAnsiTheme="majorHAnsi" w:cstheme="minorHAnsi"/>
          <w:lang w:val="ro-MD"/>
        </w:rPr>
        <w:t xml:space="preserve"> a fi menționat că</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din valoarea totală de 226,9 mil</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lei, anual, partea preponderentă a mijloacelor bugetare, se direcționează pentru acoperirea cheltuielilor destinate remunerării avocaților </w:t>
      </w:r>
      <w:r w:rsidRPr="00381DA2">
        <w:rPr>
          <w:rFonts w:asciiTheme="majorHAnsi" w:hAnsiTheme="majorHAnsi" w:cstheme="minorHAnsi"/>
          <w:sz w:val="23"/>
          <w:szCs w:val="23"/>
          <w:lang w:val="ro-MD"/>
        </w:rPr>
        <w:t>care acordă asistență juridică calificată la cerere și celor (avocaților) publici</w:t>
      </w:r>
      <w:r w:rsidRPr="00381DA2">
        <w:rPr>
          <w:rFonts w:asciiTheme="majorHAnsi" w:eastAsia="Times New Roman" w:hAnsiTheme="majorHAnsi" w:cstheme="minorHAnsi"/>
          <w:lang w:val="ro-MD"/>
        </w:rPr>
        <w:t xml:space="preserve"> – 206,2 mil. lei, urmând cheltuielile efectuate în scopul administrării sistemului – 15,8 mil. lei</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și salarizării para-juriștilor – 4,8 mil. lei. Datele repartizate pe</w:t>
      </w:r>
      <w:r>
        <w:rPr>
          <w:rFonts w:asciiTheme="majorHAnsi" w:eastAsia="Times New Roman" w:hAnsiTheme="majorHAnsi" w:cstheme="minorHAnsi"/>
          <w:lang w:val="ro-MD"/>
        </w:rPr>
        <w:t xml:space="preserve"> fieca</w:t>
      </w:r>
      <w:r w:rsidRPr="00381DA2">
        <w:rPr>
          <w:rFonts w:asciiTheme="majorHAnsi" w:eastAsia="Times New Roman" w:hAnsiTheme="majorHAnsi" w:cstheme="minorHAnsi"/>
          <w:lang w:val="ro-MD"/>
        </w:rPr>
        <w:t>r</w:t>
      </w:r>
      <w:r>
        <w:rPr>
          <w:rFonts w:asciiTheme="majorHAnsi" w:eastAsia="Times New Roman" w:hAnsiTheme="majorHAnsi" w:cstheme="minorHAnsi"/>
          <w:lang w:val="ro-MD"/>
        </w:rPr>
        <w:t>e</w:t>
      </w:r>
      <w:r w:rsidRPr="00381DA2">
        <w:rPr>
          <w:rFonts w:asciiTheme="majorHAnsi" w:eastAsia="Times New Roman" w:hAnsiTheme="majorHAnsi" w:cstheme="minorHAnsi"/>
          <w:lang w:val="ro-MD"/>
        </w:rPr>
        <w:t xml:space="preserve"> an auditat</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precum și în </w:t>
      </w:r>
      <w:r>
        <w:rPr>
          <w:rFonts w:asciiTheme="majorHAnsi" w:eastAsia="Times New Roman" w:hAnsiTheme="majorHAnsi" w:cstheme="minorHAnsi"/>
          <w:lang w:val="ro-MD"/>
        </w:rPr>
        <w:t>funcție</w:t>
      </w:r>
      <w:r w:rsidRPr="00381DA2">
        <w:rPr>
          <w:rFonts w:asciiTheme="majorHAnsi" w:eastAsia="Times New Roman" w:hAnsiTheme="majorHAnsi" w:cstheme="minorHAnsi"/>
          <w:lang w:val="ro-MD"/>
        </w:rPr>
        <w:t xml:space="preserve"> de domeniu se prezintă în diagrama de mai jos:</w:t>
      </w:r>
    </w:p>
    <w:p w14:paraId="22925464" w14:textId="77777777" w:rsidR="00AC63C6" w:rsidRDefault="00AC63C6" w:rsidP="00CC2B9C">
      <w:pPr>
        <w:spacing w:after="0" w:line="276" w:lineRule="auto"/>
        <w:jc w:val="right"/>
        <w:rPr>
          <w:rFonts w:asciiTheme="majorHAnsi" w:hAnsiTheme="majorHAnsi" w:cstheme="minorHAnsi"/>
        </w:rPr>
      </w:pPr>
    </w:p>
    <w:p w14:paraId="255037CA" w14:textId="77777777" w:rsidR="00AC63C6" w:rsidRDefault="00AC63C6" w:rsidP="00CC2B9C">
      <w:pPr>
        <w:spacing w:after="0" w:line="276" w:lineRule="auto"/>
        <w:jc w:val="right"/>
        <w:rPr>
          <w:rFonts w:asciiTheme="majorHAnsi" w:hAnsiTheme="majorHAnsi" w:cstheme="minorHAnsi"/>
        </w:rPr>
      </w:pPr>
    </w:p>
    <w:p w14:paraId="789BF923" w14:textId="77777777" w:rsidR="00AC63C6" w:rsidRDefault="00AC63C6" w:rsidP="00CC2B9C">
      <w:pPr>
        <w:spacing w:after="0" w:line="276" w:lineRule="auto"/>
        <w:jc w:val="right"/>
        <w:rPr>
          <w:rFonts w:asciiTheme="majorHAnsi" w:hAnsiTheme="majorHAnsi" w:cstheme="minorHAnsi"/>
        </w:rPr>
      </w:pPr>
    </w:p>
    <w:p w14:paraId="20DB2303" w14:textId="71377BF9" w:rsidR="00A02682" w:rsidRDefault="00A02682" w:rsidP="00CC2B9C">
      <w:pPr>
        <w:spacing w:after="0" w:line="276" w:lineRule="auto"/>
        <w:jc w:val="right"/>
        <w:rPr>
          <w:rFonts w:asciiTheme="majorHAnsi" w:hAnsiTheme="majorHAnsi" w:cstheme="minorHAnsi"/>
        </w:rPr>
      </w:pPr>
      <w:r w:rsidRPr="00381DA2">
        <w:rPr>
          <w:rFonts w:asciiTheme="majorHAnsi" w:hAnsiTheme="majorHAnsi" w:cstheme="minorHAnsi"/>
        </w:rPr>
        <w:lastRenderedPageBreak/>
        <w:t>Diagrama nr.2</w:t>
      </w:r>
    </w:p>
    <w:p w14:paraId="11DAFF5D" w14:textId="77777777" w:rsidR="00CC2B9C" w:rsidRPr="00381DA2" w:rsidRDefault="00CC2B9C" w:rsidP="00A02682">
      <w:pPr>
        <w:spacing w:line="276" w:lineRule="auto"/>
        <w:jc w:val="right"/>
        <w:rPr>
          <w:rFonts w:asciiTheme="majorHAnsi" w:hAnsiTheme="majorHAnsi" w:cstheme="minorHAnsi"/>
        </w:rPr>
      </w:pPr>
      <w:r>
        <w:rPr>
          <w:rFonts w:asciiTheme="majorHAnsi" w:hAnsiTheme="majorHAnsi" w:cstheme="minorHAnsi"/>
        </w:rPr>
        <w:t>(mii lei)</w:t>
      </w:r>
    </w:p>
    <w:p w14:paraId="19833B06" w14:textId="77777777" w:rsidR="00A02682" w:rsidRPr="00381DA2" w:rsidRDefault="00A02682" w:rsidP="00A02682">
      <w:pPr>
        <w:spacing w:after="0" w:line="240" w:lineRule="auto"/>
        <w:rPr>
          <w:rFonts w:asciiTheme="majorHAnsi" w:hAnsiTheme="majorHAnsi" w:cstheme="minorHAnsi"/>
        </w:rPr>
      </w:pPr>
      <w:r w:rsidRPr="00381DA2">
        <w:rPr>
          <w:rFonts w:asciiTheme="majorHAnsi" w:hAnsiTheme="majorHAnsi" w:cstheme="minorHAnsi"/>
          <w:noProof/>
          <w:lang w:val="en-US"/>
        </w:rPr>
        <w:drawing>
          <wp:inline distT="0" distB="0" distL="0" distR="0" wp14:anchorId="43B0DACC" wp14:editId="72C69FE5">
            <wp:extent cx="5941695" cy="2849880"/>
            <wp:effectExtent l="0" t="0" r="190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7C1D69" w14:textId="77777777" w:rsidR="00A02682" w:rsidRPr="00381DA2" w:rsidRDefault="00A02682" w:rsidP="00A02682">
      <w:pPr>
        <w:pStyle w:val="NormalWeb"/>
        <w:spacing w:after="160"/>
        <w:ind w:firstLine="0"/>
        <w:rPr>
          <w:rFonts w:asciiTheme="majorHAnsi" w:hAnsiTheme="majorHAnsi" w:cstheme="minorHAnsi"/>
          <w:i/>
          <w:sz w:val="20"/>
          <w:szCs w:val="20"/>
          <w:lang w:val="ro-MD"/>
        </w:rPr>
      </w:pPr>
      <w:r w:rsidRPr="00381DA2">
        <w:rPr>
          <w:rFonts w:asciiTheme="majorHAnsi" w:hAnsiTheme="majorHAnsi" w:cstheme="minorHAnsi"/>
          <w:b/>
          <w:bCs/>
          <w:i/>
          <w:sz w:val="20"/>
          <w:szCs w:val="20"/>
          <w:lang w:val="ro-MD"/>
        </w:rPr>
        <w:t>Sursă:</w:t>
      </w:r>
      <w:r w:rsidRPr="00381DA2">
        <w:rPr>
          <w:rFonts w:asciiTheme="majorHAnsi" w:hAnsiTheme="majorHAnsi" w:cstheme="minorHAnsi"/>
          <w:i/>
          <w:sz w:val="20"/>
          <w:szCs w:val="20"/>
          <w:lang w:val="ro-MD"/>
        </w:rPr>
        <w:t xml:space="preserve"> </w:t>
      </w:r>
      <w:r w:rsidR="007C780A" w:rsidRPr="00381DA2">
        <w:rPr>
          <w:rFonts w:asciiTheme="majorHAnsi" w:hAnsiTheme="majorHAnsi" w:cstheme="minorHAnsi"/>
          <w:i/>
          <w:sz w:val="20"/>
          <w:szCs w:val="20"/>
          <w:lang w:val="ro-MD"/>
        </w:rPr>
        <w:t>Informațiile publicate de CNAJGS</w:t>
      </w:r>
      <w:r w:rsidR="007C780A" w:rsidRPr="00381DA2">
        <w:rPr>
          <w:rFonts w:asciiTheme="majorHAnsi" w:eastAsia="Times New Roman" w:hAnsiTheme="majorHAnsi" w:cstheme="minorHAnsi"/>
          <w:i/>
          <w:sz w:val="20"/>
          <w:szCs w:val="20"/>
          <w:lang w:val="ro-MD"/>
        </w:rPr>
        <w:t xml:space="preserve"> pentru anii 2020-2022</w:t>
      </w:r>
      <w:r w:rsidR="007C780A">
        <w:rPr>
          <w:rFonts w:asciiTheme="majorHAnsi" w:eastAsia="Times New Roman" w:hAnsiTheme="majorHAnsi" w:cstheme="minorHAnsi"/>
          <w:i/>
          <w:sz w:val="20"/>
          <w:szCs w:val="20"/>
          <w:lang w:val="ro-MD"/>
        </w:rPr>
        <w:t>.</w:t>
      </w:r>
    </w:p>
    <w:p w14:paraId="668122E1" w14:textId="77777777" w:rsidR="007C780A" w:rsidRPr="00A02682" w:rsidRDefault="007C780A" w:rsidP="007C780A">
      <w:pPr>
        <w:spacing w:line="276" w:lineRule="auto"/>
        <w:jc w:val="both"/>
        <w:rPr>
          <w:rFonts w:asciiTheme="majorHAnsi" w:eastAsia="Times New Roman" w:hAnsiTheme="majorHAnsi" w:cstheme="minorHAnsi"/>
          <w:sz w:val="24"/>
          <w:szCs w:val="24"/>
        </w:rPr>
      </w:pPr>
      <w:bookmarkStart w:id="14" w:name="_Toc48732717"/>
      <w:bookmarkStart w:id="15" w:name="_Toc76371129"/>
      <w:r w:rsidRPr="00381DA2">
        <w:rPr>
          <w:rFonts w:asciiTheme="majorHAnsi" w:eastAsia="Times New Roman" w:hAnsiTheme="majorHAnsi" w:cstheme="minorHAnsi"/>
          <w:sz w:val="24"/>
          <w:szCs w:val="24"/>
        </w:rPr>
        <w:t>Potrivit Diagramei nr.2</w:t>
      </w:r>
      <w:r>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se atestă un trend de majorare a cheltuielilor bugetare la toate cele trei domenii aferente structurii sistemului de AJGS, inclusiv în scopul: remunerării serviciilor prestate de avocați – cca 89%-92%, administrării sistemului propriu</w:t>
      </w:r>
      <w:r>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zis – 6-8%</w:t>
      </w:r>
      <w:r>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și remunerării para-juriștilor – 2%. Executare</w:t>
      </w:r>
      <w:r>
        <w:rPr>
          <w:rFonts w:asciiTheme="majorHAnsi" w:eastAsia="Times New Roman" w:hAnsiTheme="majorHAnsi" w:cstheme="minorHAnsi"/>
          <w:sz w:val="24"/>
          <w:szCs w:val="24"/>
        </w:rPr>
        <w:t>a</w:t>
      </w:r>
      <w:r w:rsidRPr="00381DA2">
        <w:rPr>
          <w:rFonts w:asciiTheme="majorHAnsi" w:eastAsia="Times New Roman" w:hAnsiTheme="majorHAnsi" w:cstheme="minorHAnsi"/>
          <w:sz w:val="24"/>
          <w:szCs w:val="24"/>
        </w:rPr>
        <w:t xml:space="preserve"> detaliată pe domenii și ani</w:t>
      </w:r>
      <w:r>
        <w:rPr>
          <w:rFonts w:asciiTheme="majorHAnsi" w:eastAsia="Times New Roman" w:hAnsiTheme="majorHAnsi" w:cstheme="minorHAnsi"/>
          <w:sz w:val="24"/>
          <w:szCs w:val="24"/>
        </w:rPr>
        <w:t>i</w:t>
      </w:r>
      <w:r w:rsidRPr="00381DA2">
        <w:rPr>
          <w:rFonts w:asciiTheme="majorHAnsi" w:eastAsia="Times New Roman" w:hAnsiTheme="majorHAnsi" w:cstheme="minorHAnsi"/>
          <w:sz w:val="24"/>
          <w:szCs w:val="24"/>
        </w:rPr>
        <w:t xml:space="preserve"> verificați se prezintă în </w:t>
      </w:r>
      <w:r>
        <w:rPr>
          <w:rFonts w:asciiTheme="majorHAnsi" w:eastAsia="Times New Roman" w:hAnsiTheme="majorHAnsi" w:cstheme="minorHAnsi"/>
          <w:sz w:val="24"/>
          <w:szCs w:val="24"/>
        </w:rPr>
        <w:t>A</w:t>
      </w:r>
      <w:r w:rsidRPr="00381DA2">
        <w:rPr>
          <w:rFonts w:asciiTheme="majorHAnsi" w:eastAsia="Times New Roman" w:hAnsiTheme="majorHAnsi" w:cstheme="minorHAnsi"/>
          <w:sz w:val="24"/>
          <w:szCs w:val="24"/>
        </w:rPr>
        <w:t xml:space="preserve">nexa nr. </w:t>
      </w:r>
      <w:r w:rsidR="006B2FB5">
        <w:rPr>
          <w:rFonts w:asciiTheme="majorHAnsi" w:eastAsia="Times New Roman" w:hAnsiTheme="majorHAnsi" w:cstheme="minorHAnsi"/>
          <w:sz w:val="24"/>
          <w:szCs w:val="24"/>
        </w:rPr>
        <w:t>2</w:t>
      </w:r>
      <w:r w:rsidRPr="00381DA2">
        <w:rPr>
          <w:rFonts w:asciiTheme="majorHAnsi" w:eastAsia="Times New Roman" w:hAnsiTheme="majorHAnsi" w:cstheme="minorHAnsi"/>
          <w:sz w:val="24"/>
          <w:szCs w:val="24"/>
        </w:rPr>
        <w:t xml:space="preserve"> la Raportul de audit.</w:t>
      </w:r>
    </w:p>
    <w:p w14:paraId="0323F47F" w14:textId="77777777" w:rsidR="007C780A" w:rsidRPr="00381DA2" w:rsidRDefault="007C780A" w:rsidP="007C780A">
      <w:pPr>
        <w:pStyle w:val="NormalWeb"/>
        <w:numPr>
          <w:ilvl w:val="0"/>
          <w:numId w:val="23"/>
        </w:numPr>
        <w:tabs>
          <w:tab w:val="left" w:pos="360"/>
        </w:tabs>
        <w:spacing w:after="120" w:line="276" w:lineRule="auto"/>
        <w:ind w:left="0"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Având la baz</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datele prezentate de CNAJGS, se relevă că</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din numărul total de 182 114 cazuri: </w:t>
      </w:r>
    </w:p>
    <w:p w14:paraId="15676F0D" w14:textId="77777777" w:rsidR="007C780A" w:rsidRPr="00381DA2" w:rsidRDefault="007C780A" w:rsidP="007C780A">
      <w:pPr>
        <w:pStyle w:val="NormalWeb"/>
        <w:numPr>
          <w:ilvl w:val="0"/>
          <w:numId w:val="29"/>
        </w:numPr>
        <w:tabs>
          <w:tab w:val="left" w:pos="360"/>
        </w:tabs>
        <w:spacing w:line="276" w:lineRule="auto"/>
        <w:ind w:left="714" w:hanging="357"/>
        <w:rPr>
          <w:rFonts w:asciiTheme="majorHAnsi" w:eastAsia="Times New Roman" w:hAnsiTheme="majorHAnsi" w:cstheme="minorHAnsi"/>
          <w:lang w:val="ro-MD"/>
        </w:rPr>
      </w:pPr>
      <w:r w:rsidRPr="00381DA2">
        <w:rPr>
          <w:rFonts w:asciiTheme="majorHAnsi" w:eastAsia="Times New Roman" w:hAnsiTheme="majorHAnsi" w:cstheme="minorHAnsi"/>
          <w:lang w:val="ro-MD"/>
        </w:rPr>
        <w:t>142 459 au constituit cazuri</w:t>
      </w:r>
      <w:r>
        <w:rPr>
          <w:rFonts w:asciiTheme="majorHAnsi" w:eastAsia="Times New Roman" w:hAnsiTheme="majorHAnsi" w:cstheme="minorHAnsi"/>
          <w:lang w:val="ro-MD"/>
        </w:rPr>
        <w:t>le</w:t>
      </w:r>
      <w:r w:rsidRPr="00381DA2">
        <w:rPr>
          <w:rFonts w:asciiTheme="majorHAnsi" w:eastAsia="Times New Roman" w:hAnsiTheme="majorHAnsi" w:cstheme="minorHAnsi"/>
          <w:lang w:val="ro-MD"/>
        </w:rPr>
        <w:t xml:space="preserve"> de asistenț</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juridic</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calificat</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acordată de avocați și restul</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39 655 </w:t>
      </w:r>
      <w:r>
        <w:rPr>
          <w:rFonts w:asciiTheme="majorHAnsi" w:eastAsia="Times New Roman" w:hAnsiTheme="majorHAnsi" w:cstheme="minorHAnsi"/>
          <w:lang w:val="ro-MD"/>
        </w:rPr>
        <w:t xml:space="preserve">de cazuri </w:t>
      </w:r>
      <w:r w:rsidRPr="00381DA2">
        <w:rPr>
          <w:rFonts w:asciiTheme="majorHAnsi" w:eastAsia="Times New Roman" w:hAnsiTheme="majorHAnsi" w:cstheme="minorHAnsi"/>
          <w:lang w:val="ro-MD"/>
        </w:rPr>
        <w:t>(22%)</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reprezintă cazurile de asistenț</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juridic</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primar</w:t>
      </w:r>
      <w:r>
        <w:rPr>
          <w:rFonts w:asciiTheme="majorHAnsi" w:eastAsia="Times New Roman" w:hAnsiTheme="majorHAnsi" w:cstheme="minorHAnsi"/>
          <w:lang w:val="ro-MD"/>
        </w:rPr>
        <w:t>ă</w:t>
      </w:r>
      <w:r w:rsidRPr="00381DA2">
        <w:rPr>
          <w:rFonts w:asciiTheme="majorHAnsi" w:eastAsia="Times New Roman" w:hAnsiTheme="majorHAnsi" w:cstheme="minorHAnsi"/>
          <w:lang w:val="ro-MD"/>
        </w:rPr>
        <w:t xml:space="preserve"> prestată de para-juriști și avocați. Astfel, ponderea asistenței juridice calificate este de 78% din întregul volum, iar asistenței juridice primare îi revine 22%</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w:t>
      </w:r>
    </w:p>
    <w:p w14:paraId="3C1C0112" w14:textId="77777777" w:rsidR="007C780A" w:rsidRPr="002E4515" w:rsidRDefault="007C780A" w:rsidP="007C780A">
      <w:pPr>
        <w:pStyle w:val="NormalWeb"/>
        <w:numPr>
          <w:ilvl w:val="0"/>
          <w:numId w:val="29"/>
        </w:numPr>
        <w:tabs>
          <w:tab w:val="left" w:pos="360"/>
        </w:tabs>
        <w:spacing w:after="120" w:line="276" w:lineRule="auto"/>
        <w:rPr>
          <w:rFonts w:asciiTheme="majorHAnsi" w:eastAsia="Times New Roman" w:hAnsiTheme="majorHAnsi" w:cstheme="minorHAnsi"/>
          <w:lang w:val="ro-MD"/>
        </w:rPr>
      </w:pPr>
      <w:r w:rsidRPr="002E4515">
        <w:rPr>
          <w:rFonts w:asciiTheme="majorHAnsi" w:eastAsia="Times New Roman" w:hAnsiTheme="majorHAnsi" w:cstheme="minorHAnsi"/>
          <w:lang w:val="ro-MD"/>
        </w:rPr>
        <w:t>concomitent, din cele 142 495 de cazuri de asistență juridică calificată acordată de avocați, partea preponderentă revine AJGS în cauzele penale, cu o cotă de circa</w:t>
      </w:r>
      <w:r w:rsidRPr="002E4515">
        <w:rPr>
          <w:rFonts w:asciiTheme="majorHAnsi" w:eastAsia="Times New Roman" w:hAnsiTheme="majorHAnsi" w:cstheme="minorHAnsi"/>
        </w:rPr>
        <w:t xml:space="preserve"> 84% din </w:t>
      </w:r>
      <w:r w:rsidRPr="002E4515">
        <w:rPr>
          <w:rFonts w:asciiTheme="majorHAnsi" w:eastAsia="Times New Roman" w:hAnsiTheme="majorHAnsi" w:cstheme="minorHAnsi"/>
          <w:lang w:val="ro-MD"/>
        </w:rPr>
        <w:t>numărul total, sau ceea ce se cifrează la  119 657 de decizii. În rest, asistența juridică calificată a fost direcționată proporțional pe cauze civile</w:t>
      </w:r>
      <w:r>
        <w:rPr>
          <w:rFonts w:asciiTheme="majorHAnsi" w:eastAsia="Times New Roman" w:hAnsiTheme="majorHAnsi" w:cstheme="minorHAnsi"/>
          <w:lang w:val="ro-MD"/>
        </w:rPr>
        <w:t>,</w:t>
      </w:r>
      <w:r w:rsidRPr="002E4515">
        <w:rPr>
          <w:rFonts w:asciiTheme="majorHAnsi" w:eastAsia="Times New Roman" w:hAnsiTheme="majorHAnsi" w:cstheme="minorHAnsi"/>
          <w:lang w:val="ro-MD"/>
        </w:rPr>
        <w:t xml:space="preserve"> în volum de 8% (11 819)</w:t>
      </w:r>
      <w:r>
        <w:rPr>
          <w:rFonts w:asciiTheme="majorHAnsi" w:eastAsia="Times New Roman" w:hAnsiTheme="majorHAnsi" w:cstheme="minorHAnsi"/>
          <w:lang w:val="ro-MD"/>
        </w:rPr>
        <w:t>,</w:t>
      </w:r>
      <w:r w:rsidRPr="002E4515">
        <w:rPr>
          <w:rFonts w:asciiTheme="majorHAnsi" w:eastAsia="Times New Roman" w:hAnsiTheme="majorHAnsi" w:cstheme="minorHAnsi"/>
          <w:lang w:val="ro-MD"/>
        </w:rPr>
        <w:t xml:space="preserve"> și cele contravenționale, în </w:t>
      </w:r>
      <w:r>
        <w:rPr>
          <w:rFonts w:asciiTheme="majorHAnsi" w:eastAsia="Times New Roman" w:hAnsiTheme="majorHAnsi" w:cstheme="minorHAnsi"/>
          <w:lang w:val="ro-MD"/>
        </w:rPr>
        <w:t>volum</w:t>
      </w:r>
      <w:r w:rsidRPr="002E4515">
        <w:rPr>
          <w:rFonts w:asciiTheme="majorHAnsi" w:eastAsia="Times New Roman" w:hAnsiTheme="majorHAnsi" w:cstheme="minorHAnsi"/>
          <w:lang w:val="ro-MD"/>
        </w:rPr>
        <w:t xml:space="preserve"> de 8% (10 983).</w:t>
      </w:r>
    </w:p>
    <w:p w14:paraId="1961D4A0" w14:textId="77777777" w:rsidR="007C780A" w:rsidRPr="00381DA2" w:rsidRDefault="007C780A" w:rsidP="007C780A">
      <w:pPr>
        <w:pStyle w:val="NormalWeb"/>
        <w:numPr>
          <w:ilvl w:val="0"/>
          <w:numId w:val="23"/>
        </w:numPr>
        <w:tabs>
          <w:tab w:val="left" w:pos="360"/>
        </w:tabs>
        <w:spacing w:line="276" w:lineRule="auto"/>
        <w:ind w:left="0"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 xml:space="preserve">Conform datelor raportate anual de CNAJGS, pentru acordarea asistenței juridice în anul 2022 au fost implicați 589 de prestatori de servicii ai AJGS, dintre care: </w:t>
      </w:r>
    </w:p>
    <w:p w14:paraId="5926C3BB" w14:textId="77777777" w:rsidR="007C780A" w:rsidRPr="00381DA2" w:rsidRDefault="007C780A" w:rsidP="007C780A">
      <w:pPr>
        <w:pStyle w:val="NormalWeb"/>
        <w:numPr>
          <w:ilvl w:val="0"/>
          <w:numId w:val="24"/>
        </w:numPr>
        <w:tabs>
          <w:tab w:val="left" w:pos="360"/>
        </w:tabs>
        <w:spacing w:line="276" w:lineRule="auto"/>
        <w:rPr>
          <w:rFonts w:asciiTheme="majorHAnsi" w:eastAsia="Times New Roman" w:hAnsiTheme="majorHAnsi" w:cstheme="minorHAnsi"/>
          <w:lang w:val="ro-MD"/>
        </w:rPr>
      </w:pPr>
      <w:r w:rsidRPr="00381DA2">
        <w:rPr>
          <w:rFonts w:asciiTheme="majorHAnsi" w:eastAsia="Times New Roman" w:hAnsiTheme="majorHAnsi" w:cstheme="minorHAnsi"/>
          <w:lang w:val="ro-MD"/>
        </w:rPr>
        <w:t>514 avocați contractați la cerere;</w:t>
      </w:r>
    </w:p>
    <w:p w14:paraId="3F2FD352" w14:textId="77777777" w:rsidR="007C780A" w:rsidRPr="00381DA2" w:rsidRDefault="007C780A" w:rsidP="007C780A">
      <w:pPr>
        <w:pStyle w:val="NormalWeb"/>
        <w:numPr>
          <w:ilvl w:val="0"/>
          <w:numId w:val="24"/>
        </w:numPr>
        <w:tabs>
          <w:tab w:val="left" w:pos="360"/>
        </w:tabs>
        <w:spacing w:line="276" w:lineRule="auto"/>
        <w:rPr>
          <w:rFonts w:asciiTheme="majorHAnsi" w:eastAsia="Times New Roman" w:hAnsiTheme="majorHAnsi" w:cstheme="minorHAnsi"/>
          <w:lang w:val="ro-MD"/>
        </w:rPr>
      </w:pPr>
      <w:r w:rsidRPr="00381DA2">
        <w:rPr>
          <w:rFonts w:asciiTheme="majorHAnsi" w:eastAsia="Times New Roman" w:hAnsiTheme="majorHAnsi" w:cstheme="minorHAnsi"/>
          <w:lang w:val="ro-MD"/>
        </w:rPr>
        <w:t xml:space="preserve">12 avocați publici și </w:t>
      </w:r>
    </w:p>
    <w:p w14:paraId="28CACA55" w14:textId="77777777" w:rsidR="007C780A" w:rsidRPr="00381DA2" w:rsidRDefault="007C780A" w:rsidP="007C780A">
      <w:pPr>
        <w:pStyle w:val="NormalWeb"/>
        <w:numPr>
          <w:ilvl w:val="0"/>
          <w:numId w:val="24"/>
        </w:numPr>
        <w:tabs>
          <w:tab w:val="left" w:pos="360"/>
        </w:tabs>
        <w:spacing w:line="276" w:lineRule="auto"/>
        <w:rPr>
          <w:rFonts w:asciiTheme="majorHAnsi" w:eastAsia="Times New Roman" w:hAnsiTheme="majorHAnsi" w:cstheme="minorHAnsi"/>
          <w:lang w:val="ro-MD"/>
        </w:rPr>
      </w:pPr>
      <w:r w:rsidRPr="00381DA2">
        <w:rPr>
          <w:rFonts w:asciiTheme="majorHAnsi" w:eastAsia="Times New Roman" w:hAnsiTheme="majorHAnsi" w:cstheme="minorHAnsi"/>
          <w:lang w:val="ro-MD"/>
        </w:rPr>
        <w:t xml:space="preserve">63 </w:t>
      </w:r>
      <w:r>
        <w:rPr>
          <w:rFonts w:asciiTheme="majorHAnsi" w:eastAsia="Times New Roman" w:hAnsiTheme="majorHAnsi" w:cstheme="minorHAnsi"/>
          <w:lang w:val="ro-MD"/>
        </w:rPr>
        <w:t xml:space="preserve">de </w:t>
      </w:r>
      <w:r w:rsidRPr="00381DA2">
        <w:rPr>
          <w:rFonts w:asciiTheme="majorHAnsi" w:eastAsia="Times New Roman" w:hAnsiTheme="majorHAnsi" w:cstheme="minorHAnsi"/>
          <w:lang w:val="ro-MD"/>
        </w:rPr>
        <w:t xml:space="preserve">para-juriști.    </w:t>
      </w:r>
    </w:p>
    <w:p w14:paraId="06C0D4AE" w14:textId="77777777" w:rsidR="007C780A" w:rsidRPr="00381DA2" w:rsidRDefault="007C780A" w:rsidP="007C780A">
      <w:pPr>
        <w:pStyle w:val="NormalWeb"/>
        <w:spacing w:after="160" w:line="276" w:lineRule="auto"/>
        <w:ind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Comparativ cu anii 2020 și 2021</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numărul total de avocați și para-juriști care acordă AJGS înregistrează o creștere relativă în ultimii ani, datorită faptului că numărul persoanelor no</w:t>
      </w:r>
      <w:r>
        <w:rPr>
          <w:rFonts w:asciiTheme="majorHAnsi" w:eastAsia="Times New Roman" w:hAnsiTheme="majorHAnsi" w:cstheme="minorHAnsi"/>
          <w:lang w:val="ro-MD"/>
        </w:rPr>
        <w:t>u-</w:t>
      </w:r>
      <w:r w:rsidRPr="00381DA2">
        <w:rPr>
          <w:rFonts w:asciiTheme="majorHAnsi" w:eastAsia="Times New Roman" w:hAnsiTheme="majorHAnsi" w:cstheme="minorHAnsi"/>
          <w:lang w:val="ro-MD"/>
        </w:rPr>
        <w:t xml:space="preserve">venite în sistem este mai mare decât numărul celor care au părăsit sistemul, </w:t>
      </w:r>
      <w:r w:rsidRPr="00381DA2">
        <w:rPr>
          <w:rFonts w:asciiTheme="majorHAnsi" w:eastAsia="Times New Roman" w:hAnsiTheme="majorHAnsi" w:cstheme="minorHAnsi"/>
          <w:lang w:val="ro-RO"/>
        </w:rPr>
        <w:t xml:space="preserve">respectiv </w:t>
      </w:r>
      <w:r>
        <w:rPr>
          <w:rFonts w:asciiTheme="majorHAnsi" w:eastAsia="Times New Roman" w:hAnsiTheme="majorHAnsi" w:cstheme="minorHAnsi"/>
          <w:lang w:val="ro-RO"/>
        </w:rPr>
        <w:t xml:space="preserve">cifrându-se la </w:t>
      </w:r>
      <w:r w:rsidRPr="00381DA2">
        <w:rPr>
          <w:rFonts w:asciiTheme="majorHAnsi" w:eastAsia="Times New Roman" w:hAnsiTheme="majorHAnsi" w:cstheme="minorHAnsi"/>
          <w:lang w:val="ro-RO"/>
        </w:rPr>
        <w:t>516 și 552 de prestatori de servicii. La fel, se menționează că repartizarea geografică a numărului de avocați care acordă AJGS, în mare parte</w:t>
      </w:r>
      <w:r>
        <w:rPr>
          <w:rFonts w:asciiTheme="majorHAnsi" w:eastAsia="Times New Roman" w:hAnsiTheme="majorHAnsi" w:cstheme="minorHAnsi"/>
          <w:lang w:val="ro-RO"/>
        </w:rPr>
        <w:t>,</w:t>
      </w:r>
      <w:r w:rsidRPr="00381DA2">
        <w:rPr>
          <w:rFonts w:asciiTheme="majorHAnsi" w:eastAsia="Times New Roman" w:hAnsiTheme="majorHAnsi" w:cstheme="minorHAnsi"/>
          <w:lang w:val="ro-RO"/>
        </w:rPr>
        <w:t xml:space="preserve"> se concentrează în jurisdicția OT Chișinău </w:t>
      </w:r>
      <w:r>
        <w:rPr>
          <w:rFonts w:asciiTheme="majorHAnsi" w:eastAsia="Times New Roman" w:hAnsiTheme="majorHAnsi" w:cstheme="minorHAnsi"/>
          <w:lang w:val="ro-RO"/>
        </w:rPr>
        <w:t>–</w:t>
      </w:r>
      <w:r w:rsidRPr="00381DA2">
        <w:rPr>
          <w:rFonts w:asciiTheme="majorHAnsi" w:eastAsia="Times New Roman" w:hAnsiTheme="majorHAnsi" w:cstheme="minorHAnsi"/>
          <w:lang w:val="ro-RO"/>
        </w:rPr>
        <w:t xml:space="preserve"> 67%, urmată </w:t>
      </w:r>
      <w:r w:rsidRPr="00381DA2">
        <w:rPr>
          <w:rFonts w:asciiTheme="majorHAnsi" w:eastAsia="Times New Roman" w:hAnsiTheme="majorHAnsi" w:cstheme="minorHAnsi"/>
          <w:lang w:val="ro-RO"/>
        </w:rPr>
        <w:lastRenderedPageBreak/>
        <w:t>de OT Bălți – 22%, OT Cahul – 6%</w:t>
      </w:r>
      <w:r>
        <w:rPr>
          <w:rFonts w:asciiTheme="majorHAnsi" w:eastAsia="Times New Roman" w:hAnsiTheme="majorHAnsi" w:cstheme="minorHAnsi"/>
          <w:lang w:val="ro-RO"/>
        </w:rPr>
        <w:t>,</w:t>
      </w:r>
      <w:r w:rsidRPr="00381DA2">
        <w:rPr>
          <w:rFonts w:asciiTheme="majorHAnsi" w:eastAsia="Times New Roman" w:hAnsiTheme="majorHAnsi" w:cstheme="minorHAnsi"/>
          <w:lang w:val="ro-RO"/>
        </w:rPr>
        <w:t xml:space="preserve"> și OT Comrat – 4%. </w:t>
      </w:r>
      <w:r w:rsidRPr="00381DA2">
        <w:rPr>
          <w:rFonts w:asciiTheme="majorHAnsi" w:eastAsia="Times New Roman" w:hAnsiTheme="majorHAnsi" w:cstheme="minorHAnsi"/>
          <w:lang w:val="ro-MD"/>
        </w:rPr>
        <w:t>Datele complete privind distribuția numărului de avocați  per OT în ce</w:t>
      </w:r>
      <w:r>
        <w:rPr>
          <w:rFonts w:asciiTheme="majorHAnsi" w:eastAsia="Times New Roman" w:hAnsiTheme="majorHAnsi" w:cstheme="minorHAnsi"/>
          <w:lang w:val="ro-MD"/>
        </w:rPr>
        <w:t>i</w:t>
      </w:r>
      <w:r w:rsidRPr="00381DA2">
        <w:rPr>
          <w:rFonts w:asciiTheme="majorHAnsi" w:eastAsia="Times New Roman" w:hAnsiTheme="majorHAnsi" w:cstheme="minorHAnsi"/>
          <w:lang w:val="ro-MD"/>
        </w:rPr>
        <w:t xml:space="preserve"> trei ani auditați</w:t>
      </w:r>
      <w:r>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precum și în </w:t>
      </w:r>
      <w:r>
        <w:rPr>
          <w:rFonts w:asciiTheme="majorHAnsi" w:eastAsia="Times New Roman" w:hAnsiTheme="majorHAnsi" w:cstheme="minorHAnsi"/>
          <w:lang w:val="ro-MD"/>
        </w:rPr>
        <w:t>funcție</w:t>
      </w:r>
      <w:r w:rsidRPr="00381DA2">
        <w:rPr>
          <w:rFonts w:asciiTheme="majorHAnsi" w:eastAsia="Times New Roman" w:hAnsiTheme="majorHAnsi" w:cstheme="minorHAnsi"/>
          <w:lang w:val="ro-MD"/>
        </w:rPr>
        <w:t xml:space="preserve"> de tipuri</w:t>
      </w:r>
      <w:r>
        <w:rPr>
          <w:rFonts w:asciiTheme="majorHAnsi" w:eastAsia="Times New Roman" w:hAnsiTheme="majorHAnsi" w:cstheme="minorHAnsi"/>
          <w:lang w:val="ro-MD"/>
        </w:rPr>
        <w:t>le</w:t>
      </w:r>
      <w:r w:rsidRPr="00381DA2">
        <w:rPr>
          <w:rFonts w:asciiTheme="majorHAnsi" w:eastAsia="Times New Roman" w:hAnsiTheme="majorHAnsi" w:cstheme="minorHAnsi"/>
          <w:lang w:val="ro-MD"/>
        </w:rPr>
        <w:t xml:space="preserve"> de prestatori contractați de CNAJGS s</w:t>
      </w:r>
      <w:r>
        <w:rPr>
          <w:rFonts w:asciiTheme="majorHAnsi" w:eastAsia="Times New Roman" w:hAnsiTheme="majorHAnsi" w:cstheme="minorHAnsi"/>
          <w:lang w:val="ro-MD"/>
        </w:rPr>
        <w:t>u</w:t>
      </w:r>
      <w:r w:rsidR="000B36DF">
        <w:rPr>
          <w:rFonts w:asciiTheme="majorHAnsi" w:eastAsia="Times New Roman" w:hAnsiTheme="majorHAnsi" w:cstheme="minorHAnsi"/>
          <w:lang w:val="ro-MD"/>
        </w:rPr>
        <w:t>nt prezentate în Anexa nr.3</w:t>
      </w:r>
      <w:r w:rsidRPr="00381DA2">
        <w:rPr>
          <w:rFonts w:asciiTheme="majorHAnsi" w:eastAsia="Times New Roman" w:hAnsiTheme="majorHAnsi" w:cstheme="minorHAnsi"/>
          <w:lang w:val="ro-MD"/>
        </w:rPr>
        <w:t xml:space="preserve"> la prezentul </w:t>
      </w:r>
      <w:r>
        <w:rPr>
          <w:rFonts w:asciiTheme="majorHAnsi" w:eastAsia="Times New Roman" w:hAnsiTheme="majorHAnsi" w:cstheme="minorHAnsi"/>
          <w:lang w:val="ro-MD"/>
        </w:rPr>
        <w:t xml:space="preserve">Raport </w:t>
      </w:r>
      <w:r w:rsidRPr="00381DA2">
        <w:rPr>
          <w:rFonts w:asciiTheme="majorHAnsi" w:eastAsia="Times New Roman" w:hAnsiTheme="majorHAnsi" w:cstheme="minorHAnsi"/>
          <w:lang w:val="ro-MD"/>
        </w:rPr>
        <w:t>de audit.</w:t>
      </w:r>
    </w:p>
    <w:p w14:paraId="2EABDAB9" w14:textId="77777777" w:rsidR="0069132A" w:rsidRPr="00381DA2" w:rsidRDefault="0069132A" w:rsidP="003A66EF">
      <w:pPr>
        <w:pStyle w:val="Heading1"/>
        <w:numPr>
          <w:ilvl w:val="0"/>
          <w:numId w:val="1"/>
        </w:numPr>
        <w:spacing w:before="0" w:after="160" w:line="276" w:lineRule="auto"/>
        <w:ind w:left="360" w:hanging="360"/>
        <w:rPr>
          <w:rFonts w:eastAsiaTheme="minorHAnsi" w:cstheme="minorHAnsi"/>
          <w:b/>
          <w:color w:val="1F4E79" w:themeColor="accent1" w:themeShade="80"/>
          <w:sz w:val="28"/>
          <w:szCs w:val="28"/>
          <w:shd w:val="clear" w:color="auto" w:fill="FFFFFF"/>
          <w:lang w:val="ro-MD"/>
        </w:rPr>
      </w:pPr>
      <w:bookmarkStart w:id="16" w:name="_Toc128640803"/>
      <w:r w:rsidRPr="00381DA2">
        <w:rPr>
          <w:rFonts w:eastAsiaTheme="minorHAnsi" w:cstheme="minorHAnsi"/>
          <w:b/>
          <w:color w:val="1F4E79" w:themeColor="accent1" w:themeShade="80"/>
          <w:sz w:val="28"/>
          <w:szCs w:val="28"/>
          <w:shd w:val="clear" w:color="auto" w:fill="FFFFFF"/>
          <w:lang w:val="ro-MD"/>
        </w:rPr>
        <w:t>SFERA ȘI ABORDAREA AUDITULUI</w:t>
      </w:r>
      <w:bookmarkEnd w:id="14"/>
      <w:bookmarkEnd w:id="15"/>
      <w:bookmarkEnd w:id="16"/>
    </w:p>
    <w:p w14:paraId="11F2B7F0" w14:textId="77777777" w:rsidR="0069132A" w:rsidRPr="00381DA2" w:rsidRDefault="00F20042" w:rsidP="003A66EF">
      <w:pPr>
        <w:pStyle w:val="Heading3"/>
        <w:spacing w:line="276" w:lineRule="auto"/>
        <w:rPr>
          <w:rFonts w:cstheme="minorHAnsi"/>
          <w:b/>
          <w:color w:val="2E74B5" w:themeColor="accent1" w:themeShade="BF"/>
          <w:shd w:val="clear" w:color="auto" w:fill="FFFFFF"/>
        </w:rPr>
      </w:pPr>
      <w:bookmarkStart w:id="17" w:name="_Toc128640804"/>
      <w:r w:rsidRPr="00381DA2">
        <w:rPr>
          <w:rFonts w:cstheme="minorHAnsi"/>
          <w:b/>
          <w:color w:val="2E74B5" w:themeColor="accent1" w:themeShade="BF"/>
          <w:shd w:val="clear" w:color="auto" w:fill="FFFFFF"/>
        </w:rPr>
        <w:t xml:space="preserve">3.1. </w:t>
      </w:r>
      <w:r w:rsidR="0069132A" w:rsidRPr="00381DA2">
        <w:rPr>
          <w:rFonts w:cstheme="minorHAnsi"/>
          <w:b/>
          <w:color w:val="2E74B5" w:themeColor="accent1" w:themeShade="BF"/>
          <w:shd w:val="clear" w:color="auto" w:fill="FFFFFF"/>
        </w:rPr>
        <w:t>Mandatul legal și scopul auditului</w:t>
      </w:r>
      <w:bookmarkEnd w:id="17"/>
      <w:r w:rsidR="0069132A" w:rsidRPr="00381DA2">
        <w:rPr>
          <w:rFonts w:cstheme="minorHAnsi"/>
          <w:b/>
          <w:color w:val="2E74B5" w:themeColor="accent1" w:themeShade="BF"/>
          <w:shd w:val="clear" w:color="auto" w:fill="FFFFFF"/>
        </w:rPr>
        <w:t xml:space="preserve"> </w:t>
      </w:r>
    </w:p>
    <w:p w14:paraId="278725AA" w14:textId="7EE613B9" w:rsidR="0069132A" w:rsidRPr="00381DA2" w:rsidRDefault="0069132A" w:rsidP="003A66EF">
      <w:pPr>
        <w:spacing w:line="276" w:lineRule="auto"/>
        <w:jc w:val="both"/>
        <w:rPr>
          <w:rFonts w:asciiTheme="majorHAnsi" w:hAnsiTheme="majorHAnsi" w:cstheme="minorHAnsi"/>
          <w:color w:val="000000"/>
          <w:sz w:val="24"/>
          <w:szCs w:val="24"/>
          <w:shd w:val="clear" w:color="auto" w:fill="FFFFFF"/>
        </w:rPr>
      </w:pPr>
      <w:r w:rsidRPr="00381DA2">
        <w:rPr>
          <w:rFonts w:asciiTheme="majorHAnsi" w:hAnsiTheme="majorHAnsi" w:cstheme="minorHAnsi"/>
          <w:sz w:val="24"/>
          <w:szCs w:val="24"/>
          <w:shd w:val="clear" w:color="auto" w:fill="FFFFFF"/>
        </w:rPr>
        <w:t>Misiunea de audit</w:t>
      </w:r>
      <w:r w:rsidR="00362D33" w:rsidRPr="00381DA2">
        <w:rPr>
          <w:rFonts w:asciiTheme="majorHAnsi" w:hAnsiTheme="majorHAnsi" w:cstheme="minorHAnsi"/>
          <w:sz w:val="24"/>
          <w:szCs w:val="24"/>
          <w:shd w:val="clear" w:color="auto" w:fill="FFFFFF"/>
        </w:rPr>
        <w:t xml:space="preserve"> public extern</w:t>
      </w:r>
      <w:r w:rsidRPr="00381DA2">
        <w:rPr>
          <w:rFonts w:asciiTheme="majorHAnsi" w:hAnsiTheme="majorHAnsi" w:cstheme="minorHAnsi"/>
          <w:sz w:val="24"/>
          <w:szCs w:val="24"/>
          <w:shd w:val="clear" w:color="auto" w:fill="FFFFFF"/>
        </w:rPr>
        <w:t xml:space="preserve"> s-a desfășurat în temeiul art.5, art.31 și art.32 din Legea privind organizarea și funcționarea Curții de Conturi a Republicii Moldova nr.260 di</w:t>
      </w:r>
      <w:r w:rsidR="00063968" w:rsidRPr="00381DA2">
        <w:rPr>
          <w:rFonts w:asciiTheme="majorHAnsi" w:hAnsiTheme="majorHAnsi" w:cstheme="minorHAnsi"/>
          <w:sz w:val="24"/>
          <w:szCs w:val="24"/>
          <w:shd w:val="clear" w:color="auto" w:fill="FFFFFF"/>
        </w:rPr>
        <w:t>n</w:t>
      </w:r>
      <w:r w:rsidR="00375865">
        <w:rPr>
          <w:rFonts w:asciiTheme="majorHAnsi" w:hAnsiTheme="majorHAnsi" w:cstheme="minorHAnsi"/>
          <w:sz w:val="24"/>
          <w:szCs w:val="24"/>
          <w:shd w:val="clear" w:color="auto" w:fill="FFFFFF"/>
        </w:rPr>
        <w:t xml:space="preserve"> 07.12.2017, conform Programelor</w:t>
      </w:r>
      <w:r w:rsidRPr="00381DA2">
        <w:rPr>
          <w:rFonts w:asciiTheme="majorHAnsi" w:hAnsiTheme="majorHAnsi" w:cstheme="minorHAnsi"/>
          <w:sz w:val="24"/>
          <w:szCs w:val="24"/>
          <w:shd w:val="clear" w:color="auto" w:fill="FFFFFF"/>
        </w:rPr>
        <w:t xml:space="preserve"> activității de audit pe anul 2022</w:t>
      </w:r>
      <w:r w:rsidR="009476D6">
        <w:rPr>
          <w:rFonts w:asciiTheme="majorHAnsi" w:hAnsiTheme="majorHAnsi" w:cstheme="minorHAnsi"/>
          <w:sz w:val="24"/>
          <w:szCs w:val="24"/>
          <w:shd w:val="clear" w:color="auto" w:fill="FFFFFF"/>
        </w:rPr>
        <w:t xml:space="preserve"> </w:t>
      </w:r>
      <w:r w:rsidR="0017742D" w:rsidRPr="00381DA2">
        <w:rPr>
          <w:rFonts w:asciiTheme="majorHAnsi" w:hAnsiTheme="majorHAnsi" w:cstheme="minorHAnsi"/>
          <w:sz w:val="24"/>
          <w:szCs w:val="24"/>
          <w:shd w:val="clear" w:color="auto" w:fill="FFFFFF"/>
        </w:rPr>
        <w:t xml:space="preserve">și pe anul 2023, </w:t>
      </w:r>
      <w:r w:rsidRPr="00381DA2">
        <w:rPr>
          <w:rFonts w:asciiTheme="majorHAnsi" w:hAnsiTheme="majorHAnsi" w:cstheme="minorHAnsi"/>
          <w:color w:val="000000"/>
          <w:sz w:val="24"/>
          <w:szCs w:val="24"/>
          <w:shd w:val="clear" w:color="auto" w:fill="FFFFFF"/>
        </w:rPr>
        <w:t xml:space="preserve">având drept scop </w:t>
      </w:r>
      <w:r w:rsidR="00C60D30" w:rsidRPr="00381DA2">
        <w:rPr>
          <w:rFonts w:asciiTheme="majorHAnsi" w:hAnsiTheme="majorHAnsi" w:cstheme="minorHAnsi"/>
          <w:color w:val="000000"/>
          <w:sz w:val="24"/>
          <w:szCs w:val="24"/>
          <w:shd w:val="clear" w:color="auto" w:fill="FFFFFF"/>
        </w:rPr>
        <w:t>evaluarea conformității gestionării mijloacelor financiare alocate pentru acordarea asistenței juridice calificate de stat în anii 2020-2022, în raport cu prevederile cadrului normativ aplicabil.</w:t>
      </w:r>
    </w:p>
    <w:p w14:paraId="06BCBC6F" w14:textId="77777777" w:rsidR="0069132A" w:rsidRPr="00381DA2" w:rsidRDefault="0069132A" w:rsidP="00F73C45">
      <w:pPr>
        <w:spacing w:after="80" w:line="276" w:lineRule="auto"/>
        <w:jc w:val="both"/>
        <w:rPr>
          <w:rFonts w:asciiTheme="majorHAnsi" w:hAnsiTheme="majorHAnsi" w:cstheme="minorHAnsi"/>
          <w:color w:val="000000"/>
          <w:sz w:val="24"/>
          <w:szCs w:val="24"/>
          <w:shd w:val="clear" w:color="auto" w:fill="FFFFFF"/>
        </w:rPr>
      </w:pPr>
      <w:r w:rsidRPr="00381DA2">
        <w:rPr>
          <w:rFonts w:asciiTheme="majorHAnsi" w:hAnsiTheme="majorHAnsi" w:cstheme="minorHAnsi"/>
          <w:color w:val="000000"/>
          <w:sz w:val="24"/>
          <w:szCs w:val="24"/>
          <w:shd w:val="clear" w:color="auto" w:fill="FFFFFF"/>
        </w:rPr>
        <w:t>În acest sens, au fost determinate următoarele obiective specifice:</w:t>
      </w:r>
    </w:p>
    <w:p w14:paraId="1195A15B" w14:textId="77777777" w:rsidR="00EC2886" w:rsidRPr="00381DA2" w:rsidRDefault="006F4A10" w:rsidP="00F73C45">
      <w:pPr>
        <w:pStyle w:val="ListParagraph"/>
        <w:numPr>
          <w:ilvl w:val="0"/>
          <w:numId w:val="2"/>
        </w:numPr>
        <w:spacing w:after="100" w:afterAutospacing="1" w:line="276" w:lineRule="auto"/>
        <w:contextualSpacing w:val="0"/>
        <w:jc w:val="both"/>
        <w:rPr>
          <w:rFonts w:asciiTheme="majorHAnsi" w:eastAsia="Times New Roman" w:hAnsiTheme="majorHAnsi" w:cstheme="minorHAnsi"/>
          <w:i/>
          <w:sz w:val="24"/>
          <w:szCs w:val="24"/>
          <w:lang w:val="ro-MD"/>
        </w:rPr>
      </w:pPr>
      <w:r>
        <w:rPr>
          <w:rFonts w:asciiTheme="majorHAnsi" w:eastAsia="Times New Roman" w:hAnsiTheme="majorHAnsi" w:cstheme="minorHAnsi"/>
          <w:i/>
          <w:sz w:val="24"/>
          <w:szCs w:val="24"/>
          <w:lang w:val="ro-MD"/>
        </w:rPr>
        <w:t>I</w:t>
      </w:r>
      <w:r w:rsidR="009E041B" w:rsidRPr="00381DA2">
        <w:rPr>
          <w:rFonts w:asciiTheme="majorHAnsi" w:eastAsia="Times New Roman" w:hAnsiTheme="majorHAnsi" w:cstheme="minorHAnsi"/>
          <w:i/>
          <w:sz w:val="24"/>
          <w:szCs w:val="24"/>
          <w:lang w:val="ro-MD"/>
        </w:rPr>
        <w:t xml:space="preserve">nstrumentele </w:t>
      </w:r>
      <w:r>
        <w:rPr>
          <w:rFonts w:asciiTheme="majorHAnsi" w:eastAsia="Times New Roman" w:hAnsiTheme="majorHAnsi" w:cstheme="minorHAnsi"/>
          <w:i/>
          <w:sz w:val="24"/>
          <w:szCs w:val="24"/>
          <w:lang w:val="ro-MD"/>
        </w:rPr>
        <w:t>de reglementare a</w:t>
      </w:r>
      <w:r w:rsidR="009E041B" w:rsidRPr="00381DA2">
        <w:rPr>
          <w:rFonts w:asciiTheme="majorHAnsi" w:eastAsia="Times New Roman" w:hAnsiTheme="majorHAnsi" w:cstheme="minorHAnsi"/>
          <w:i/>
          <w:sz w:val="24"/>
          <w:szCs w:val="24"/>
          <w:lang w:val="ro-MD"/>
        </w:rPr>
        <w:t xml:space="preserve">sigură direcționarea asistenței </w:t>
      </w:r>
      <w:r>
        <w:rPr>
          <w:rFonts w:asciiTheme="majorHAnsi" w:eastAsia="Times New Roman" w:hAnsiTheme="majorHAnsi" w:cstheme="minorHAnsi"/>
          <w:i/>
          <w:sz w:val="24"/>
          <w:szCs w:val="24"/>
          <w:lang w:val="ro-MD"/>
        </w:rPr>
        <w:t xml:space="preserve">juridice </w:t>
      </w:r>
      <w:r w:rsidR="009E041B" w:rsidRPr="00381DA2">
        <w:rPr>
          <w:rFonts w:asciiTheme="majorHAnsi" w:eastAsia="Times New Roman" w:hAnsiTheme="majorHAnsi" w:cstheme="minorHAnsi"/>
          <w:i/>
          <w:sz w:val="24"/>
          <w:szCs w:val="24"/>
          <w:lang w:val="ro-MD"/>
        </w:rPr>
        <w:t>către beneficiarii eligibili?</w:t>
      </w:r>
    </w:p>
    <w:p w14:paraId="345BC7EC" w14:textId="77777777" w:rsidR="00467DFC" w:rsidRPr="00381DA2" w:rsidRDefault="00467DFC" w:rsidP="00F73C45">
      <w:pPr>
        <w:pStyle w:val="ListParagraph"/>
        <w:numPr>
          <w:ilvl w:val="0"/>
          <w:numId w:val="2"/>
        </w:numPr>
        <w:spacing w:after="100" w:afterAutospacing="1" w:line="276" w:lineRule="auto"/>
        <w:contextualSpacing w:val="0"/>
        <w:jc w:val="both"/>
        <w:rPr>
          <w:rFonts w:asciiTheme="majorHAnsi" w:eastAsia="Times New Roman" w:hAnsiTheme="majorHAnsi" w:cstheme="minorHAnsi"/>
          <w:i/>
          <w:sz w:val="24"/>
          <w:szCs w:val="24"/>
          <w:lang w:val="ro-MD"/>
        </w:rPr>
      </w:pPr>
      <w:r w:rsidRPr="00381DA2">
        <w:rPr>
          <w:rFonts w:asciiTheme="majorHAnsi" w:eastAsia="Times New Roman" w:hAnsiTheme="majorHAnsi" w:cstheme="minorHAnsi"/>
          <w:i/>
          <w:sz w:val="24"/>
          <w:szCs w:val="24"/>
          <w:lang w:val="ro-MD"/>
        </w:rPr>
        <w:t>Factorii responsabili au asigurat conformitate</w:t>
      </w:r>
      <w:r w:rsidR="007A498C">
        <w:rPr>
          <w:rFonts w:asciiTheme="majorHAnsi" w:eastAsia="Times New Roman" w:hAnsiTheme="majorHAnsi" w:cstheme="minorHAnsi"/>
          <w:i/>
          <w:sz w:val="24"/>
          <w:szCs w:val="24"/>
          <w:lang w:val="ro-MD"/>
        </w:rPr>
        <w:t>a</w:t>
      </w:r>
      <w:r w:rsidRPr="00381DA2">
        <w:rPr>
          <w:rFonts w:asciiTheme="majorHAnsi" w:eastAsia="Times New Roman" w:hAnsiTheme="majorHAnsi" w:cstheme="minorHAnsi"/>
          <w:i/>
          <w:sz w:val="24"/>
          <w:szCs w:val="24"/>
          <w:lang w:val="ro-MD"/>
        </w:rPr>
        <w:t xml:space="preserve"> procesului de </w:t>
      </w:r>
      <w:r w:rsidR="009E041B" w:rsidRPr="00381DA2">
        <w:rPr>
          <w:rFonts w:asciiTheme="majorHAnsi" w:eastAsia="Times New Roman" w:hAnsiTheme="majorHAnsi" w:cstheme="minorHAnsi"/>
          <w:i/>
          <w:sz w:val="24"/>
          <w:szCs w:val="24"/>
          <w:lang w:val="ro-MD"/>
        </w:rPr>
        <w:t>valorificare</w:t>
      </w:r>
      <w:r w:rsidRPr="00381DA2">
        <w:rPr>
          <w:rFonts w:asciiTheme="majorHAnsi" w:eastAsia="Times New Roman" w:hAnsiTheme="majorHAnsi" w:cstheme="minorHAnsi"/>
          <w:i/>
          <w:sz w:val="24"/>
          <w:szCs w:val="24"/>
          <w:lang w:val="ro-MD"/>
        </w:rPr>
        <w:t xml:space="preserve"> a</w:t>
      </w:r>
      <w:r w:rsidR="009E041B" w:rsidRPr="00381DA2">
        <w:rPr>
          <w:rFonts w:asciiTheme="majorHAnsi" w:eastAsia="Times New Roman" w:hAnsiTheme="majorHAnsi" w:cstheme="minorHAnsi"/>
          <w:i/>
          <w:sz w:val="24"/>
          <w:szCs w:val="24"/>
          <w:lang w:val="ro-MD"/>
        </w:rPr>
        <w:t xml:space="preserve"> resurselor pentru</w:t>
      </w:r>
      <w:r w:rsidRPr="00381DA2">
        <w:rPr>
          <w:rFonts w:asciiTheme="majorHAnsi" w:eastAsia="Times New Roman" w:hAnsiTheme="majorHAnsi" w:cstheme="minorHAnsi"/>
          <w:i/>
          <w:sz w:val="24"/>
          <w:szCs w:val="24"/>
          <w:lang w:val="ro-MD"/>
        </w:rPr>
        <w:t xml:space="preserve"> serviciile de asistență juridică garantată de stat?</w:t>
      </w:r>
    </w:p>
    <w:p w14:paraId="4011747D" w14:textId="71F97C5B" w:rsidR="007B721C" w:rsidRPr="00381DA2" w:rsidRDefault="00336D25" w:rsidP="00F73C45">
      <w:pPr>
        <w:pStyle w:val="ListParagraph"/>
        <w:numPr>
          <w:ilvl w:val="0"/>
          <w:numId w:val="2"/>
        </w:numPr>
        <w:spacing w:after="120" w:line="276" w:lineRule="auto"/>
        <w:contextualSpacing w:val="0"/>
        <w:jc w:val="both"/>
        <w:rPr>
          <w:rFonts w:asciiTheme="majorHAnsi" w:eastAsia="Times New Roman" w:hAnsiTheme="majorHAnsi" w:cstheme="minorHAnsi"/>
          <w:i/>
          <w:sz w:val="24"/>
          <w:szCs w:val="24"/>
          <w:lang w:val="ro-MD"/>
        </w:rPr>
      </w:pPr>
      <w:r w:rsidRPr="00381DA2">
        <w:rPr>
          <w:rFonts w:asciiTheme="majorHAnsi" w:eastAsia="Times New Roman" w:hAnsiTheme="majorHAnsi" w:cstheme="minorHAnsi"/>
          <w:i/>
          <w:sz w:val="24"/>
          <w:szCs w:val="24"/>
          <w:lang w:val="ro-MD"/>
        </w:rPr>
        <w:t>Organele de administrare a</w:t>
      </w:r>
      <w:r w:rsidR="00415D07">
        <w:rPr>
          <w:rFonts w:asciiTheme="majorHAnsi" w:eastAsia="Times New Roman" w:hAnsiTheme="majorHAnsi" w:cstheme="minorHAnsi"/>
          <w:i/>
          <w:sz w:val="24"/>
          <w:szCs w:val="24"/>
          <w:lang w:val="ro-MD"/>
        </w:rPr>
        <w:t>le</w:t>
      </w:r>
      <w:r w:rsidR="00847121" w:rsidRPr="00381DA2">
        <w:rPr>
          <w:rFonts w:asciiTheme="majorHAnsi" w:eastAsia="Times New Roman" w:hAnsiTheme="majorHAnsi" w:cstheme="minorHAnsi"/>
          <w:i/>
          <w:sz w:val="24"/>
          <w:szCs w:val="24"/>
          <w:lang w:val="ro-MD"/>
        </w:rPr>
        <w:t xml:space="preserve"> sistemului de AJGS</w:t>
      </w:r>
      <w:r w:rsidR="00FB37E8">
        <w:rPr>
          <w:rFonts w:asciiTheme="majorHAnsi" w:eastAsia="Times New Roman" w:hAnsiTheme="majorHAnsi" w:cstheme="minorHAnsi"/>
          <w:i/>
          <w:sz w:val="24"/>
          <w:szCs w:val="24"/>
          <w:lang w:val="ro-MD"/>
        </w:rPr>
        <w:t xml:space="preserve"> su</w:t>
      </w:r>
      <w:r w:rsidR="00AB73D9">
        <w:rPr>
          <w:rFonts w:asciiTheme="majorHAnsi" w:eastAsia="Times New Roman" w:hAnsiTheme="majorHAnsi" w:cstheme="minorHAnsi"/>
          <w:i/>
          <w:sz w:val="24"/>
          <w:szCs w:val="24"/>
          <w:lang w:val="ro-MD"/>
        </w:rPr>
        <w:t>nt organizate</w:t>
      </w:r>
      <w:r w:rsidR="00847121" w:rsidRPr="00381DA2">
        <w:rPr>
          <w:rFonts w:asciiTheme="majorHAnsi" w:eastAsia="Times New Roman" w:hAnsiTheme="majorHAnsi" w:cstheme="minorHAnsi"/>
          <w:i/>
          <w:sz w:val="24"/>
          <w:szCs w:val="24"/>
          <w:lang w:val="ro-MD"/>
        </w:rPr>
        <w:t xml:space="preserve"> </w:t>
      </w:r>
      <w:r w:rsidR="00587CC0" w:rsidRPr="00381DA2">
        <w:rPr>
          <w:rFonts w:asciiTheme="majorHAnsi" w:eastAsia="Times New Roman" w:hAnsiTheme="majorHAnsi" w:cstheme="minorHAnsi"/>
          <w:i/>
          <w:sz w:val="24"/>
          <w:szCs w:val="24"/>
          <w:lang w:val="ro-MD"/>
        </w:rPr>
        <w:t>conform</w:t>
      </w:r>
      <w:r w:rsidR="00C436AF" w:rsidRPr="00381DA2">
        <w:rPr>
          <w:rFonts w:asciiTheme="majorHAnsi" w:eastAsia="Times New Roman" w:hAnsiTheme="majorHAnsi" w:cstheme="minorHAnsi"/>
          <w:i/>
          <w:sz w:val="24"/>
          <w:szCs w:val="24"/>
          <w:lang w:val="ro-MD"/>
        </w:rPr>
        <w:t xml:space="preserve"> principiil</w:t>
      </w:r>
      <w:r w:rsidR="00587CC0" w:rsidRPr="00381DA2">
        <w:rPr>
          <w:rFonts w:asciiTheme="majorHAnsi" w:eastAsia="Times New Roman" w:hAnsiTheme="majorHAnsi" w:cstheme="minorHAnsi"/>
          <w:i/>
          <w:sz w:val="24"/>
          <w:szCs w:val="24"/>
          <w:lang w:val="ro-MD"/>
        </w:rPr>
        <w:t>or</w:t>
      </w:r>
      <w:r w:rsidR="00C436AF" w:rsidRPr="00381DA2">
        <w:rPr>
          <w:rFonts w:asciiTheme="majorHAnsi" w:eastAsia="Times New Roman" w:hAnsiTheme="majorHAnsi" w:cstheme="minorHAnsi"/>
          <w:i/>
          <w:sz w:val="24"/>
          <w:szCs w:val="24"/>
          <w:lang w:val="ro-MD"/>
        </w:rPr>
        <w:t xml:space="preserve"> b</w:t>
      </w:r>
      <w:r w:rsidR="00EC2886" w:rsidRPr="00381DA2">
        <w:rPr>
          <w:rFonts w:asciiTheme="majorHAnsi" w:eastAsia="Times New Roman" w:hAnsiTheme="majorHAnsi" w:cstheme="minorHAnsi"/>
          <w:i/>
          <w:sz w:val="24"/>
          <w:szCs w:val="24"/>
          <w:lang w:val="ro-MD"/>
        </w:rPr>
        <w:t xml:space="preserve">unei </w:t>
      </w:r>
      <w:r w:rsidR="00747739" w:rsidRPr="00381DA2">
        <w:rPr>
          <w:rFonts w:asciiTheme="majorHAnsi" w:eastAsia="Times New Roman" w:hAnsiTheme="majorHAnsi" w:cstheme="minorHAnsi"/>
          <w:i/>
          <w:sz w:val="24"/>
          <w:szCs w:val="24"/>
          <w:lang w:val="ro-MD"/>
        </w:rPr>
        <w:t>guvernări</w:t>
      </w:r>
      <w:r w:rsidR="004B4478" w:rsidRPr="00381DA2">
        <w:rPr>
          <w:rFonts w:asciiTheme="majorHAnsi" w:eastAsia="Times New Roman" w:hAnsiTheme="majorHAnsi" w:cstheme="minorHAnsi"/>
          <w:i/>
          <w:sz w:val="24"/>
          <w:szCs w:val="24"/>
          <w:lang w:val="ro-MD"/>
        </w:rPr>
        <w:t xml:space="preserve">? </w:t>
      </w:r>
    </w:p>
    <w:p w14:paraId="78AEAB62" w14:textId="77777777" w:rsidR="00437312" w:rsidRPr="00381DA2" w:rsidRDefault="00920F1F" w:rsidP="003A66EF">
      <w:pPr>
        <w:pStyle w:val="Heading3"/>
        <w:spacing w:after="120" w:line="276" w:lineRule="auto"/>
        <w:rPr>
          <w:rFonts w:cstheme="minorHAnsi"/>
          <w:b/>
          <w:color w:val="2E74B5" w:themeColor="accent1" w:themeShade="BF"/>
          <w:shd w:val="clear" w:color="auto" w:fill="FFFFFF"/>
        </w:rPr>
      </w:pPr>
      <w:bookmarkStart w:id="18" w:name="_Toc128640805"/>
      <w:r w:rsidRPr="00381DA2">
        <w:rPr>
          <w:rFonts w:cstheme="minorHAnsi"/>
          <w:b/>
          <w:color w:val="2E74B5" w:themeColor="accent1" w:themeShade="BF"/>
          <w:shd w:val="clear" w:color="auto" w:fill="FFFFFF"/>
        </w:rPr>
        <w:t>3.2. Abordarea auditului</w:t>
      </w:r>
      <w:bookmarkEnd w:id="18"/>
    </w:p>
    <w:p w14:paraId="5FF1D5D8" w14:textId="77777777" w:rsidR="003C54DC" w:rsidRPr="00381DA2" w:rsidRDefault="003C54DC" w:rsidP="003C54DC">
      <w:pPr>
        <w:spacing w:after="120" w:line="276" w:lineRule="auto"/>
        <w:jc w:val="both"/>
        <w:rPr>
          <w:rFonts w:asciiTheme="majorHAnsi" w:eastAsia="Calibri" w:hAnsiTheme="majorHAnsi" w:cstheme="minorHAnsi"/>
          <w:sz w:val="24"/>
        </w:rPr>
      </w:pPr>
      <w:r w:rsidRPr="00381DA2">
        <w:rPr>
          <w:rFonts w:asciiTheme="majorHAnsi" w:hAnsiTheme="majorHAnsi" w:cstheme="minorHAnsi"/>
          <w:color w:val="000000"/>
          <w:sz w:val="24"/>
          <w:szCs w:val="24"/>
          <w:shd w:val="clear" w:color="auto" w:fill="FFFFFF"/>
        </w:rPr>
        <w:t>Activitățile de audit au fost ghidate de Standardele Internaționale ale Instituțiilor Supreme de Audit ISSAI 100, ISSAI 400 și ISSAI 4000</w:t>
      </w:r>
      <w:r w:rsidRPr="00381DA2">
        <w:rPr>
          <w:rStyle w:val="FootnoteReference"/>
          <w:rFonts w:asciiTheme="majorHAnsi" w:hAnsiTheme="majorHAnsi" w:cstheme="minorHAnsi"/>
          <w:color w:val="000000"/>
          <w:sz w:val="24"/>
          <w:szCs w:val="24"/>
          <w:shd w:val="clear" w:color="auto" w:fill="FFFFFF"/>
        </w:rPr>
        <w:footnoteReference w:id="5"/>
      </w:r>
      <w:r w:rsidRPr="00381DA2">
        <w:rPr>
          <w:rFonts w:asciiTheme="majorHAnsi" w:hAnsiTheme="majorHAnsi" w:cstheme="minorHAnsi"/>
          <w:color w:val="000000"/>
          <w:sz w:val="24"/>
          <w:szCs w:val="24"/>
          <w:shd w:val="clear" w:color="auto" w:fill="FFFFFF"/>
        </w:rPr>
        <w:t xml:space="preserve">. </w:t>
      </w:r>
      <w:r w:rsidRPr="00381DA2">
        <w:rPr>
          <w:rFonts w:asciiTheme="majorHAnsi" w:eastAsia="Calibri" w:hAnsiTheme="majorHAnsi" w:cstheme="minorHAnsi"/>
          <w:sz w:val="24"/>
          <w:szCs w:val="24"/>
        </w:rPr>
        <w:t xml:space="preserve">Abordarea auditului a fost orientată spre </w:t>
      </w:r>
      <w:r w:rsidRPr="00381DA2">
        <w:rPr>
          <w:rFonts w:asciiTheme="majorHAnsi" w:eastAsia="Calibri" w:hAnsiTheme="majorHAnsi" w:cstheme="minorHAnsi"/>
          <w:sz w:val="24"/>
        </w:rPr>
        <w:t xml:space="preserve">evaluarea sistemică a mai multor procese specifice, cu implicarea autorităților de stat responsabile în procesul de administrare și acordare a serviciilor juridice, și anume a: </w:t>
      </w:r>
    </w:p>
    <w:p w14:paraId="5BA5BA6D" w14:textId="77777777" w:rsidR="003C54DC" w:rsidRPr="00381DA2" w:rsidRDefault="003C54DC" w:rsidP="003C54DC">
      <w:pPr>
        <w:numPr>
          <w:ilvl w:val="0"/>
          <w:numId w:val="5"/>
        </w:numPr>
        <w:tabs>
          <w:tab w:val="left" w:pos="426"/>
        </w:tabs>
        <w:spacing w:after="0" w:line="276" w:lineRule="auto"/>
        <w:ind w:left="0" w:firstLine="284"/>
        <w:contextualSpacing/>
        <w:jc w:val="both"/>
        <w:rPr>
          <w:rFonts w:asciiTheme="majorHAnsi" w:eastAsia="Calibri" w:hAnsiTheme="majorHAnsi" w:cstheme="minorHAnsi"/>
          <w:sz w:val="24"/>
        </w:rPr>
      </w:pPr>
      <w:r w:rsidRPr="00381DA2">
        <w:rPr>
          <w:rFonts w:asciiTheme="majorHAnsi" w:eastAsia="Calibri" w:hAnsiTheme="majorHAnsi" w:cstheme="minorHAnsi"/>
          <w:sz w:val="24"/>
        </w:rPr>
        <w:t xml:space="preserve">corectitudinii procesului de identificare a persoanelor eligibile în scopul beneficierii de servicii juridice finanțate din contul bugetului de stat, </w:t>
      </w:r>
      <w:r w:rsidRPr="00381DA2">
        <w:rPr>
          <w:rFonts w:asciiTheme="majorHAnsi" w:hAnsiTheme="majorHAnsi" w:cstheme="minorHAnsi"/>
          <w:color w:val="000000"/>
          <w:sz w:val="24"/>
          <w:szCs w:val="24"/>
          <w:shd w:val="clear" w:color="auto" w:fill="FFFFFF"/>
        </w:rPr>
        <w:t>analizându-se documentele primare, precum și informația din sistemul informațional automatizat gestionat de OT ale CNAJGS. Concomiten</w:t>
      </w:r>
      <w:r>
        <w:rPr>
          <w:rFonts w:asciiTheme="majorHAnsi" w:hAnsiTheme="majorHAnsi" w:cstheme="minorHAnsi"/>
          <w:color w:val="000000"/>
          <w:sz w:val="24"/>
          <w:szCs w:val="24"/>
          <w:shd w:val="clear" w:color="auto" w:fill="FFFFFF"/>
        </w:rPr>
        <w:t>t, în scopul testării modalității</w:t>
      </w:r>
      <w:r w:rsidRPr="00381DA2">
        <w:rPr>
          <w:rFonts w:asciiTheme="majorHAnsi" w:hAnsiTheme="majorHAnsi" w:cstheme="minorHAnsi"/>
          <w:color w:val="000000"/>
          <w:sz w:val="24"/>
          <w:szCs w:val="24"/>
          <w:shd w:val="clear" w:color="auto" w:fill="FFFFFF"/>
        </w:rPr>
        <w:t xml:space="preserve"> de calcul </w:t>
      </w:r>
      <w:r w:rsidRPr="00381DA2">
        <w:rPr>
          <w:rFonts w:asciiTheme="majorHAnsi" w:eastAsia="Calibri" w:hAnsiTheme="majorHAnsi" w:cstheme="minorHAnsi"/>
          <w:sz w:val="24"/>
        </w:rPr>
        <w:t>a</w:t>
      </w:r>
      <w:r>
        <w:rPr>
          <w:rFonts w:asciiTheme="majorHAnsi" w:eastAsia="Calibri" w:hAnsiTheme="majorHAnsi" w:cstheme="minorHAnsi"/>
          <w:sz w:val="24"/>
        </w:rPr>
        <w:t>l</w:t>
      </w:r>
      <w:r w:rsidRPr="00381DA2">
        <w:rPr>
          <w:rFonts w:asciiTheme="majorHAnsi" w:eastAsia="Calibri" w:hAnsiTheme="majorHAnsi" w:cstheme="minorHAnsi"/>
          <w:sz w:val="24"/>
        </w:rPr>
        <w:t xml:space="preserve"> venitului mediu lunar a</w:t>
      </w:r>
      <w:r>
        <w:rPr>
          <w:rFonts w:asciiTheme="majorHAnsi" w:eastAsia="Calibri" w:hAnsiTheme="majorHAnsi" w:cstheme="minorHAnsi"/>
          <w:sz w:val="24"/>
        </w:rPr>
        <w:t>l</w:t>
      </w:r>
      <w:r w:rsidRPr="00381DA2">
        <w:rPr>
          <w:rFonts w:asciiTheme="majorHAnsi" w:eastAsia="Calibri" w:hAnsiTheme="majorHAnsi" w:cstheme="minorHAnsi"/>
          <w:sz w:val="24"/>
        </w:rPr>
        <w:t xml:space="preserve"> beneficiarilor solicitanți</w:t>
      </w:r>
      <w:r>
        <w:rPr>
          <w:rFonts w:asciiTheme="majorHAnsi" w:eastAsia="Calibri" w:hAnsiTheme="majorHAnsi" w:cstheme="minorHAnsi"/>
          <w:sz w:val="24"/>
        </w:rPr>
        <w:t>,</w:t>
      </w:r>
      <w:r w:rsidRPr="00381DA2">
        <w:rPr>
          <w:rFonts w:asciiTheme="majorHAnsi" w:eastAsia="Calibri" w:hAnsiTheme="majorHAnsi" w:cstheme="minorHAnsi"/>
          <w:sz w:val="24"/>
        </w:rPr>
        <w:t xml:space="preserve"> a fost reconciliată informația cu datele portalului guvernamental</w:t>
      </w:r>
      <w:r>
        <w:rPr>
          <w:rFonts w:asciiTheme="majorHAnsi" w:eastAsia="Calibri" w:hAnsiTheme="majorHAnsi" w:cstheme="minorHAnsi"/>
          <w:sz w:val="24"/>
        </w:rPr>
        <w:t>;</w:t>
      </w:r>
    </w:p>
    <w:p w14:paraId="7FEDC435" w14:textId="77777777" w:rsidR="003C54DC" w:rsidRPr="00381DA2" w:rsidRDefault="003C54DC" w:rsidP="003C54DC">
      <w:pPr>
        <w:numPr>
          <w:ilvl w:val="0"/>
          <w:numId w:val="5"/>
        </w:numPr>
        <w:tabs>
          <w:tab w:val="left" w:pos="426"/>
        </w:tabs>
        <w:spacing w:after="0" w:line="276" w:lineRule="auto"/>
        <w:ind w:left="0" w:firstLine="284"/>
        <w:contextualSpacing/>
        <w:jc w:val="both"/>
        <w:rPr>
          <w:rFonts w:asciiTheme="majorHAnsi" w:eastAsia="Calibri" w:hAnsiTheme="majorHAnsi" w:cstheme="minorHAnsi"/>
          <w:sz w:val="24"/>
        </w:rPr>
      </w:pPr>
      <w:r w:rsidRPr="00381DA2">
        <w:rPr>
          <w:rFonts w:asciiTheme="majorHAnsi" w:eastAsia="Calibri" w:hAnsiTheme="majorHAnsi" w:cstheme="minorHAnsi"/>
          <w:sz w:val="24"/>
        </w:rPr>
        <w:t>conformității procesului de calculare</w:t>
      </w:r>
      <w:r>
        <w:rPr>
          <w:rFonts w:asciiTheme="majorHAnsi" w:eastAsia="Calibri" w:hAnsiTheme="majorHAnsi" w:cstheme="minorHAnsi"/>
          <w:sz w:val="24"/>
        </w:rPr>
        <w:t>,</w:t>
      </w:r>
      <w:r w:rsidRPr="00381DA2">
        <w:rPr>
          <w:rFonts w:asciiTheme="majorHAnsi" w:eastAsia="Calibri" w:hAnsiTheme="majorHAnsi" w:cstheme="minorHAnsi"/>
          <w:sz w:val="24"/>
        </w:rPr>
        <w:t xml:space="preserve"> precum și încadrării</w:t>
      </w:r>
      <w:r>
        <w:rPr>
          <w:rFonts w:asciiTheme="majorHAnsi" w:eastAsia="Calibri" w:hAnsiTheme="majorHAnsi" w:cstheme="minorHAnsi"/>
          <w:sz w:val="24"/>
        </w:rPr>
        <w:t xml:space="preserve"> venitului mediu </w:t>
      </w:r>
      <w:r w:rsidRPr="00381DA2">
        <w:rPr>
          <w:rFonts w:asciiTheme="majorHAnsi" w:eastAsia="Calibri" w:hAnsiTheme="majorHAnsi" w:cstheme="minorHAnsi"/>
          <w:sz w:val="24"/>
        </w:rPr>
        <w:t>sub nivelul minim de existență pe cap de locuitor din țară,</w:t>
      </w:r>
      <w:r w:rsidRPr="00381DA2">
        <w:rPr>
          <w:rFonts w:asciiTheme="majorHAnsi" w:hAnsiTheme="majorHAnsi" w:cstheme="minorHAnsi"/>
          <w:color w:val="000000"/>
          <w:sz w:val="24"/>
          <w:szCs w:val="24"/>
          <w:shd w:val="clear" w:color="auto" w:fill="FFFFFF"/>
        </w:rPr>
        <w:t xml:space="preserve"> prin solicitarea accesului confirmărilor externe, cu analiza ulterioară și procesarea rezultatelor;</w:t>
      </w:r>
    </w:p>
    <w:p w14:paraId="5F8D1293" w14:textId="77777777" w:rsidR="003C54DC" w:rsidRPr="00381DA2" w:rsidRDefault="003C54DC" w:rsidP="003C54DC">
      <w:pPr>
        <w:numPr>
          <w:ilvl w:val="0"/>
          <w:numId w:val="5"/>
        </w:numPr>
        <w:tabs>
          <w:tab w:val="left" w:pos="426"/>
        </w:tabs>
        <w:spacing w:after="0" w:line="276" w:lineRule="auto"/>
        <w:ind w:left="0" w:firstLine="288"/>
        <w:jc w:val="both"/>
        <w:rPr>
          <w:rFonts w:asciiTheme="majorHAnsi" w:hAnsiTheme="majorHAnsi" w:cstheme="minorHAnsi"/>
          <w:color w:val="000000"/>
          <w:sz w:val="24"/>
          <w:szCs w:val="24"/>
          <w:shd w:val="clear" w:color="auto" w:fill="FFFFFF"/>
        </w:rPr>
      </w:pPr>
      <w:r w:rsidRPr="00381DA2">
        <w:rPr>
          <w:rFonts w:asciiTheme="majorHAnsi" w:eastAsia="Calibri" w:hAnsiTheme="majorHAnsi" w:cstheme="minorHAnsi"/>
          <w:sz w:val="24"/>
        </w:rPr>
        <w:t xml:space="preserve"> </w:t>
      </w:r>
      <w:r w:rsidRPr="00381DA2">
        <w:rPr>
          <w:rFonts w:asciiTheme="majorHAnsi" w:hAnsiTheme="majorHAnsi" w:cstheme="minorHAnsi"/>
          <w:color w:val="000000"/>
          <w:sz w:val="24"/>
          <w:szCs w:val="24"/>
          <w:shd w:val="clear" w:color="auto" w:fill="FFFFFF"/>
        </w:rPr>
        <w:t xml:space="preserve">stabilirii componentelor semnificative de audit, prin utilizarea materialității calitative, fiind testate riscurile de neconformitate identificate </w:t>
      </w:r>
      <w:r>
        <w:rPr>
          <w:rFonts w:asciiTheme="majorHAnsi" w:hAnsiTheme="majorHAnsi" w:cstheme="minorHAnsi"/>
          <w:color w:val="000000"/>
          <w:sz w:val="24"/>
          <w:szCs w:val="24"/>
          <w:shd w:val="clear" w:color="auto" w:fill="FFFFFF"/>
        </w:rPr>
        <w:t>ca</w:t>
      </w:r>
      <w:r w:rsidRPr="00381DA2">
        <w:rPr>
          <w:rFonts w:asciiTheme="majorHAnsi" w:hAnsiTheme="majorHAnsi" w:cstheme="minorHAnsi"/>
          <w:color w:val="000000"/>
          <w:sz w:val="24"/>
          <w:szCs w:val="24"/>
          <w:shd w:val="clear" w:color="auto" w:fill="FFFFFF"/>
        </w:rPr>
        <w:t xml:space="preserve"> rezultat</w:t>
      </w:r>
      <w:r>
        <w:rPr>
          <w:rFonts w:asciiTheme="majorHAnsi" w:hAnsiTheme="majorHAnsi" w:cstheme="minorHAnsi"/>
          <w:color w:val="000000"/>
          <w:sz w:val="24"/>
          <w:szCs w:val="24"/>
          <w:shd w:val="clear" w:color="auto" w:fill="FFFFFF"/>
        </w:rPr>
        <w:t xml:space="preserve"> a</w:t>
      </w:r>
      <w:r w:rsidRPr="00381DA2">
        <w:rPr>
          <w:rFonts w:asciiTheme="majorHAnsi" w:hAnsiTheme="majorHAnsi" w:cstheme="minorHAnsi"/>
          <w:color w:val="000000"/>
          <w:sz w:val="24"/>
          <w:szCs w:val="24"/>
          <w:shd w:val="clear" w:color="auto" w:fill="FFFFFF"/>
        </w:rPr>
        <w:t>l aplicării raționamentului profesional</w:t>
      </w:r>
      <w:r>
        <w:rPr>
          <w:rFonts w:asciiTheme="majorHAnsi" w:hAnsiTheme="majorHAnsi" w:cstheme="minorHAnsi"/>
          <w:color w:val="000000"/>
          <w:sz w:val="24"/>
          <w:szCs w:val="24"/>
          <w:shd w:val="clear" w:color="auto" w:fill="FFFFFF"/>
        </w:rPr>
        <w:t>, importanței domeniului</w:t>
      </w:r>
      <w:r w:rsidRPr="00381DA2">
        <w:rPr>
          <w:rFonts w:asciiTheme="majorHAnsi" w:hAnsiTheme="majorHAnsi" w:cstheme="minorHAnsi"/>
          <w:color w:val="000000"/>
          <w:sz w:val="24"/>
          <w:szCs w:val="24"/>
          <w:shd w:val="clear" w:color="auto" w:fill="FFFFFF"/>
        </w:rPr>
        <w:t xml:space="preserve"> și așteptăril</w:t>
      </w:r>
      <w:r>
        <w:rPr>
          <w:rFonts w:asciiTheme="majorHAnsi" w:hAnsiTheme="majorHAnsi" w:cstheme="minorHAnsi"/>
          <w:color w:val="000000"/>
          <w:sz w:val="24"/>
          <w:szCs w:val="24"/>
          <w:shd w:val="clear" w:color="auto" w:fill="FFFFFF"/>
        </w:rPr>
        <w:t>or</w:t>
      </w:r>
      <w:r w:rsidRPr="00381DA2">
        <w:rPr>
          <w:rFonts w:asciiTheme="majorHAnsi" w:hAnsiTheme="majorHAnsi" w:cstheme="minorHAnsi"/>
          <w:color w:val="000000"/>
          <w:sz w:val="24"/>
          <w:szCs w:val="24"/>
          <w:shd w:val="clear" w:color="auto" w:fill="FFFFFF"/>
        </w:rPr>
        <w:t>/interesul</w:t>
      </w:r>
      <w:r>
        <w:rPr>
          <w:rFonts w:asciiTheme="majorHAnsi" w:hAnsiTheme="majorHAnsi" w:cstheme="minorHAnsi"/>
          <w:color w:val="000000"/>
          <w:sz w:val="24"/>
          <w:szCs w:val="24"/>
          <w:shd w:val="clear" w:color="auto" w:fill="FFFFFF"/>
        </w:rPr>
        <w:t>ui</w:t>
      </w:r>
      <w:r w:rsidRPr="00381DA2">
        <w:rPr>
          <w:rFonts w:asciiTheme="majorHAnsi" w:hAnsiTheme="majorHAnsi" w:cstheme="minorHAnsi"/>
          <w:color w:val="000000"/>
          <w:sz w:val="24"/>
          <w:szCs w:val="24"/>
          <w:shd w:val="clear" w:color="auto" w:fill="FFFFFF"/>
        </w:rPr>
        <w:t xml:space="preserve"> publicului față de acesta;</w:t>
      </w:r>
    </w:p>
    <w:p w14:paraId="420E6BD7" w14:textId="77777777" w:rsidR="003C54DC" w:rsidRPr="00381DA2" w:rsidRDefault="003C54DC" w:rsidP="003C54DC">
      <w:pPr>
        <w:numPr>
          <w:ilvl w:val="0"/>
          <w:numId w:val="5"/>
        </w:numPr>
        <w:tabs>
          <w:tab w:val="left" w:pos="426"/>
        </w:tabs>
        <w:spacing w:after="0" w:line="276" w:lineRule="auto"/>
        <w:ind w:left="0" w:firstLine="288"/>
        <w:jc w:val="both"/>
        <w:rPr>
          <w:rFonts w:asciiTheme="majorHAnsi" w:hAnsiTheme="majorHAnsi" w:cstheme="minorHAnsi"/>
          <w:color w:val="000000"/>
          <w:sz w:val="24"/>
          <w:szCs w:val="24"/>
          <w:shd w:val="clear" w:color="auto" w:fill="FFFFFF"/>
        </w:rPr>
      </w:pPr>
      <w:r w:rsidRPr="00381DA2">
        <w:rPr>
          <w:rFonts w:asciiTheme="majorHAnsi" w:hAnsiTheme="majorHAnsi" w:cstheme="minorHAnsi"/>
          <w:color w:val="000000"/>
          <w:sz w:val="24"/>
          <w:szCs w:val="24"/>
          <w:shd w:val="clear" w:color="auto" w:fill="FFFFFF"/>
        </w:rPr>
        <w:t>regularit</w:t>
      </w:r>
      <w:r>
        <w:rPr>
          <w:rFonts w:asciiTheme="majorHAnsi" w:hAnsiTheme="majorHAnsi" w:cstheme="minorHAnsi"/>
          <w:color w:val="000000"/>
          <w:sz w:val="24"/>
          <w:szCs w:val="24"/>
          <w:shd w:val="clear" w:color="auto" w:fill="FFFFFF"/>
        </w:rPr>
        <w:t>ății</w:t>
      </w:r>
      <w:r w:rsidRPr="00381DA2">
        <w:rPr>
          <w:rFonts w:asciiTheme="majorHAnsi" w:hAnsiTheme="majorHAnsi" w:cstheme="minorHAnsi"/>
          <w:color w:val="000000"/>
          <w:sz w:val="24"/>
          <w:szCs w:val="24"/>
          <w:shd w:val="clear" w:color="auto" w:fill="FFFFFF"/>
        </w:rPr>
        <w:t xml:space="preserve"> procesul</w:t>
      </w:r>
      <w:r>
        <w:rPr>
          <w:rFonts w:asciiTheme="majorHAnsi" w:hAnsiTheme="majorHAnsi" w:cstheme="minorHAnsi"/>
          <w:color w:val="000000"/>
          <w:sz w:val="24"/>
          <w:szCs w:val="24"/>
          <w:shd w:val="clear" w:color="auto" w:fill="FFFFFF"/>
        </w:rPr>
        <w:t>ui</w:t>
      </w:r>
      <w:r w:rsidRPr="00381DA2">
        <w:rPr>
          <w:rFonts w:asciiTheme="majorHAnsi" w:hAnsiTheme="majorHAnsi" w:cstheme="minorHAnsi"/>
          <w:color w:val="000000"/>
          <w:sz w:val="24"/>
          <w:szCs w:val="24"/>
          <w:shd w:val="clear" w:color="auto" w:fill="FFFFFF"/>
        </w:rPr>
        <w:t xml:space="preserve"> de remunerare </w:t>
      </w:r>
      <w:r>
        <w:rPr>
          <w:rFonts w:asciiTheme="majorHAnsi" w:hAnsiTheme="majorHAnsi" w:cstheme="minorHAnsi"/>
          <w:color w:val="000000"/>
          <w:sz w:val="24"/>
          <w:szCs w:val="24"/>
          <w:shd w:val="clear" w:color="auto" w:fill="FFFFFF"/>
        </w:rPr>
        <w:t>a avocaților, în speță, prin</w:t>
      </w:r>
      <w:r w:rsidRPr="00381DA2">
        <w:rPr>
          <w:rFonts w:asciiTheme="majorHAnsi" w:hAnsiTheme="majorHAnsi" w:cstheme="minorHAnsi"/>
          <w:color w:val="000000"/>
          <w:sz w:val="24"/>
          <w:szCs w:val="24"/>
          <w:shd w:val="clear" w:color="auto" w:fill="FFFFFF"/>
        </w:rPr>
        <w:t xml:space="preserve"> confirmarea documentară </w:t>
      </w:r>
      <w:r>
        <w:rPr>
          <w:rFonts w:asciiTheme="majorHAnsi" w:hAnsiTheme="majorHAnsi" w:cstheme="minorHAnsi"/>
          <w:color w:val="000000"/>
          <w:sz w:val="24"/>
          <w:szCs w:val="24"/>
          <w:shd w:val="clear" w:color="auto" w:fill="FFFFFF"/>
        </w:rPr>
        <w:t xml:space="preserve">a </w:t>
      </w:r>
      <w:r w:rsidRPr="00381DA2">
        <w:rPr>
          <w:rFonts w:asciiTheme="majorHAnsi" w:hAnsiTheme="majorHAnsi" w:cstheme="minorHAnsi"/>
          <w:color w:val="000000"/>
          <w:sz w:val="24"/>
          <w:szCs w:val="24"/>
          <w:shd w:val="clear" w:color="auto" w:fill="FFFFFF"/>
        </w:rPr>
        <w:t>acțiunilor raportate de avocați;</w:t>
      </w:r>
    </w:p>
    <w:p w14:paraId="3E4BFA29" w14:textId="77777777" w:rsidR="003C54DC" w:rsidRPr="003C54DC" w:rsidRDefault="003C54DC" w:rsidP="00731A58">
      <w:pPr>
        <w:numPr>
          <w:ilvl w:val="0"/>
          <w:numId w:val="5"/>
        </w:numPr>
        <w:tabs>
          <w:tab w:val="left" w:pos="426"/>
        </w:tabs>
        <w:spacing w:after="0" w:line="276" w:lineRule="auto"/>
        <w:ind w:left="0" w:firstLine="284"/>
        <w:contextualSpacing/>
        <w:jc w:val="both"/>
        <w:rPr>
          <w:rFonts w:asciiTheme="majorHAnsi" w:hAnsiTheme="majorHAnsi" w:cstheme="minorHAnsi"/>
          <w:color w:val="000000"/>
          <w:sz w:val="24"/>
          <w:szCs w:val="24"/>
          <w:shd w:val="clear" w:color="auto" w:fill="FFFFFF"/>
        </w:rPr>
      </w:pPr>
      <w:r w:rsidRPr="003C54DC">
        <w:rPr>
          <w:rFonts w:asciiTheme="majorHAnsi" w:eastAsia="Calibri" w:hAnsiTheme="majorHAnsi" w:cstheme="minorHAnsi"/>
          <w:sz w:val="24"/>
        </w:rPr>
        <w:t xml:space="preserve">analizei funcționalității mecanismului de </w:t>
      </w:r>
      <w:r w:rsidRPr="003C54DC">
        <w:rPr>
          <w:rFonts w:asciiTheme="majorHAnsi" w:hAnsiTheme="majorHAnsi" w:cstheme="minorHAnsi"/>
          <w:color w:val="000000"/>
          <w:sz w:val="24"/>
          <w:szCs w:val="24"/>
          <w:shd w:val="clear" w:color="auto" w:fill="FFFFFF"/>
        </w:rPr>
        <w:t>monitorizare a calității asistenței juridice  garantate de stat acordate de către avocați, precum și a mecanismului de recuperare a cheltuielilor de AJGS;</w:t>
      </w:r>
    </w:p>
    <w:p w14:paraId="03C8D5AF" w14:textId="77777777" w:rsidR="003C54DC" w:rsidRPr="00381DA2" w:rsidRDefault="003C54DC" w:rsidP="003C54DC">
      <w:pPr>
        <w:numPr>
          <w:ilvl w:val="0"/>
          <w:numId w:val="5"/>
        </w:numPr>
        <w:tabs>
          <w:tab w:val="left" w:pos="426"/>
        </w:tabs>
        <w:spacing w:after="120" w:line="276" w:lineRule="auto"/>
        <w:ind w:left="0" w:firstLine="288"/>
        <w:jc w:val="both"/>
        <w:rPr>
          <w:rFonts w:asciiTheme="majorHAnsi" w:hAnsiTheme="majorHAnsi" w:cstheme="minorHAnsi"/>
          <w:color w:val="000000"/>
          <w:sz w:val="24"/>
          <w:szCs w:val="24"/>
          <w:shd w:val="clear" w:color="auto" w:fill="FFFFFF"/>
        </w:rPr>
      </w:pPr>
      <w:r w:rsidRPr="00381DA2">
        <w:rPr>
          <w:rFonts w:asciiTheme="majorHAnsi" w:eastAsia="Calibri" w:hAnsiTheme="majorHAnsi" w:cstheme="minorHAnsi"/>
          <w:sz w:val="24"/>
        </w:rPr>
        <w:t>analiz</w:t>
      </w:r>
      <w:r>
        <w:rPr>
          <w:rFonts w:asciiTheme="majorHAnsi" w:eastAsia="Calibri" w:hAnsiTheme="majorHAnsi" w:cstheme="minorHAnsi"/>
          <w:sz w:val="24"/>
        </w:rPr>
        <w:t>ei</w:t>
      </w:r>
      <w:r w:rsidRPr="00381DA2">
        <w:rPr>
          <w:rFonts w:asciiTheme="majorHAnsi" w:eastAsia="Calibri" w:hAnsiTheme="majorHAnsi" w:cstheme="minorHAnsi"/>
          <w:sz w:val="24"/>
        </w:rPr>
        <w:t xml:space="preserve"> organizării instituționale a CNAJGS și </w:t>
      </w:r>
      <w:r>
        <w:rPr>
          <w:rFonts w:asciiTheme="majorHAnsi" w:eastAsia="Calibri" w:hAnsiTheme="majorHAnsi" w:cstheme="minorHAnsi"/>
          <w:sz w:val="24"/>
        </w:rPr>
        <w:t xml:space="preserve">a </w:t>
      </w:r>
      <w:r w:rsidRPr="00381DA2">
        <w:rPr>
          <w:rFonts w:asciiTheme="majorHAnsi" w:eastAsia="Calibri" w:hAnsiTheme="majorHAnsi" w:cstheme="minorHAnsi"/>
          <w:sz w:val="24"/>
        </w:rPr>
        <w:t>OT</w:t>
      </w:r>
      <w:r>
        <w:rPr>
          <w:rFonts w:asciiTheme="majorHAnsi" w:eastAsia="Calibri" w:hAnsiTheme="majorHAnsi" w:cstheme="minorHAnsi"/>
          <w:sz w:val="24"/>
        </w:rPr>
        <w:t>,</w:t>
      </w:r>
      <w:r w:rsidRPr="00381DA2">
        <w:rPr>
          <w:rFonts w:asciiTheme="majorHAnsi" w:eastAsia="Calibri" w:hAnsiTheme="majorHAnsi" w:cstheme="minorHAnsi"/>
          <w:sz w:val="24"/>
        </w:rPr>
        <w:t xml:space="preserve"> precum și </w:t>
      </w:r>
      <w:r>
        <w:rPr>
          <w:rFonts w:asciiTheme="majorHAnsi" w:eastAsia="Calibri" w:hAnsiTheme="majorHAnsi" w:cstheme="minorHAnsi"/>
          <w:sz w:val="24"/>
        </w:rPr>
        <w:t xml:space="preserve">a </w:t>
      </w:r>
      <w:r w:rsidRPr="00381DA2">
        <w:rPr>
          <w:rFonts w:asciiTheme="majorHAnsi" w:eastAsia="Calibri" w:hAnsiTheme="majorHAnsi" w:cstheme="minorHAnsi"/>
          <w:sz w:val="24"/>
        </w:rPr>
        <w:t>aplic</w:t>
      </w:r>
      <w:r>
        <w:rPr>
          <w:rFonts w:asciiTheme="majorHAnsi" w:eastAsia="Calibri" w:hAnsiTheme="majorHAnsi" w:cstheme="minorHAnsi"/>
          <w:sz w:val="24"/>
        </w:rPr>
        <w:t>ării</w:t>
      </w:r>
      <w:r w:rsidRPr="00381DA2">
        <w:rPr>
          <w:rFonts w:asciiTheme="majorHAnsi" w:eastAsia="Calibri" w:hAnsiTheme="majorHAnsi" w:cstheme="minorHAnsi"/>
          <w:sz w:val="24"/>
        </w:rPr>
        <w:t xml:space="preserve"> de către acestea a principiilor bunei guvernări în cadrul administrării sistemului de AJGS.</w:t>
      </w:r>
    </w:p>
    <w:p w14:paraId="4ABA456F" w14:textId="77777777" w:rsidR="003C54DC" w:rsidRPr="00381DA2" w:rsidRDefault="003C54DC" w:rsidP="003C54DC">
      <w:pPr>
        <w:spacing w:after="120" w:line="276" w:lineRule="auto"/>
        <w:jc w:val="both"/>
        <w:rPr>
          <w:rFonts w:asciiTheme="majorHAnsi" w:hAnsiTheme="majorHAnsi" w:cstheme="minorHAnsi"/>
          <w:color w:val="000000"/>
          <w:sz w:val="24"/>
          <w:szCs w:val="24"/>
          <w:shd w:val="clear" w:color="auto" w:fill="FFFFFF"/>
        </w:rPr>
      </w:pPr>
      <w:r w:rsidRPr="00381DA2">
        <w:rPr>
          <w:rFonts w:asciiTheme="majorHAnsi" w:hAnsiTheme="majorHAnsi" w:cstheme="minorHAnsi"/>
          <w:color w:val="000000"/>
          <w:sz w:val="24"/>
          <w:szCs w:val="24"/>
          <w:shd w:val="clear" w:color="auto" w:fill="FFFFFF"/>
        </w:rPr>
        <w:lastRenderedPageBreak/>
        <w:t xml:space="preserve">Verificările auditului au vizat doar acele aspecte care au asigurat acumularea probelor necesare și suficiente pentru a răspunde la obiectivele specifice. </w:t>
      </w:r>
    </w:p>
    <w:p w14:paraId="67068944" w14:textId="25C7D774" w:rsidR="003C54DC" w:rsidRPr="00381DA2" w:rsidRDefault="003C54DC" w:rsidP="003C54DC">
      <w:pPr>
        <w:spacing w:line="276" w:lineRule="auto"/>
        <w:jc w:val="both"/>
        <w:rPr>
          <w:rFonts w:asciiTheme="majorHAnsi" w:hAnsiTheme="majorHAnsi" w:cstheme="minorHAnsi"/>
        </w:rPr>
      </w:pPr>
      <w:r w:rsidRPr="00381DA2">
        <w:rPr>
          <w:rFonts w:asciiTheme="majorHAnsi" w:hAnsiTheme="majorHAnsi" w:cstheme="minorHAnsi"/>
          <w:color w:val="000000"/>
          <w:sz w:val="24"/>
          <w:szCs w:val="24"/>
          <w:shd w:val="clear" w:color="auto" w:fill="FFFFFF"/>
        </w:rPr>
        <w:t>Drept surse ale criteriilor de audit s-au utilizat actele normative care reglementează sistemul de acordare a AJG</w:t>
      </w:r>
      <w:r w:rsidR="00334202">
        <w:rPr>
          <w:rFonts w:asciiTheme="majorHAnsi" w:hAnsiTheme="majorHAnsi" w:cstheme="minorHAnsi"/>
          <w:color w:val="000000"/>
          <w:sz w:val="24"/>
          <w:szCs w:val="24"/>
          <w:shd w:val="clear" w:color="auto" w:fill="FFFFFF"/>
        </w:rPr>
        <w:t>S, în special, Legea nr. 198</w:t>
      </w:r>
      <w:r w:rsidRPr="00381DA2">
        <w:rPr>
          <w:rFonts w:asciiTheme="majorHAnsi" w:hAnsiTheme="majorHAnsi" w:cstheme="minorHAnsi"/>
          <w:color w:val="000000"/>
          <w:sz w:val="24"/>
          <w:szCs w:val="24"/>
          <w:shd w:val="clear" w:color="auto" w:fill="FFFFFF"/>
        </w:rPr>
        <w:t xml:space="preserve"> din 26.07.2007 cu privire la asistența juridică garantată de stat, unele prevederi ale legilor organice, Legea nr.229 din 23.09.2010 privind controlul financiar public intern, normele interne ale MJ și CNAJGS, precum și </w:t>
      </w:r>
      <w:r w:rsidRPr="00381DA2">
        <w:rPr>
          <w:rFonts w:asciiTheme="majorHAnsi" w:eastAsia="Calibri" w:hAnsiTheme="majorHAnsi" w:cstheme="minorHAnsi"/>
          <w:sz w:val="24"/>
          <w:szCs w:val="24"/>
        </w:rPr>
        <w:t>politicile asumate de Guvern</w:t>
      </w:r>
      <w:r w:rsidRPr="00381DA2">
        <w:rPr>
          <w:rFonts w:asciiTheme="majorHAnsi" w:hAnsiTheme="majorHAnsi" w:cstheme="minorHAnsi"/>
          <w:color w:val="000000"/>
          <w:sz w:val="24"/>
          <w:szCs w:val="24"/>
          <w:shd w:val="clear" w:color="auto" w:fill="FFFFFF"/>
        </w:rPr>
        <w:t>. Informați</w:t>
      </w:r>
      <w:r>
        <w:rPr>
          <w:rFonts w:asciiTheme="majorHAnsi" w:hAnsiTheme="majorHAnsi" w:cstheme="minorHAnsi"/>
          <w:color w:val="000000"/>
          <w:sz w:val="24"/>
          <w:szCs w:val="24"/>
          <w:shd w:val="clear" w:color="auto" w:fill="FFFFFF"/>
        </w:rPr>
        <w:t>i</w:t>
      </w:r>
      <w:r w:rsidRPr="00381DA2">
        <w:rPr>
          <w:rFonts w:asciiTheme="majorHAnsi" w:hAnsiTheme="majorHAnsi" w:cstheme="minorHAnsi"/>
          <w:color w:val="000000"/>
          <w:sz w:val="24"/>
          <w:szCs w:val="24"/>
          <w:shd w:val="clear" w:color="auto" w:fill="FFFFFF"/>
        </w:rPr>
        <w:t xml:space="preserve"> integral</w:t>
      </w:r>
      <w:r>
        <w:rPr>
          <w:rFonts w:asciiTheme="majorHAnsi" w:hAnsiTheme="majorHAnsi" w:cstheme="minorHAnsi"/>
          <w:color w:val="000000"/>
          <w:sz w:val="24"/>
          <w:szCs w:val="24"/>
          <w:shd w:val="clear" w:color="auto" w:fill="FFFFFF"/>
        </w:rPr>
        <w:t>e</w:t>
      </w:r>
      <w:r w:rsidRPr="00381DA2">
        <w:rPr>
          <w:rFonts w:asciiTheme="majorHAnsi" w:hAnsiTheme="majorHAnsi" w:cstheme="minorHAnsi"/>
          <w:color w:val="000000"/>
          <w:sz w:val="24"/>
          <w:szCs w:val="24"/>
          <w:shd w:val="clear" w:color="auto" w:fill="FFFFFF"/>
        </w:rPr>
        <w:t xml:space="preserve"> privind aria de cuprindere a auditului și criteriile de evaluare a conformității acestui proces </w:t>
      </w:r>
      <w:r>
        <w:rPr>
          <w:rFonts w:asciiTheme="majorHAnsi" w:hAnsiTheme="majorHAnsi" w:cstheme="minorHAnsi"/>
          <w:color w:val="000000"/>
          <w:sz w:val="24"/>
          <w:szCs w:val="24"/>
          <w:shd w:val="clear" w:color="auto" w:fill="FFFFFF"/>
        </w:rPr>
        <w:t>sunt</w:t>
      </w:r>
      <w:r w:rsidRPr="00381DA2">
        <w:rPr>
          <w:rFonts w:asciiTheme="majorHAnsi" w:hAnsiTheme="majorHAnsi" w:cstheme="minorHAnsi"/>
          <w:color w:val="000000"/>
          <w:sz w:val="24"/>
          <w:szCs w:val="24"/>
          <w:shd w:val="clear" w:color="auto" w:fill="FFFFFF"/>
        </w:rPr>
        <w:t xml:space="preserve"> prezentat</w:t>
      </w:r>
      <w:r>
        <w:rPr>
          <w:rFonts w:asciiTheme="majorHAnsi" w:hAnsiTheme="majorHAnsi" w:cstheme="minorHAnsi"/>
          <w:color w:val="000000"/>
          <w:sz w:val="24"/>
          <w:szCs w:val="24"/>
          <w:shd w:val="clear" w:color="auto" w:fill="FFFFFF"/>
        </w:rPr>
        <w:t>e</w:t>
      </w:r>
      <w:r w:rsidRPr="00381DA2">
        <w:rPr>
          <w:rFonts w:asciiTheme="majorHAnsi" w:hAnsiTheme="majorHAnsi" w:cstheme="minorHAnsi"/>
          <w:color w:val="000000"/>
          <w:sz w:val="24"/>
          <w:szCs w:val="24"/>
          <w:shd w:val="clear" w:color="auto" w:fill="FFFFFF"/>
        </w:rPr>
        <w:t xml:space="preserve"> în Anexa nr. </w:t>
      </w:r>
      <w:r w:rsidR="006B2FB5">
        <w:rPr>
          <w:rFonts w:asciiTheme="majorHAnsi" w:hAnsiTheme="majorHAnsi" w:cstheme="minorHAnsi"/>
          <w:color w:val="000000"/>
          <w:sz w:val="24"/>
          <w:szCs w:val="24"/>
          <w:shd w:val="clear" w:color="auto" w:fill="FFFFFF"/>
        </w:rPr>
        <w:t>3</w:t>
      </w:r>
      <w:r w:rsidRPr="00381DA2">
        <w:rPr>
          <w:rFonts w:asciiTheme="majorHAnsi" w:hAnsiTheme="majorHAnsi" w:cstheme="minorHAnsi"/>
          <w:color w:val="000000"/>
          <w:sz w:val="24"/>
          <w:szCs w:val="24"/>
          <w:shd w:val="clear" w:color="auto" w:fill="FFFFFF"/>
        </w:rPr>
        <w:t xml:space="preserve"> la prezentul </w:t>
      </w:r>
      <w:r>
        <w:rPr>
          <w:rFonts w:asciiTheme="majorHAnsi" w:hAnsiTheme="majorHAnsi" w:cstheme="minorHAnsi"/>
          <w:color w:val="000000"/>
          <w:sz w:val="24"/>
          <w:szCs w:val="24"/>
          <w:shd w:val="clear" w:color="auto" w:fill="FFFFFF"/>
        </w:rPr>
        <w:t>R</w:t>
      </w:r>
      <w:r w:rsidRPr="00381DA2">
        <w:rPr>
          <w:rFonts w:asciiTheme="majorHAnsi" w:hAnsiTheme="majorHAnsi" w:cstheme="minorHAnsi"/>
          <w:color w:val="000000"/>
          <w:sz w:val="24"/>
          <w:szCs w:val="24"/>
          <w:shd w:val="clear" w:color="auto" w:fill="FFFFFF"/>
        </w:rPr>
        <w:t>aport de audit.</w:t>
      </w:r>
    </w:p>
    <w:p w14:paraId="00CCDCA9" w14:textId="77777777" w:rsidR="00920F1F" w:rsidRPr="00381DA2" w:rsidRDefault="00920F1F" w:rsidP="003A66EF">
      <w:pPr>
        <w:pStyle w:val="Heading3"/>
        <w:spacing w:line="276" w:lineRule="auto"/>
        <w:rPr>
          <w:rFonts w:eastAsiaTheme="minorHAnsi" w:cstheme="minorHAnsi"/>
          <w:b/>
          <w:color w:val="2E74B5" w:themeColor="accent1" w:themeShade="BF"/>
          <w:shd w:val="clear" w:color="auto" w:fill="FFFFFF"/>
          <w:lang w:val="en-US"/>
        </w:rPr>
      </w:pPr>
      <w:bookmarkStart w:id="19" w:name="_Toc128640806"/>
      <w:r w:rsidRPr="00381DA2">
        <w:rPr>
          <w:rFonts w:eastAsiaTheme="minorHAnsi" w:cstheme="minorHAnsi"/>
          <w:b/>
          <w:color w:val="2E74B5" w:themeColor="accent1" w:themeShade="BF"/>
          <w:shd w:val="clear" w:color="auto" w:fill="FFFFFF"/>
        </w:rPr>
        <w:t>3.3. Responsabilitatea echipei de audit</w:t>
      </w:r>
      <w:bookmarkEnd w:id="19"/>
    </w:p>
    <w:p w14:paraId="4E39E289" w14:textId="77777777" w:rsidR="00CC7136" w:rsidRPr="003C54DC" w:rsidRDefault="00920F1F" w:rsidP="003A66EF">
      <w:pPr>
        <w:spacing w:line="276" w:lineRule="auto"/>
        <w:jc w:val="both"/>
        <w:rPr>
          <w:rFonts w:asciiTheme="majorHAnsi" w:eastAsia="Times New Roman" w:hAnsiTheme="majorHAnsi" w:cstheme="minorHAnsi"/>
          <w:sz w:val="24"/>
          <w:szCs w:val="24"/>
        </w:rPr>
      </w:pPr>
      <w:r w:rsidRPr="003C54DC">
        <w:rPr>
          <w:rFonts w:asciiTheme="majorHAnsi" w:hAnsiTheme="majorHAnsi" w:cstheme="minorHAnsi"/>
          <w:color w:val="000000"/>
          <w:sz w:val="24"/>
          <w:szCs w:val="24"/>
          <w:shd w:val="clear" w:color="auto" w:fill="FFFFFF"/>
        </w:rPr>
        <w:t xml:space="preserve">Responsabilitatea auditorului public este de a planifica și a realiza misiunea de audit în conformitate cu standardele în materie de audit public extern și cadrul normativ-metodologic instituțional aferent, cu obținerea probelor suficiente și adecvate, exprimarea unei concluzii concepute asupra </w:t>
      </w:r>
      <w:r w:rsidR="00D47076" w:rsidRPr="003C54DC">
        <w:rPr>
          <w:rFonts w:asciiTheme="majorHAnsi" w:hAnsiTheme="majorHAnsi" w:cstheme="minorHAnsi"/>
          <w:color w:val="000000"/>
          <w:sz w:val="24"/>
          <w:szCs w:val="24"/>
          <w:shd w:val="clear" w:color="auto" w:fill="FFFFFF"/>
        </w:rPr>
        <w:t xml:space="preserve">conformității organizării și funcționării sistemului de </w:t>
      </w:r>
      <w:r w:rsidR="00375865" w:rsidRPr="003C54DC">
        <w:rPr>
          <w:rFonts w:asciiTheme="majorHAnsi" w:hAnsiTheme="majorHAnsi" w:cstheme="minorHAnsi"/>
          <w:color w:val="000000"/>
          <w:sz w:val="24"/>
          <w:szCs w:val="24"/>
          <w:shd w:val="clear" w:color="auto" w:fill="FFFFFF"/>
        </w:rPr>
        <w:t>acordare a</w:t>
      </w:r>
      <w:r w:rsidR="006D50B5" w:rsidRPr="003C54DC">
        <w:rPr>
          <w:rFonts w:asciiTheme="majorHAnsi" w:hAnsiTheme="majorHAnsi" w:cstheme="minorHAnsi"/>
          <w:color w:val="000000"/>
          <w:sz w:val="24"/>
          <w:szCs w:val="24"/>
          <w:shd w:val="clear" w:color="auto" w:fill="FFFFFF"/>
        </w:rPr>
        <w:t xml:space="preserve"> asistenței juridice de stat</w:t>
      </w:r>
      <w:r w:rsidR="008D1C20" w:rsidRPr="003C54DC">
        <w:rPr>
          <w:rFonts w:asciiTheme="majorHAnsi" w:hAnsiTheme="majorHAnsi" w:cstheme="minorHAnsi"/>
          <w:color w:val="000000"/>
          <w:sz w:val="24"/>
          <w:szCs w:val="24"/>
          <w:shd w:val="clear" w:color="auto" w:fill="FFFFFF"/>
        </w:rPr>
        <w:t>.</w:t>
      </w:r>
      <w:r w:rsidRPr="003C54DC">
        <w:rPr>
          <w:rFonts w:asciiTheme="majorHAnsi" w:hAnsiTheme="majorHAnsi" w:cstheme="minorHAnsi"/>
          <w:color w:val="000000"/>
          <w:sz w:val="24"/>
          <w:szCs w:val="24"/>
          <w:shd w:val="clear" w:color="auto" w:fill="FFFFFF"/>
        </w:rPr>
        <w:t xml:space="preserve"> Auditorul public nu este responsabil de prevenir</w:t>
      </w:r>
      <w:r w:rsidR="00CC7136" w:rsidRPr="003C54DC">
        <w:rPr>
          <w:rFonts w:asciiTheme="majorHAnsi" w:hAnsiTheme="majorHAnsi" w:cstheme="minorHAnsi"/>
          <w:color w:val="000000"/>
          <w:sz w:val="24"/>
          <w:szCs w:val="24"/>
          <w:shd w:val="clear" w:color="auto" w:fill="FFFFFF"/>
        </w:rPr>
        <w:t>ea faptelor de fraudă și eroare</w:t>
      </w:r>
      <w:r w:rsidR="008D1C20" w:rsidRPr="003C54DC">
        <w:rPr>
          <w:rFonts w:asciiTheme="majorHAnsi" w:hAnsiTheme="majorHAnsi" w:cstheme="minorHAnsi"/>
          <w:color w:val="000000"/>
          <w:sz w:val="24"/>
          <w:szCs w:val="24"/>
          <w:shd w:val="clear" w:color="auto" w:fill="FFFFFF"/>
        </w:rPr>
        <w:t>,</w:t>
      </w:r>
      <w:r w:rsidR="00CC7136" w:rsidRPr="003C54DC">
        <w:rPr>
          <w:rFonts w:asciiTheme="majorHAnsi" w:hAnsiTheme="majorHAnsi" w:cstheme="minorHAnsi"/>
          <w:sz w:val="24"/>
          <w:szCs w:val="24"/>
        </w:rPr>
        <w:t xml:space="preserve"> a fost independent față de entitate</w:t>
      </w:r>
      <w:r w:rsidR="00820519" w:rsidRPr="003C54DC">
        <w:rPr>
          <w:rFonts w:asciiTheme="majorHAnsi" w:hAnsiTheme="majorHAnsi" w:cstheme="minorHAnsi"/>
          <w:sz w:val="24"/>
          <w:szCs w:val="24"/>
        </w:rPr>
        <w:t>,</w:t>
      </w:r>
      <w:r w:rsidR="00CC7136" w:rsidRPr="003C54DC">
        <w:rPr>
          <w:rFonts w:asciiTheme="majorHAnsi" w:hAnsiTheme="majorHAnsi" w:cstheme="minorHAnsi"/>
          <w:sz w:val="24"/>
          <w:szCs w:val="24"/>
        </w:rPr>
        <w:t xml:space="preserve"> </w:t>
      </w:r>
      <w:r w:rsidR="008D1C20" w:rsidRPr="003C54DC">
        <w:rPr>
          <w:rFonts w:asciiTheme="majorHAnsi" w:hAnsiTheme="majorHAnsi" w:cstheme="minorHAnsi"/>
          <w:sz w:val="24"/>
          <w:szCs w:val="24"/>
        </w:rPr>
        <w:t xml:space="preserve">precum </w:t>
      </w:r>
      <w:r w:rsidR="00CC7136" w:rsidRPr="003C54DC">
        <w:rPr>
          <w:rFonts w:asciiTheme="majorHAnsi" w:hAnsiTheme="majorHAnsi" w:cstheme="minorHAnsi"/>
          <w:sz w:val="24"/>
          <w:szCs w:val="24"/>
        </w:rPr>
        <w:t xml:space="preserve">și a îndeplinit responsabilitățile de etică în conformitate cu </w:t>
      </w:r>
      <w:r w:rsidR="00CC7136" w:rsidRPr="003C54DC">
        <w:rPr>
          <w:rFonts w:asciiTheme="majorHAnsi" w:eastAsia="Times New Roman" w:hAnsiTheme="majorHAnsi" w:cstheme="minorHAnsi"/>
          <w:sz w:val="24"/>
          <w:szCs w:val="24"/>
        </w:rPr>
        <w:t>cerințele Codului etic al Curții de Conturi</w:t>
      </w:r>
      <w:r w:rsidR="00CC7136" w:rsidRPr="003C54DC">
        <w:rPr>
          <w:rStyle w:val="FootnoteReference"/>
          <w:rFonts w:asciiTheme="majorHAnsi" w:eastAsia="Times New Roman" w:hAnsiTheme="majorHAnsi" w:cstheme="minorHAnsi"/>
          <w:sz w:val="24"/>
          <w:szCs w:val="24"/>
        </w:rPr>
        <w:footnoteReference w:id="6"/>
      </w:r>
      <w:r w:rsidR="00CC7136" w:rsidRPr="003C54DC">
        <w:rPr>
          <w:rFonts w:asciiTheme="majorHAnsi" w:eastAsia="Times New Roman" w:hAnsiTheme="majorHAnsi" w:cstheme="minorHAnsi"/>
          <w:sz w:val="24"/>
          <w:szCs w:val="24"/>
        </w:rPr>
        <w:t>.</w:t>
      </w:r>
    </w:p>
    <w:p w14:paraId="1DB482E1" w14:textId="77777777" w:rsidR="00EA6D3E" w:rsidRPr="00381DA2" w:rsidRDefault="00EA6D3E" w:rsidP="003A66EF">
      <w:pPr>
        <w:pStyle w:val="Heading1"/>
        <w:numPr>
          <w:ilvl w:val="0"/>
          <w:numId w:val="1"/>
        </w:numPr>
        <w:spacing w:before="0" w:after="160" w:line="276" w:lineRule="auto"/>
        <w:ind w:left="360" w:hanging="360"/>
        <w:rPr>
          <w:rFonts w:eastAsiaTheme="minorHAnsi" w:cstheme="minorHAnsi"/>
          <w:b/>
          <w:color w:val="002060"/>
          <w:sz w:val="28"/>
          <w:szCs w:val="28"/>
          <w:shd w:val="clear" w:color="auto" w:fill="FFFFFF"/>
          <w:lang w:val="ro-MD"/>
        </w:rPr>
      </w:pPr>
      <w:bookmarkStart w:id="20" w:name="_Toc128640807"/>
      <w:r w:rsidRPr="00381DA2">
        <w:rPr>
          <w:rFonts w:eastAsiaTheme="minorHAnsi" w:cstheme="minorHAnsi"/>
          <w:b/>
          <w:color w:val="1F4E79" w:themeColor="accent1" w:themeShade="80"/>
          <w:sz w:val="28"/>
          <w:szCs w:val="28"/>
          <w:shd w:val="clear" w:color="auto" w:fill="FFFFFF"/>
          <w:lang w:val="ro-MD"/>
        </w:rPr>
        <w:t>CONSTATĂRI</w:t>
      </w:r>
      <w:bookmarkEnd w:id="20"/>
      <w:r w:rsidRPr="00381DA2">
        <w:rPr>
          <w:rFonts w:eastAsiaTheme="minorHAnsi" w:cstheme="minorHAnsi"/>
          <w:b/>
          <w:color w:val="1F4E79" w:themeColor="accent1" w:themeShade="80"/>
          <w:sz w:val="28"/>
          <w:szCs w:val="28"/>
          <w:shd w:val="clear" w:color="auto" w:fill="FFFFFF"/>
          <w:lang w:val="ro-MD"/>
        </w:rPr>
        <w:t xml:space="preserve"> </w:t>
      </w:r>
    </w:p>
    <w:p w14:paraId="310DC044" w14:textId="77777777" w:rsidR="00182AE5" w:rsidRPr="00F4307F" w:rsidRDefault="00621CB4" w:rsidP="003A66EF">
      <w:pPr>
        <w:pStyle w:val="Heading2"/>
        <w:spacing w:after="120" w:line="276" w:lineRule="auto"/>
        <w:jc w:val="both"/>
        <w:rPr>
          <w:rFonts w:cstheme="minorHAnsi"/>
          <w:b/>
          <w:color w:val="002060"/>
        </w:rPr>
      </w:pPr>
      <w:bookmarkStart w:id="21" w:name="_Toc128640808"/>
      <w:r w:rsidRPr="00F4307F">
        <w:rPr>
          <w:rFonts w:eastAsia="Times New Roman" w:cstheme="minorHAnsi"/>
          <w:b/>
          <w:color w:val="002060"/>
          <w:sz w:val="28"/>
          <w:szCs w:val="28"/>
        </w:rPr>
        <w:t xml:space="preserve">4.1. </w:t>
      </w:r>
      <w:r w:rsidR="00065423" w:rsidRPr="00F4307F">
        <w:rPr>
          <w:rFonts w:eastAsia="Times New Roman" w:cstheme="minorHAnsi"/>
          <w:b/>
          <w:color w:val="002060"/>
          <w:sz w:val="28"/>
          <w:szCs w:val="28"/>
        </w:rPr>
        <w:t xml:space="preserve">OBIECTIVUL </w:t>
      </w:r>
      <w:r w:rsidR="003D691C" w:rsidRPr="00F4307F">
        <w:rPr>
          <w:rFonts w:eastAsia="Times New Roman" w:cstheme="minorHAnsi"/>
          <w:b/>
          <w:color w:val="002060"/>
          <w:sz w:val="28"/>
          <w:szCs w:val="28"/>
        </w:rPr>
        <w:t>nr</w:t>
      </w:r>
      <w:r w:rsidR="00065423" w:rsidRPr="00F4307F">
        <w:rPr>
          <w:rFonts w:eastAsia="Times New Roman" w:cstheme="minorHAnsi"/>
          <w:b/>
          <w:color w:val="002060"/>
          <w:sz w:val="28"/>
          <w:szCs w:val="28"/>
        </w:rPr>
        <w:t>.1:</w:t>
      </w:r>
      <w:r w:rsidR="00FF2945" w:rsidRPr="00F4307F">
        <w:rPr>
          <w:rFonts w:eastAsia="Times New Roman" w:cstheme="minorHAnsi"/>
          <w:b/>
          <w:color w:val="002060"/>
          <w:sz w:val="28"/>
          <w:szCs w:val="28"/>
        </w:rPr>
        <w:t xml:space="preserve"> </w:t>
      </w:r>
      <w:r w:rsidR="00935F14">
        <w:rPr>
          <w:rFonts w:eastAsia="Times New Roman" w:cstheme="minorHAnsi"/>
          <w:b/>
          <w:color w:val="002060"/>
          <w:sz w:val="28"/>
          <w:szCs w:val="28"/>
        </w:rPr>
        <w:t>I</w:t>
      </w:r>
      <w:r w:rsidR="00FF2945" w:rsidRPr="00F4307F">
        <w:rPr>
          <w:rFonts w:eastAsia="Times New Roman" w:cstheme="minorHAnsi"/>
          <w:b/>
          <w:color w:val="002060"/>
          <w:sz w:val="28"/>
          <w:szCs w:val="28"/>
        </w:rPr>
        <w:t>nstrumentele</w:t>
      </w:r>
      <w:r w:rsidR="00935F14">
        <w:rPr>
          <w:rFonts w:eastAsia="Times New Roman" w:cstheme="minorHAnsi"/>
          <w:b/>
          <w:color w:val="002060"/>
          <w:sz w:val="28"/>
          <w:szCs w:val="28"/>
        </w:rPr>
        <w:t xml:space="preserve"> de reglementare </w:t>
      </w:r>
      <w:r w:rsidR="00FF2945" w:rsidRPr="00F4307F">
        <w:rPr>
          <w:rFonts w:eastAsia="Times New Roman" w:cstheme="minorHAnsi"/>
          <w:b/>
          <w:color w:val="002060"/>
          <w:sz w:val="28"/>
          <w:szCs w:val="28"/>
        </w:rPr>
        <w:t>asigură direcționarea asistenței</w:t>
      </w:r>
      <w:r w:rsidR="00935F14">
        <w:rPr>
          <w:rFonts w:eastAsia="Times New Roman" w:cstheme="minorHAnsi"/>
          <w:b/>
          <w:color w:val="002060"/>
          <w:sz w:val="28"/>
          <w:szCs w:val="28"/>
        </w:rPr>
        <w:t xml:space="preserve"> juridice</w:t>
      </w:r>
      <w:r w:rsidR="00FF2945" w:rsidRPr="00F4307F">
        <w:rPr>
          <w:rFonts w:eastAsia="Times New Roman" w:cstheme="minorHAnsi"/>
          <w:b/>
          <w:color w:val="002060"/>
          <w:sz w:val="28"/>
          <w:szCs w:val="28"/>
        </w:rPr>
        <w:t xml:space="preserve"> către beneficiarii eligibili?</w:t>
      </w:r>
      <w:bookmarkEnd w:id="21"/>
    </w:p>
    <w:p w14:paraId="7795B1F6" w14:textId="77777777" w:rsidR="003C54DC" w:rsidRDefault="003C54DC" w:rsidP="003C54DC">
      <w:pPr>
        <w:pBdr>
          <w:top w:val="single" w:sz="4" w:space="9" w:color="auto"/>
          <w:left w:val="single" w:sz="4" w:space="4" w:color="auto"/>
          <w:bottom w:val="single" w:sz="4" w:space="0" w:color="auto"/>
          <w:right w:val="single" w:sz="4" w:space="4" w:color="auto"/>
        </w:pBdr>
        <w:autoSpaceDE w:val="0"/>
        <w:autoSpaceDN w:val="0"/>
        <w:adjustRightInd w:val="0"/>
        <w:spacing w:after="8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Diversitatea și complexitatea prevederilor actelor normative </w:t>
      </w:r>
      <w:r>
        <w:rPr>
          <w:rFonts w:asciiTheme="majorHAnsi" w:hAnsiTheme="majorHAnsi" w:cstheme="minorHAnsi"/>
          <w:sz w:val="24"/>
          <w:szCs w:val="24"/>
        </w:rPr>
        <w:t>de reglementare a</w:t>
      </w:r>
      <w:r w:rsidRPr="00381DA2">
        <w:rPr>
          <w:rFonts w:asciiTheme="majorHAnsi" w:hAnsiTheme="majorHAnsi" w:cstheme="minorHAnsi"/>
          <w:sz w:val="24"/>
          <w:szCs w:val="24"/>
        </w:rPr>
        <w:t xml:space="preserve"> sistemul</w:t>
      </w:r>
      <w:r>
        <w:rPr>
          <w:rFonts w:asciiTheme="majorHAnsi" w:hAnsiTheme="majorHAnsi" w:cstheme="minorHAnsi"/>
          <w:sz w:val="24"/>
          <w:szCs w:val="24"/>
        </w:rPr>
        <w:t>ui de acordare a A</w:t>
      </w:r>
      <w:r w:rsidRPr="00381DA2">
        <w:rPr>
          <w:rFonts w:asciiTheme="majorHAnsi" w:hAnsiTheme="majorHAnsi" w:cstheme="minorHAnsi"/>
          <w:sz w:val="24"/>
          <w:szCs w:val="24"/>
        </w:rPr>
        <w:t>JGS,</w:t>
      </w:r>
      <w:r>
        <w:rPr>
          <w:rFonts w:asciiTheme="majorHAnsi" w:hAnsiTheme="majorHAnsi" w:cstheme="minorHAnsi"/>
          <w:sz w:val="24"/>
          <w:szCs w:val="24"/>
        </w:rPr>
        <w:t xml:space="preserve"> </w:t>
      </w:r>
      <w:r w:rsidRPr="00381DA2">
        <w:rPr>
          <w:rFonts w:asciiTheme="majorHAnsi" w:hAnsiTheme="majorHAnsi" w:cstheme="minorHAnsi"/>
          <w:sz w:val="24"/>
          <w:szCs w:val="24"/>
        </w:rPr>
        <w:t xml:space="preserve">care </w:t>
      </w:r>
      <w:r>
        <w:rPr>
          <w:rFonts w:asciiTheme="majorHAnsi" w:hAnsiTheme="majorHAnsi" w:cstheme="minorHAnsi"/>
          <w:sz w:val="24"/>
          <w:szCs w:val="24"/>
        </w:rPr>
        <w:t>pe alocuri</w:t>
      </w:r>
      <w:r w:rsidRPr="00381DA2">
        <w:rPr>
          <w:rFonts w:asciiTheme="majorHAnsi" w:hAnsiTheme="majorHAnsi" w:cstheme="minorHAnsi"/>
          <w:sz w:val="24"/>
          <w:szCs w:val="24"/>
        </w:rPr>
        <w:t xml:space="preserve"> </w:t>
      </w:r>
      <w:r>
        <w:rPr>
          <w:rFonts w:asciiTheme="majorHAnsi" w:hAnsiTheme="majorHAnsi" w:cstheme="minorHAnsi"/>
          <w:sz w:val="24"/>
          <w:szCs w:val="24"/>
        </w:rPr>
        <w:t xml:space="preserve">conțin viduri legislative, iar în alte cazuri </w:t>
      </w:r>
      <w:r w:rsidRPr="00381DA2">
        <w:rPr>
          <w:rFonts w:asciiTheme="majorHAnsi" w:hAnsiTheme="majorHAnsi" w:cstheme="minorHAnsi"/>
          <w:sz w:val="24"/>
          <w:szCs w:val="24"/>
        </w:rPr>
        <w:t xml:space="preserve">fac obiectul unor interpretări diferite, </w:t>
      </w:r>
      <w:r>
        <w:rPr>
          <w:rFonts w:asciiTheme="majorHAnsi" w:hAnsiTheme="majorHAnsi" w:cstheme="minorHAnsi"/>
          <w:sz w:val="24"/>
          <w:szCs w:val="24"/>
        </w:rPr>
        <w:t xml:space="preserve">creează premise pentru oferirea serviciilor juridice respective în condiții defectuoase, fapt ce a determinat </w:t>
      </w:r>
      <w:r w:rsidRPr="00375865">
        <w:rPr>
          <w:rFonts w:asciiTheme="majorHAnsi" w:hAnsiTheme="majorHAnsi" w:cstheme="minorHAnsi"/>
          <w:sz w:val="24"/>
          <w:szCs w:val="24"/>
        </w:rPr>
        <w:t>valorificarea irațională a</w:t>
      </w:r>
      <w:r>
        <w:rPr>
          <w:rFonts w:asciiTheme="majorHAnsi" w:hAnsiTheme="majorHAnsi" w:cstheme="minorHAnsi"/>
          <w:sz w:val="24"/>
          <w:szCs w:val="24"/>
        </w:rPr>
        <w:t xml:space="preserve"> mijloacelor bugetare, estimate de audit în valoare de 15,1 mil.lei.</w:t>
      </w:r>
    </w:p>
    <w:p w14:paraId="44D93296" w14:textId="75AFDDC6" w:rsidR="003C54DC" w:rsidRDefault="003C54DC" w:rsidP="003C54DC">
      <w:pPr>
        <w:pBdr>
          <w:top w:val="single" w:sz="4" w:space="9" w:color="auto"/>
          <w:left w:val="single" w:sz="4" w:space="4" w:color="auto"/>
          <w:bottom w:val="single" w:sz="4" w:space="0" w:color="auto"/>
          <w:right w:val="single" w:sz="4" w:space="4" w:color="auto"/>
        </w:pBdr>
        <w:autoSpaceDE w:val="0"/>
        <w:autoSpaceDN w:val="0"/>
        <w:adjustRightInd w:val="0"/>
        <w:spacing w:after="8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Observațiile de audit atestă </w:t>
      </w:r>
      <w:r>
        <w:rPr>
          <w:rFonts w:asciiTheme="majorHAnsi" w:hAnsiTheme="majorHAnsi" w:cstheme="minorHAnsi"/>
          <w:sz w:val="24"/>
          <w:szCs w:val="24"/>
        </w:rPr>
        <w:t xml:space="preserve">neconformități </w:t>
      </w:r>
      <w:r w:rsidR="00D649C6">
        <w:rPr>
          <w:rFonts w:asciiTheme="majorHAnsi" w:hAnsiTheme="majorHAnsi" w:cstheme="minorHAnsi"/>
          <w:sz w:val="24"/>
          <w:szCs w:val="24"/>
        </w:rPr>
        <w:t>ș</w:t>
      </w:r>
      <w:r>
        <w:rPr>
          <w:rFonts w:asciiTheme="majorHAnsi" w:hAnsiTheme="majorHAnsi" w:cstheme="minorHAnsi"/>
          <w:sz w:val="24"/>
          <w:szCs w:val="24"/>
        </w:rPr>
        <w:t xml:space="preserve">i la </w:t>
      </w:r>
      <w:r w:rsidRPr="00381DA2">
        <w:rPr>
          <w:rFonts w:asciiTheme="majorHAnsi" w:hAnsiTheme="majorHAnsi" w:cstheme="minorHAnsi"/>
          <w:sz w:val="24"/>
          <w:szCs w:val="24"/>
        </w:rPr>
        <w:t xml:space="preserve">acordarea </w:t>
      </w:r>
      <w:r>
        <w:rPr>
          <w:rFonts w:asciiTheme="majorHAnsi" w:hAnsiTheme="majorHAnsi" w:cstheme="minorHAnsi"/>
          <w:sz w:val="24"/>
          <w:szCs w:val="24"/>
        </w:rPr>
        <w:t xml:space="preserve">de către OT ale CNAJGS a </w:t>
      </w:r>
      <w:r w:rsidRPr="00381DA2">
        <w:rPr>
          <w:rFonts w:asciiTheme="majorHAnsi" w:hAnsiTheme="majorHAnsi" w:cstheme="minorHAnsi"/>
          <w:sz w:val="24"/>
          <w:szCs w:val="24"/>
        </w:rPr>
        <w:t xml:space="preserve">asistenței juridice </w:t>
      </w:r>
      <w:r>
        <w:rPr>
          <w:rFonts w:asciiTheme="majorHAnsi" w:hAnsiTheme="majorHAnsi" w:cstheme="minorHAnsi"/>
          <w:sz w:val="24"/>
          <w:szCs w:val="24"/>
        </w:rPr>
        <w:t xml:space="preserve">persoanelor prin testarea </w:t>
      </w:r>
      <w:r w:rsidRPr="00381DA2">
        <w:rPr>
          <w:rFonts w:asciiTheme="majorHAnsi" w:hAnsiTheme="majorHAnsi" w:cstheme="minorHAnsi"/>
          <w:sz w:val="24"/>
          <w:szCs w:val="24"/>
        </w:rPr>
        <w:t>nivelul</w:t>
      </w:r>
      <w:r>
        <w:rPr>
          <w:rFonts w:asciiTheme="majorHAnsi" w:hAnsiTheme="majorHAnsi" w:cstheme="minorHAnsi"/>
          <w:sz w:val="24"/>
          <w:szCs w:val="24"/>
        </w:rPr>
        <w:t>ui de venit, cauzate de nesolicitarea și neanexarea la cerere a setului de documente prestabilit în vederea determinării corecte a venitului mediu lunar al solicitantului. Concomitent, actuala modalitate de determinare a venitului mediu lunar al beneficiarului este una ambigue și dificil de aplicat, ceea ce afectează plenitudinea sumelor incluse în determinarea venitului global al familiei</w:t>
      </w:r>
      <w:r w:rsidR="00731A58">
        <w:rPr>
          <w:rFonts w:asciiTheme="majorHAnsi" w:hAnsiTheme="majorHAnsi" w:cstheme="minorHAnsi"/>
          <w:sz w:val="24"/>
          <w:szCs w:val="24"/>
        </w:rPr>
        <w:t>,</w:t>
      </w:r>
      <w:r>
        <w:rPr>
          <w:rFonts w:asciiTheme="majorHAnsi" w:hAnsiTheme="majorHAnsi" w:cstheme="minorHAnsi"/>
          <w:sz w:val="24"/>
          <w:szCs w:val="24"/>
        </w:rPr>
        <w:t xml:space="preserve"> în scopul determinării beneficiarilor eligibili. </w:t>
      </w:r>
    </w:p>
    <w:p w14:paraId="5B768706" w14:textId="77777777" w:rsidR="00FD339F" w:rsidRPr="00381DA2" w:rsidRDefault="003C54DC" w:rsidP="003A66EF">
      <w:pPr>
        <w:pBdr>
          <w:top w:val="single" w:sz="4" w:space="9" w:color="auto"/>
          <w:left w:val="single" w:sz="4" w:space="4" w:color="auto"/>
          <w:bottom w:val="single" w:sz="4" w:space="0" w:color="auto"/>
          <w:right w:val="single" w:sz="4" w:space="4" w:color="auto"/>
        </w:pBdr>
        <w:autoSpaceDE w:val="0"/>
        <w:autoSpaceDN w:val="0"/>
        <w:adjustRightInd w:val="0"/>
        <w:spacing w:after="0" w:line="276" w:lineRule="auto"/>
        <w:jc w:val="both"/>
        <w:rPr>
          <w:rFonts w:asciiTheme="majorHAnsi" w:hAnsiTheme="majorHAnsi" w:cstheme="minorHAnsi"/>
          <w:sz w:val="24"/>
          <w:szCs w:val="24"/>
        </w:rPr>
      </w:pPr>
      <w:r w:rsidRPr="00381DA2">
        <w:rPr>
          <w:rFonts w:asciiTheme="majorHAnsi" w:hAnsiTheme="majorHAnsi" w:cstheme="minorHAnsi"/>
          <w:sz w:val="24"/>
          <w:szCs w:val="24"/>
        </w:rPr>
        <w:t>Există discrepanțe semnificative și practici neuniforme în cadrul procesului de repartizare de către coordonatorii oficiilor teritoriale ale CNAJGS a cauzelor de AJGS spre preluare de către avocați, în mare parte cauzate atât de lipsa reglementării unor cerințe de către CNAJGS</w:t>
      </w:r>
      <w:r>
        <w:rPr>
          <w:rFonts w:asciiTheme="majorHAnsi" w:hAnsiTheme="majorHAnsi" w:cstheme="minorHAnsi"/>
          <w:sz w:val="24"/>
          <w:szCs w:val="24"/>
        </w:rPr>
        <w:t>,</w:t>
      </w:r>
      <w:r w:rsidRPr="00381DA2">
        <w:rPr>
          <w:rFonts w:asciiTheme="majorHAnsi" w:hAnsiTheme="majorHAnsi" w:cstheme="minorHAnsi"/>
          <w:sz w:val="24"/>
          <w:szCs w:val="24"/>
        </w:rPr>
        <w:t xml:space="preserve"> cât și </w:t>
      </w:r>
      <w:r>
        <w:rPr>
          <w:rFonts w:asciiTheme="majorHAnsi" w:hAnsiTheme="majorHAnsi" w:cstheme="minorHAnsi"/>
          <w:sz w:val="24"/>
          <w:szCs w:val="24"/>
        </w:rPr>
        <w:t xml:space="preserve">de </w:t>
      </w:r>
      <w:r w:rsidRPr="00381DA2">
        <w:rPr>
          <w:rFonts w:asciiTheme="majorHAnsi" w:hAnsiTheme="majorHAnsi" w:cstheme="minorHAnsi"/>
          <w:sz w:val="24"/>
          <w:szCs w:val="24"/>
        </w:rPr>
        <w:t>existența unor factori obiectivi.</w:t>
      </w:r>
    </w:p>
    <w:p w14:paraId="6D26C58C" w14:textId="77777777" w:rsidR="00FD339F" w:rsidRPr="00381DA2" w:rsidRDefault="00FD339F" w:rsidP="003A66EF">
      <w:pPr>
        <w:spacing w:line="276" w:lineRule="auto"/>
        <w:rPr>
          <w:rFonts w:asciiTheme="majorHAnsi" w:hAnsiTheme="majorHAnsi"/>
        </w:rPr>
      </w:pPr>
    </w:p>
    <w:p w14:paraId="037579EF" w14:textId="77777777" w:rsidR="00A02682" w:rsidRPr="00381DA2" w:rsidRDefault="00E4384C" w:rsidP="00A02682">
      <w:pPr>
        <w:pStyle w:val="Heading3"/>
        <w:numPr>
          <w:ilvl w:val="2"/>
          <w:numId w:val="48"/>
        </w:numPr>
        <w:tabs>
          <w:tab w:val="left" w:pos="360"/>
          <w:tab w:val="left" w:pos="540"/>
          <w:tab w:val="left" w:pos="630"/>
        </w:tabs>
        <w:spacing w:before="240" w:after="120" w:line="276" w:lineRule="auto"/>
        <w:ind w:left="0" w:firstLine="0"/>
        <w:jc w:val="both"/>
        <w:rPr>
          <w:rFonts w:eastAsia="Times New Roman" w:cstheme="minorHAnsi"/>
          <w:b/>
          <w:i/>
          <w:color w:val="2E74B5" w:themeColor="accent1" w:themeShade="BF"/>
        </w:rPr>
      </w:pPr>
      <w:bookmarkStart w:id="22" w:name="_Toc128640809"/>
      <w:r>
        <w:rPr>
          <w:rFonts w:eastAsia="Times New Roman" w:cstheme="minorHAnsi"/>
          <w:b/>
          <w:i/>
          <w:color w:val="2E74B5" w:themeColor="accent1" w:themeShade="BF"/>
        </w:rPr>
        <w:lastRenderedPageBreak/>
        <w:t>Fondurile alocate pentru AJGS su</w:t>
      </w:r>
      <w:r w:rsidR="00DA7438">
        <w:rPr>
          <w:rFonts w:eastAsia="Times New Roman" w:cstheme="minorHAnsi"/>
          <w:b/>
          <w:i/>
          <w:color w:val="2E74B5" w:themeColor="accent1" w:themeShade="BF"/>
        </w:rPr>
        <w:t>nt prioritar direcționate beneficiarilor la solicitările instituțiilor de drept ale statului</w:t>
      </w:r>
      <w:r w:rsidR="00731A58">
        <w:rPr>
          <w:rFonts w:eastAsia="Times New Roman" w:cstheme="minorHAnsi"/>
          <w:b/>
          <w:i/>
          <w:color w:val="2E74B5" w:themeColor="accent1" w:themeShade="BF"/>
        </w:rPr>
        <w:t>.</w:t>
      </w:r>
      <w:bookmarkEnd w:id="22"/>
    </w:p>
    <w:p w14:paraId="4CD372DB" w14:textId="77777777" w:rsidR="00A02682" w:rsidRPr="00A02682" w:rsidRDefault="00A02682" w:rsidP="00A02682">
      <w:pPr>
        <w:pStyle w:val="NormalWeb"/>
        <w:tabs>
          <w:tab w:val="left" w:pos="360"/>
        </w:tabs>
        <w:spacing w:after="120" w:line="276" w:lineRule="auto"/>
        <w:ind w:firstLine="0"/>
        <w:rPr>
          <w:rFonts w:asciiTheme="majorHAnsi" w:eastAsiaTheme="minorHAnsi" w:hAnsiTheme="majorHAnsi" w:cstheme="minorHAnsi"/>
          <w:color w:val="0070C0"/>
          <w:lang w:val="ro-MD"/>
        </w:rPr>
      </w:pPr>
      <w:r w:rsidRPr="00A02682">
        <w:rPr>
          <w:rFonts w:asciiTheme="majorHAnsi" w:eastAsiaTheme="minorHAnsi" w:hAnsiTheme="majorHAnsi" w:cstheme="minorHAnsi"/>
          <w:color w:val="0070C0"/>
          <w:lang w:val="ro-MD"/>
        </w:rPr>
        <w:t>a) Cuantumul mijloacelor bugetare alocate în ultimii trei ani în scopul finanțării sistemului de AJGS înregistrează o creștere de cca 71%</w:t>
      </w:r>
      <w:r w:rsidR="00731A58">
        <w:rPr>
          <w:rFonts w:asciiTheme="majorHAnsi" w:eastAsiaTheme="minorHAnsi" w:hAnsiTheme="majorHAnsi" w:cstheme="minorHAnsi"/>
          <w:color w:val="0070C0"/>
          <w:lang w:val="ro-MD"/>
        </w:rPr>
        <w:t>.</w:t>
      </w:r>
    </w:p>
    <w:p w14:paraId="66EA1BC4" w14:textId="77777777" w:rsidR="00FD339F" w:rsidRPr="00381DA2" w:rsidRDefault="00FD339F" w:rsidP="003A66EF">
      <w:pPr>
        <w:pStyle w:val="NormalWeb"/>
        <w:tabs>
          <w:tab w:val="left" w:pos="360"/>
        </w:tabs>
        <w:spacing w:line="276" w:lineRule="auto"/>
        <w:ind w:firstLine="0"/>
        <w:rPr>
          <w:rFonts w:asciiTheme="majorHAnsi" w:hAnsiTheme="majorHAnsi" w:cstheme="minorHAnsi"/>
          <w:lang w:val="ro-RO"/>
        </w:rPr>
      </w:pPr>
      <w:r w:rsidRPr="00381DA2">
        <w:rPr>
          <w:rFonts w:asciiTheme="majorHAnsi" w:hAnsiTheme="majorHAnsi" w:cstheme="minorHAnsi"/>
          <w:lang w:val="ro-RO"/>
        </w:rPr>
        <w:t>Pentru realizarea principiului liberului acces la asistență juridică, statul asigură organizarea și funcționarea instituțiilor responsabile de acordarea asistenței juridice garantate de stat, și alocă mijloacele bugetare necesare retribuirii serviciilor juridice prestate în conformitate cu Legea 198/2007.</w:t>
      </w:r>
    </w:p>
    <w:p w14:paraId="3E3810BC" w14:textId="139D0483" w:rsidR="00FD339F" w:rsidRPr="00381DA2" w:rsidRDefault="00FD339F" w:rsidP="003A66EF">
      <w:pPr>
        <w:pStyle w:val="NormalWeb"/>
        <w:tabs>
          <w:tab w:val="left" w:pos="360"/>
        </w:tabs>
        <w:spacing w:after="120" w:line="276" w:lineRule="auto"/>
        <w:ind w:firstLine="0"/>
        <w:rPr>
          <w:rFonts w:asciiTheme="majorHAnsi" w:hAnsiTheme="majorHAnsi" w:cstheme="minorHAnsi"/>
          <w:lang w:val="ro-RO"/>
        </w:rPr>
      </w:pPr>
      <w:r w:rsidRPr="00381DA2">
        <w:rPr>
          <w:rFonts w:asciiTheme="majorHAnsi" w:hAnsiTheme="majorHAnsi" w:cstheme="minorHAnsi"/>
          <w:lang w:val="ro-RO"/>
        </w:rPr>
        <w:t>În scopul finanțării sistemului de asistență juridică garantată de stat</w:t>
      </w:r>
      <w:r w:rsidR="00731A58">
        <w:rPr>
          <w:rFonts w:asciiTheme="majorHAnsi" w:hAnsiTheme="majorHAnsi" w:cstheme="minorHAnsi"/>
          <w:lang w:val="ro-RO"/>
        </w:rPr>
        <w:t>,</w:t>
      </w:r>
      <w:r w:rsidRPr="00381DA2">
        <w:rPr>
          <w:rFonts w:asciiTheme="majorHAnsi" w:hAnsiTheme="majorHAnsi" w:cstheme="minorHAnsi"/>
          <w:lang w:val="ro-RO"/>
        </w:rPr>
        <w:t xml:space="preserve"> în anii 2020-2022 din contul bugetului de stat au fost alocate mijloace financiare în valoare de 226,9 mil. lei. Reieșind din faptul că</w:t>
      </w:r>
      <w:r w:rsidR="00731A58">
        <w:rPr>
          <w:rFonts w:asciiTheme="majorHAnsi" w:hAnsiTheme="majorHAnsi" w:cstheme="minorHAnsi"/>
          <w:lang w:val="ro-RO"/>
        </w:rPr>
        <w:t>,</w:t>
      </w:r>
      <w:r w:rsidRPr="00381DA2">
        <w:rPr>
          <w:rFonts w:asciiTheme="majorHAnsi" w:hAnsiTheme="majorHAnsi" w:cstheme="minorHAnsi"/>
          <w:lang w:val="ro-RO"/>
        </w:rPr>
        <w:t xml:space="preserve"> în perioada auditată, sistemul de AJGS a fost influențat și de anumite efecte determinate de factori </w:t>
      </w:r>
      <w:proofErr w:type="spellStart"/>
      <w:r w:rsidRPr="00381DA2">
        <w:rPr>
          <w:rFonts w:asciiTheme="majorHAnsi" w:hAnsiTheme="majorHAnsi" w:cstheme="minorHAnsi"/>
          <w:lang w:val="ro-RO"/>
        </w:rPr>
        <w:t>economico</w:t>
      </w:r>
      <w:proofErr w:type="spellEnd"/>
      <w:r w:rsidRPr="00381DA2">
        <w:rPr>
          <w:rFonts w:asciiTheme="majorHAnsi" w:hAnsiTheme="majorHAnsi" w:cstheme="minorHAnsi"/>
          <w:lang w:val="ro-RO"/>
        </w:rPr>
        <w:t>-sociali, pe parcursul exercițiilor bugetare din anii 2020-2022 s-au efectuat rectificări a</w:t>
      </w:r>
      <w:r w:rsidR="00731A58">
        <w:rPr>
          <w:rFonts w:asciiTheme="majorHAnsi" w:hAnsiTheme="majorHAnsi" w:cstheme="minorHAnsi"/>
          <w:lang w:val="ro-RO"/>
        </w:rPr>
        <w:t>le</w:t>
      </w:r>
      <w:r w:rsidRPr="00381DA2">
        <w:rPr>
          <w:rFonts w:asciiTheme="majorHAnsi" w:hAnsiTheme="majorHAnsi" w:cstheme="minorHAnsi"/>
          <w:lang w:val="ro-RO"/>
        </w:rPr>
        <w:t xml:space="preserve"> valorii bugetelor aprobate</w:t>
      </w:r>
      <w:r w:rsidR="00910350">
        <w:rPr>
          <w:rFonts w:asciiTheme="majorHAnsi" w:hAnsiTheme="majorHAnsi" w:cstheme="minorHAnsi"/>
          <w:lang w:val="ro-RO"/>
        </w:rPr>
        <w:t xml:space="preserve"> în acest scop</w:t>
      </w:r>
      <w:r w:rsidRPr="00381DA2">
        <w:rPr>
          <w:rFonts w:asciiTheme="majorHAnsi" w:hAnsiTheme="majorHAnsi" w:cstheme="minorHAnsi"/>
          <w:lang w:val="ro-RO"/>
        </w:rPr>
        <w:t>.</w:t>
      </w:r>
    </w:p>
    <w:p w14:paraId="07E6D0AB" w14:textId="1268CEAD" w:rsidR="00FD339F" w:rsidRPr="00E57215" w:rsidRDefault="00FD339F" w:rsidP="003A66EF">
      <w:pPr>
        <w:pStyle w:val="NormalWeb"/>
        <w:tabs>
          <w:tab w:val="left" w:pos="360"/>
        </w:tabs>
        <w:spacing w:line="276" w:lineRule="auto"/>
        <w:ind w:firstLine="0"/>
        <w:rPr>
          <w:rFonts w:asciiTheme="majorHAnsi" w:eastAsia="Times New Roman" w:hAnsiTheme="majorHAnsi" w:cstheme="minorHAnsi"/>
          <w:lang w:val="ro-MD"/>
        </w:rPr>
      </w:pPr>
      <w:r w:rsidRPr="00E57215">
        <w:rPr>
          <w:rFonts w:asciiTheme="majorHAnsi" w:hAnsiTheme="majorHAnsi" w:cstheme="minorHAnsi"/>
          <w:lang w:val="ro-RO"/>
        </w:rPr>
        <w:t xml:space="preserve">Datele privind </w:t>
      </w:r>
      <w:r w:rsidR="00E57215" w:rsidRPr="00E57215">
        <w:rPr>
          <w:rFonts w:asciiTheme="majorHAnsi" w:hAnsiTheme="majorHAnsi" w:cstheme="minorHAnsi"/>
          <w:lang w:val="ro-RO"/>
        </w:rPr>
        <w:t xml:space="preserve">bugetele </w:t>
      </w:r>
      <w:r w:rsidRPr="00E57215">
        <w:rPr>
          <w:rFonts w:asciiTheme="majorHAnsi" w:hAnsiTheme="majorHAnsi" w:cstheme="minorHAnsi"/>
          <w:lang w:val="ro-RO"/>
        </w:rPr>
        <w:t>inițial aprobate</w:t>
      </w:r>
      <w:r w:rsidR="00731A58">
        <w:rPr>
          <w:rFonts w:asciiTheme="majorHAnsi" w:hAnsiTheme="majorHAnsi" w:cstheme="minorHAnsi"/>
          <w:lang w:val="ro-RO"/>
        </w:rPr>
        <w:t>,</w:t>
      </w:r>
      <w:r w:rsidRPr="00E57215">
        <w:rPr>
          <w:rFonts w:asciiTheme="majorHAnsi" w:hAnsiTheme="majorHAnsi" w:cstheme="minorHAnsi"/>
          <w:lang w:val="ro-RO"/>
        </w:rPr>
        <w:t xml:space="preserve"> </w:t>
      </w:r>
      <w:r w:rsidR="00E57215" w:rsidRPr="00E57215">
        <w:rPr>
          <w:rFonts w:asciiTheme="majorHAnsi" w:hAnsiTheme="majorHAnsi" w:cstheme="minorHAnsi"/>
          <w:lang w:val="ro-RO"/>
        </w:rPr>
        <w:t xml:space="preserve">precum și ulterior precizate </w:t>
      </w:r>
      <w:r w:rsidRPr="00E57215">
        <w:rPr>
          <w:rFonts w:asciiTheme="majorHAnsi" w:hAnsiTheme="majorHAnsi" w:cstheme="minorHAnsi"/>
          <w:lang w:val="ro-RO"/>
        </w:rPr>
        <w:t xml:space="preserve">aferente mijloacelor bugetare necesare administrării sistemului de acordare a AJGS în perioada 2020-2022, precum și nivelul </w:t>
      </w:r>
      <w:r w:rsidR="00E57215">
        <w:rPr>
          <w:rFonts w:asciiTheme="majorHAnsi" w:hAnsiTheme="majorHAnsi" w:cstheme="minorHAnsi"/>
          <w:lang w:val="ro-RO"/>
        </w:rPr>
        <w:t xml:space="preserve">de </w:t>
      </w:r>
      <w:r w:rsidRPr="00E57215">
        <w:rPr>
          <w:rFonts w:asciiTheme="majorHAnsi" w:hAnsiTheme="majorHAnsi" w:cstheme="minorHAnsi"/>
          <w:lang w:val="ro-RO"/>
        </w:rPr>
        <w:t>executare a acestora</w:t>
      </w:r>
      <w:r w:rsidRPr="00E57215">
        <w:rPr>
          <w:rFonts w:asciiTheme="majorHAnsi" w:hAnsiTheme="majorHAnsi" w:cstheme="minorHAnsi"/>
          <w:lang w:val="ro-MD"/>
        </w:rPr>
        <w:t xml:space="preserve"> sunt expuse în următorul tabel.</w:t>
      </w:r>
    </w:p>
    <w:p w14:paraId="3CDFF7D4" w14:textId="77777777" w:rsidR="00FD339F" w:rsidRPr="00381DA2" w:rsidRDefault="00FD339F" w:rsidP="003A66EF">
      <w:pPr>
        <w:pStyle w:val="NormalWeb"/>
        <w:spacing w:line="276" w:lineRule="auto"/>
        <w:ind w:firstLine="0"/>
        <w:jc w:val="right"/>
        <w:rPr>
          <w:rFonts w:asciiTheme="majorHAnsi" w:eastAsia="Times New Roman" w:hAnsiTheme="majorHAnsi" w:cstheme="minorHAnsi"/>
          <w:b/>
          <w:lang w:val="ro-MD"/>
        </w:rPr>
      </w:pPr>
      <w:r w:rsidRPr="00381DA2">
        <w:rPr>
          <w:rFonts w:asciiTheme="majorHAnsi" w:eastAsia="Times New Roman" w:hAnsiTheme="majorHAnsi" w:cstheme="minorHAnsi"/>
          <w:b/>
          <w:lang w:val="ro-MD"/>
        </w:rPr>
        <w:t>Tabelul nr. 1</w:t>
      </w:r>
    </w:p>
    <w:p w14:paraId="77335355" w14:textId="6BB03A43" w:rsidR="00FD339F" w:rsidRPr="00381DA2" w:rsidRDefault="00633058" w:rsidP="003A66EF">
      <w:pPr>
        <w:pStyle w:val="NormalWeb"/>
        <w:spacing w:line="276" w:lineRule="auto"/>
        <w:ind w:firstLine="0"/>
        <w:jc w:val="right"/>
        <w:rPr>
          <w:rFonts w:asciiTheme="majorHAnsi" w:eastAsia="Times New Roman" w:hAnsiTheme="majorHAnsi" w:cstheme="minorHAnsi"/>
          <w:lang w:val="ro-MD"/>
        </w:rPr>
      </w:pPr>
      <w:r>
        <w:rPr>
          <w:rFonts w:asciiTheme="majorHAnsi" w:eastAsia="Times New Roman" w:hAnsiTheme="majorHAnsi" w:cstheme="minorHAnsi"/>
          <w:i/>
          <w:sz w:val="20"/>
          <w:szCs w:val="20"/>
          <w:lang w:val="ro-MD"/>
        </w:rPr>
        <w:t>(</w:t>
      </w:r>
      <w:r w:rsidR="00FD339F" w:rsidRPr="00381DA2">
        <w:rPr>
          <w:rFonts w:asciiTheme="majorHAnsi" w:eastAsia="Times New Roman" w:hAnsiTheme="majorHAnsi" w:cstheme="minorHAnsi"/>
          <w:i/>
          <w:sz w:val="20"/>
          <w:szCs w:val="20"/>
          <w:lang w:val="ro-MD"/>
        </w:rPr>
        <w:t>mii lei</w:t>
      </w:r>
      <w:r>
        <w:rPr>
          <w:rFonts w:asciiTheme="majorHAnsi" w:eastAsia="Times New Roman" w:hAnsiTheme="majorHAnsi" w:cstheme="minorHAnsi"/>
          <w:i/>
          <w:sz w:val="20"/>
          <w:szCs w:val="20"/>
          <w:lang w:val="ro-MD"/>
        </w:rPr>
        <w:t>)</w:t>
      </w:r>
    </w:p>
    <w:p w14:paraId="0710E37C" w14:textId="716726F5" w:rsidR="00FD339F" w:rsidRPr="00381DA2" w:rsidRDefault="009761AD" w:rsidP="003A66EF">
      <w:pPr>
        <w:spacing w:after="0" w:line="276" w:lineRule="auto"/>
        <w:rPr>
          <w:rFonts w:asciiTheme="majorHAnsi" w:hAnsiTheme="majorHAnsi" w:cstheme="minorHAnsi"/>
        </w:rPr>
      </w:pPr>
      <w:r w:rsidRPr="009761AD">
        <w:rPr>
          <w:noProof/>
          <w:lang w:val="en-US"/>
        </w:rPr>
        <w:drawing>
          <wp:inline distT="0" distB="0" distL="0" distR="0" wp14:anchorId="4CB33017" wp14:editId="6D64471F">
            <wp:extent cx="6044016" cy="16971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3142" cy="1699745"/>
                    </a:xfrm>
                    <a:prstGeom prst="rect">
                      <a:avLst/>
                    </a:prstGeom>
                    <a:noFill/>
                    <a:ln>
                      <a:noFill/>
                    </a:ln>
                  </pic:spPr>
                </pic:pic>
              </a:graphicData>
            </a:graphic>
          </wp:inline>
        </w:drawing>
      </w:r>
    </w:p>
    <w:p w14:paraId="2DF3CC69" w14:textId="77777777" w:rsidR="00FD339F" w:rsidRPr="00381DA2" w:rsidRDefault="00FD339F" w:rsidP="003A66EF">
      <w:pPr>
        <w:spacing w:after="120" w:line="240" w:lineRule="auto"/>
        <w:rPr>
          <w:rFonts w:asciiTheme="majorHAnsi" w:hAnsiTheme="majorHAnsi" w:cstheme="minorHAnsi"/>
        </w:rPr>
      </w:pPr>
      <w:r w:rsidRPr="00381DA2">
        <w:rPr>
          <w:rFonts w:asciiTheme="majorHAnsi" w:hAnsiTheme="majorHAnsi" w:cstheme="minorHAnsi"/>
          <w:b/>
          <w:bCs/>
          <w:i/>
          <w:sz w:val="20"/>
          <w:szCs w:val="20"/>
          <w:lang w:eastAsia="ro-RO"/>
        </w:rPr>
        <w:t>Sursa:</w:t>
      </w:r>
      <w:r w:rsidRPr="00381DA2">
        <w:rPr>
          <w:rFonts w:asciiTheme="majorHAnsi" w:eastAsia="Times New Roman" w:hAnsiTheme="majorHAnsi" w:cstheme="minorHAnsi"/>
          <w:i/>
          <w:sz w:val="20"/>
          <w:szCs w:val="20"/>
          <w:lang w:eastAsia="ru-RU"/>
        </w:rPr>
        <w:t xml:space="preserve"> Date generalizate de echipa de audit conform Rapoartelor privind executarea bugetului CNAJGS și a</w:t>
      </w:r>
      <w:r w:rsidR="00633058">
        <w:rPr>
          <w:rFonts w:asciiTheme="majorHAnsi" w:eastAsia="Times New Roman" w:hAnsiTheme="majorHAnsi" w:cstheme="minorHAnsi"/>
          <w:i/>
          <w:sz w:val="20"/>
          <w:szCs w:val="20"/>
          <w:lang w:eastAsia="ru-RU"/>
        </w:rPr>
        <w:t>l</w:t>
      </w:r>
      <w:r w:rsidRPr="00381DA2">
        <w:rPr>
          <w:rFonts w:asciiTheme="majorHAnsi" w:eastAsia="Times New Roman" w:hAnsiTheme="majorHAnsi" w:cstheme="minorHAnsi"/>
          <w:i/>
          <w:sz w:val="20"/>
          <w:szCs w:val="20"/>
          <w:lang w:eastAsia="ru-RU"/>
        </w:rPr>
        <w:t xml:space="preserve"> OT pe anii 2020-2022.</w:t>
      </w:r>
    </w:p>
    <w:p w14:paraId="7CF5B31B" w14:textId="37BAFADE" w:rsidR="00FD339F" w:rsidRPr="00381DA2" w:rsidRDefault="00FD339F"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Datele din tabel denotă următoarele</w:t>
      </w:r>
      <w:r w:rsidR="00633058">
        <w:rPr>
          <w:rFonts w:asciiTheme="majorHAnsi" w:hAnsiTheme="majorHAnsi" w:cstheme="minorHAnsi"/>
          <w:sz w:val="24"/>
          <w:szCs w:val="24"/>
        </w:rPr>
        <w:t>.</w:t>
      </w:r>
    </w:p>
    <w:p w14:paraId="78E50047" w14:textId="616DE761" w:rsidR="00FD339F" w:rsidRPr="00381DA2" w:rsidRDefault="00FD339F" w:rsidP="003A66EF">
      <w:pPr>
        <w:pStyle w:val="NormalWeb"/>
        <w:spacing w:after="120" w:line="276" w:lineRule="auto"/>
        <w:ind w:firstLine="0"/>
        <w:rPr>
          <w:rFonts w:asciiTheme="majorHAnsi" w:eastAsia="Times New Roman" w:hAnsiTheme="majorHAnsi" w:cstheme="minorHAnsi"/>
          <w:lang w:val="ro-MD"/>
        </w:rPr>
      </w:pPr>
      <w:r w:rsidRPr="00381DA2">
        <w:rPr>
          <w:rFonts w:asciiTheme="majorHAnsi" w:eastAsia="Times New Roman" w:hAnsiTheme="majorHAnsi" w:cstheme="minorHAnsi"/>
          <w:lang w:val="ro-MD"/>
        </w:rPr>
        <w:t xml:space="preserve">În ultimii trei ani se atestă un trend constant </w:t>
      </w:r>
      <w:r w:rsidR="00633058">
        <w:rPr>
          <w:rFonts w:asciiTheme="majorHAnsi" w:eastAsia="Times New Roman" w:hAnsiTheme="majorHAnsi" w:cstheme="minorHAnsi"/>
          <w:lang w:val="ro-MD"/>
        </w:rPr>
        <w:t xml:space="preserve">ascendent </w:t>
      </w:r>
      <w:r w:rsidRPr="00381DA2">
        <w:rPr>
          <w:rFonts w:asciiTheme="majorHAnsi" w:eastAsia="Times New Roman" w:hAnsiTheme="majorHAnsi" w:cstheme="minorHAnsi"/>
          <w:lang w:val="ro-MD"/>
        </w:rPr>
        <w:t>a</w:t>
      </w:r>
      <w:r w:rsidR="00633058">
        <w:rPr>
          <w:rFonts w:asciiTheme="majorHAnsi" w:eastAsia="Times New Roman" w:hAnsiTheme="majorHAnsi" w:cstheme="minorHAnsi"/>
          <w:lang w:val="ro-MD"/>
        </w:rPr>
        <w:t>l</w:t>
      </w:r>
      <w:r w:rsidRPr="00381DA2">
        <w:rPr>
          <w:rFonts w:asciiTheme="majorHAnsi" w:eastAsia="Times New Roman" w:hAnsiTheme="majorHAnsi" w:cstheme="minorHAnsi"/>
          <w:lang w:val="ro-MD"/>
        </w:rPr>
        <w:t xml:space="preserve"> alocațiilor bugetare destinate  finanțării sistemului de AJGS, or, raportul dintre sumele executate în anul 2022 față de anul 2021 </w:t>
      </w:r>
      <w:r w:rsidR="00F5433A">
        <w:rPr>
          <w:rFonts w:asciiTheme="majorHAnsi" w:eastAsia="Times New Roman" w:hAnsiTheme="majorHAnsi" w:cstheme="minorHAnsi"/>
          <w:lang w:val="ro-MD"/>
        </w:rPr>
        <w:t>s-a majorat cu</w:t>
      </w:r>
      <w:r w:rsidRPr="00381DA2">
        <w:rPr>
          <w:rFonts w:asciiTheme="majorHAnsi" w:eastAsia="Times New Roman" w:hAnsiTheme="majorHAnsi" w:cstheme="minorHAnsi"/>
          <w:lang w:val="ro-MD"/>
        </w:rPr>
        <w:t xml:space="preserve"> </w:t>
      </w:r>
      <w:r w:rsidRPr="00381DA2">
        <w:rPr>
          <w:rFonts w:asciiTheme="majorHAnsi" w:eastAsia="Times New Roman" w:hAnsiTheme="majorHAnsi" w:cstheme="minorHAnsi"/>
          <w:i/>
          <w:lang w:val="ro-MD"/>
        </w:rPr>
        <w:t>1</w:t>
      </w:r>
      <w:r w:rsidR="00F5433A">
        <w:rPr>
          <w:rFonts w:asciiTheme="majorHAnsi" w:eastAsia="Times New Roman" w:hAnsiTheme="majorHAnsi" w:cstheme="minorHAnsi"/>
          <w:i/>
          <w:lang w:val="ro-MD"/>
        </w:rPr>
        <w:t>5</w:t>
      </w:r>
      <w:r w:rsidRPr="00381DA2">
        <w:rPr>
          <w:rFonts w:asciiTheme="majorHAnsi" w:eastAsia="Times New Roman" w:hAnsiTheme="majorHAnsi" w:cstheme="minorHAnsi"/>
          <w:i/>
          <w:lang w:val="ro-MD"/>
        </w:rPr>
        <w:t>%</w:t>
      </w:r>
      <w:r w:rsidR="00633058">
        <w:rPr>
          <w:rFonts w:asciiTheme="majorHAnsi" w:eastAsia="Times New Roman" w:hAnsiTheme="majorHAnsi" w:cstheme="minorHAnsi"/>
          <w:i/>
          <w:lang w:val="ro-MD"/>
        </w:rPr>
        <w:t>,</w:t>
      </w:r>
      <w:r w:rsidRPr="00381DA2">
        <w:rPr>
          <w:rFonts w:asciiTheme="majorHAnsi" w:eastAsia="Times New Roman" w:hAnsiTheme="majorHAnsi" w:cstheme="minorHAnsi"/>
          <w:lang w:val="ro-MD"/>
        </w:rPr>
        <w:t xml:space="preserve"> sau în valoare de 12,7 mil. lei, iar</w:t>
      </w:r>
      <w:r w:rsidR="008A74D8">
        <w:rPr>
          <w:rFonts w:asciiTheme="majorHAnsi" w:eastAsia="Times New Roman" w:hAnsiTheme="majorHAnsi" w:cstheme="minorHAnsi"/>
          <w:lang w:val="ro-MD"/>
        </w:rPr>
        <w:t xml:space="preserve"> în</w:t>
      </w:r>
      <w:r w:rsidRPr="00381DA2">
        <w:rPr>
          <w:rFonts w:asciiTheme="majorHAnsi" w:eastAsia="Times New Roman" w:hAnsiTheme="majorHAnsi" w:cstheme="minorHAnsi"/>
          <w:lang w:val="ro-MD"/>
        </w:rPr>
        <w:t xml:space="preserve"> anul 2022</w:t>
      </w:r>
      <w:r w:rsidR="00633058">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comparativ cu anul 2020 –</w:t>
      </w:r>
      <w:r w:rsidR="00633058">
        <w:rPr>
          <w:rFonts w:asciiTheme="majorHAnsi" w:eastAsia="Times New Roman" w:hAnsiTheme="majorHAnsi" w:cstheme="minorHAnsi"/>
          <w:lang w:val="ro-MD"/>
        </w:rPr>
        <w:t xml:space="preserve"> de</w:t>
      </w:r>
      <w:r w:rsidRPr="00381DA2">
        <w:rPr>
          <w:rFonts w:asciiTheme="majorHAnsi" w:eastAsia="Times New Roman" w:hAnsiTheme="majorHAnsi" w:cstheme="minorHAnsi"/>
          <w:lang w:val="ro-MD"/>
        </w:rPr>
        <w:t xml:space="preserve"> </w:t>
      </w:r>
      <w:r w:rsidRPr="00381DA2">
        <w:rPr>
          <w:rFonts w:asciiTheme="majorHAnsi" w:eastAsia="Times New Roman" w:hAnsiTheme="majorHAnsi" w:cstheme="minorHAnsi"/>
          <w:i/>
          <w:lang w:val="ro-MD"/>
        </w:rPr>
        <w:t xml:space="preserve">71%, </w:t>
      </w:r>
      <w:r w:rsidRPr="00381DA2">
        <w:rPr>
          <w:rFonts w:asciiTheme="majorHAnsi" w:eastAsia="Times New Roman" w:hAnsiTheme="majorHAnsi" w:cstheme="minorHAnsi"/>
          <w:lang w:val="ro-MD"/>
        </w:rPr>
        <w:t>ceea ce semnifică</w:t>
      </w:r>
      <w:r w:rsidR="00F5433A">
        <w:rPr>
          <w:rFonts w:asciiTheme="majorHAnsi" w:eastAsia="Times New Roman" w:hAnsiTheme="majorHAnsi" w:cstheme="minorHAnsi"/>
          <w:lang w:val="ro-MD"/>
        </w:rPr>
        <w:t xml:space="preserve"> mai mult </w:t>
      </w:r>
      <w:r w:rsidRPr="00381DA2">
        <w:rPr>
          <w:rFonts w:asciiTheme="majorHAnsi" w:eastAsia="Times New Roman" w:hAnsiTheme="majorHAnsi" w:cstheme="minorHAnsi"/>
          <w:lang w:val="ro-MD"/>
        </w:rPr>
        <w:t>cu 38,6 mil</w:t>
      </w:r>
      <w:r w:rsidR="00633058">
        <w:rPr>
          <w:rFonts w:asciiTheme="majorHAnsi" w:eastAsia="Times New Roman" w:hAnsiTheme="majorHAnsi" w:cstheme="minorHAnsi"/>
          <w:lang w:val="ro-MD"/>
        </w:rPr>
        <w:t>.</w:t>
      </w:r>
      <w:r w:rsidRPr="00381DA2">
        <w:rPr>
          <w:rFonts w:asciiTheme="majorHAnsi" w:eastAsia="Times New Roman" w:hAnsiTheme="majorHAnsi" w:cstheme="minorHAnsi"/>
          <w:lang w:val="ro-MD"/>
        </w:rPr>
        <w:t xml:space="preserve"> lei</w:t>
      </w:r>
      <w:r w:rsidRPr="00381DA2">
        <w:rPr>
          <w:rFonts w:asciiTheme="majorHAnsi" w:eastAsia="Times New Roman" w:hAnsiTheme="majorHAnsi" w:cstheme="minorHAnsi"/>
          <w:i/>
          <w:lang w:val="ro-MD"/>
        </w:rPr>
        <w:t xml:space="preserve">. </w:t>
      </w:r>
      <w:r w:rsidRPr="00381DA2">
        <w:rPr>
          <w:rFonts w:asciiTheme="majorHAnsi" w:eastAsia="Times New Roman" w:hAnsiTheme="majorHAnsi" w:cstheme="minorHAnsi"/>
          <w:lang w:val="ro-MD"/>
        </w:rPr>
        <w:t xml:space="preserve">Acest fapt a fost determinat atât </w:t>
      </w:r>
      <w:r w:rsidR="00633058">
        <w:rPr>
          <w:rFonts w:asciiTheme="majorHAnsi" w:eastAsia="Times New Roman" w:hAnsiTheme="majorHAnsi" w:cstheme="minorHAnsi"/>
          <w:lang w:val="ro-MD"/>
        </w:rPr>
        <w:t>de</w:t>
      </w:r>
      <w:r w:rsidRPr="00381DA2">
        <w:rPr>
          <w:rFonts w:asciiTheme="majorHAnsi" w:eastAsia="Times New Roman" w:hAnsiTheme="majorHAnsi" w:cstheme="minorHAnsi"/>
          <w:lang w:val="ro-MD"/>
        </w:rPr>
        <w:t xml:space="preserve"> major</w:t>
      </w:r>
      <w:r w:rsidR="00633058">
        <w:rPr>
          <w:rFonts w:asciiTheme="majorHAnsi" w:eastAsia="Times New Roman" w:hAnsiTheme="majorHAnsi" w:cstheme="minorHAnsi"/>
          <w:lang w:val="ro-MD"/>
        </w:rPr>
        <w:t>area</w:t>
      </w:r>
      <w:r w:rsidRPr="00381DA2">
        <w:rPr>
          <w:rFonts w:asciiTheme="majorHAnsi" w:eastAsia="Times New Roman" w:hAnsiTheme="majorHAnsi" w:cstheme="minorHAnsi"/>
          <w:lang w:val="ro-MD"/>
        </w:rPr>
        <w:t xml:space="preserve"> unității convenționale</w:t>
      </w:r>
      <w:r w:rsidRPr="00381DA2">
        <w:rPr>
          <w:rStyle w:val="FootnoteReference"/>
          <w:rFonts w:asciiTheme="majorHAnsi" w:eastAsia="Times New Roman" w:hAnsiTheme="majorHAnsi" w:cstheme="minorHAnsi"/>
          <w:lang w:val="ro-MD"/>
        </w:rPr>
        <w:footnoteReference w:id="7"/>
      </w:r>
      <w:r w:rsidRPr="00381DA2">
        <w:rPr>
          <w:rFonts w:asciiTheme="majorHAnsi" w:eastAsia="Times New Roman" w:hAnsiTheme="majorHAnsi" w:cstheme="minorHAnsi"/>
          <w:lang w:val="ro-MD"/>
        </w:rPr>
        <w:t xml:space="preserve"> în baza căreia are loc remunerarea avocaților contractați la cerere, proces care a demarat începând cu anul 2018 și a continuat și în anul 2021, majorării parțiale a cuantumului remunerației fixe lunare achitate avocaților publici</w:t>
      </w:r>
      <w:r w:rsidRPr="00381DA2">
        <w:rPr>
          <w:rStyle w:val="FootnoteReference"/>
          <w:rFonts w:asciiTheme="majorHAnsi" w:eastAsia="Times New Roman" w:hAnsiTheme="majorHAnsi" w:cstheme="minorHAnsi"/>
          <w:lang w:val="ro-MD"/>
        </w:rPr>
        <w:footnoteReference w:id="8"/>
      </w:r>
      <w:r w:rsidRPr="00381DA2">
        <w:rPr>
          <w:rFonts w:asciiTheme="majorHAnsi" w:eastAsia="Times New Roman" w:hAnsiTheme="majorHAnsi" w:cstheme="minorHAnsi"/>
          <w:lang w:val="ro-MD"/>
        </w:rPr>
        <w:t xml:space="preserve">, cât și </w:t>
      </w:r>
      <w:r w:rsidR="00633058">
        <w:rPr>
          <w:rFonts w:asciiTheme="majorHAnsi" w:eastAsia="Times New Roman" w:hAnsiTheme="majorHAnsi" w:cstheme="minorHAnsi"/>
          <w:lang w:val="ro-MD"/>
        </w:rPr>
        <w:t>de</w:t>
      </w:r>
      <w:r w:rsidRPr="00381DA2">
        <w:rPr>
          <w:rFonts w:asciiTheme="majorHAnsi" w:eastAsia="Times New Roman" w:hAnsiTheme="majorHAnsi" w:cstheme="minorHAnsi"/>
          <w:lang w:val="ro-MD"/>
        </w:rPr>
        <w:t xml:space="preserve"> creșter</w:t>
      </w:r>
      <w:r w:rsidR="00633058">
        <w:rPr>
          <w:rFonts w:asciiTheme="majorHAnsi" w:eastAsia="Times New Roman" w:hAnsiTheme="majorHAnsi" w:cstheme="minorHAnsi"/>
          <w:lang w:val="ro-MD"/>
        </w:rPr>
        <w:t>ea</w:t>
      </w:r>
      <w:r w:rsidRPr="00381DA2">
        <w:rPr>
          <w:rFonts w:asciiTheme="majorHAnsi" w:eastAsia="Times New Roman" w:hAnsiTheme="majorHAnsi" w:cstheme="minorHAnsi"/>
          <w:lang w:val="ro-MD"/>
        </w:rPr>
        <w:t xml:space="preserve"> numărului de apelanți la </w:t>
      </w:r>
      <w:r w:rsidR="00633058">
        <w:rPr>
          <w:rFonts w:asciiTheme="majorHAnsi" w:eastAsia="Times New Roman" w:hAnsiTheme="majorHAnsi" w:cstheme="minorHAnsi"/>
          <w:lang w:val="ro-MD"/>
        </w:rPr>
        <w:t>serviciile de AJGS</w:t>
      </w:r>
      <w:r w:rsidRPr="00381DA2">
        <w:rPr>
          <w:rFonts w:asciiTheme="majorHAnsi" w:eastAsia="Times New Roman" w:hAnsiTheme="majorHAnsi" w:cstheme="minorHAnsi"/>
          <w:lang w:val="ro-MD"/>
        </w:rPr>
        <w:t>.</w:t>
      </w:r>
    </w:p>
    <w:p w14:paraId="04488C2C" w14:textId="64057F3D" w:rsidR="00FD339F" w:rsidRPr="00381DA2" w:rsidRDefault="00FD339F" w:rsidP="003A66EF">
      <w:pPr>
        <w:pStyle w:val="ListParagraph"/>
        <w:tabs>
          <w:tab w:val="left" w:pos="0"/>
          <w:tab w:val="left" w:pos="270"/>
        </w:tabs>
        <w:spacing w:after="120" w:line="276" w:lineRule="auto"/>
        <w:ind w:left="0"/>
        <w:contextualSpacing w:val="0"/>
        <w:jc w:val="both"/>
        <w:rPr>
          <w:rFonts w:asciiTheme="majorHAnsi" w:eastAsia="Times New Roman" w:hAnsiTheme="majorHAnsi" w:cstheme="minorHAnsi"/>
          <w:lang w:val="ro-MD"/>
        </w:rPr>
      </w:pPr>
      <w:r w:rsidRPr="00381DA2">
        <w:rPr>
          <w:rFonts w:asciiTheme="majorHAnsi" w:eastAsia="Times New Roman" w:hAnsiTheme="majorHAnsi" w:cstheme="minorHAnsi"/>
          <w:sz w:val="24"/>
          <w:szCs w:val="24"/>
          <w:lang w:val="ro-MD"/>
        </w:rPr>
        <w:t xml:space="preserve">Cu referire la valorificarea per ansamblu a mijloacelor bugetare alocate pentru finanțarea sistemului de AJGS în anii 2021 și 2022, se atestă o </w:t>
      </w:r>
      <w:r w:rsidRPr="00381DA2">
        <w:rPr>
          <w:rFonts w:asciiTheme="majorHAnsi" w:eastAsia="Times New Roman" w:hAnsiTheme="majorHAnsi" w:cstheme="majorHAnsi"/>
          <w:i/>
          <w:sz w:val="24"/>
          <w:szCs w:val="24"/>
          <w:lang w:val="ro-MD"/>
        </w:rPr>
        <w:t xml:space="preserve">execuție bugetară, comparativ cu indicii </w:t>
      </w:r>
      <w:r w:rsidR="00F5433A">
        <w:rPr>
          <w:rFonts w:asciiTheme="majorHAnsi" w:eastAsia="Times New Roman" w:hAnsiTheme="majorHAnsi" w:cstheme="majorHAnsi"/>
          <w:i/>
          <w:sz w:val="24"/>
          <w:szCs w:val="24"/>
          <w:lang w:val="ro-MD"/>
        </w:rPr>
        <w:lastRenderedPageBreak/>
        <w:t>precizați</w:t>
      </w:r>
      <w:r w:rsidRPr="00381DA2">
        <w:rPr>
          <w:rFonts w:asciiTheme="majorHAnsi" w:eastAsia="Times New Roman" w:hAnsiTheme="majorHAnsi" w:cstheme="majorHAnsi"/>
          <w:i/>
          <w:sz w:val="24"/>
          <w:szCs w:val="24"/>
          <w:lang w:val="ro-MD"/>
        </w:rPr>
        <w:t>,</w:t>
      </w:r>
      <w:r w:rsidRPr="00381DA2">
        <w:rPr>
          <w:rFonts w:asciiTheme="majorHAnsi" w:eastAsia="Times New Roman" w:hAnsiTheme="majorHAnsi" w:cstheme="minorHAnsi"/>
          <w:sz w:val="24"/>
          <w:szCs w:val="24"/>
          <w:lang w:val="ro-MD"/>
        </w:rPr>
        <w:t xml:space="preserve"> </w:t>
      </w:r>
      <w:r w:rsidR="00F5433A">
        <w:rPr>
          <w:rFonts w:asciiTheme="majorHAnsi" w:eastAsia="Times New Roman" w:hAnsiTheme="majorHAnsi" w:cstheme="minorHAnsi"/>
          <w:sz w:val="24"/>
          <w:szCs w:val="24"/>
          <w:lang w:val="ro-MD"/>
        </w:rPr>
        <w:t xml:space="preserve">la nivel de </w:t>
      </w:r>
      <w:r w:rsidRPr="00381DA2">
        <w:rPr>
          <w:rFonts w:asciiTheme="majorHAnsi" w:eastAsia="Times New Roman" w:hAnsiTheme="majorHAnsi" w:cstheme="minorHAnsi"/>
          <w:sz w:val="24"/>
          <w:szCs w:val="24"/>
          <w:lang w:val="ro-MD"/>
        </w:rPr>
        <w:t xml:space="preserve">100%, sau devierile la nivel agregat </w:t>
      </w:r>
      <w:r w:rsidR="00F40845">
        <w:rPr>
          <w:rFonts w:asciiTheme="majorHAnsi" w:eastAsia="Times New Roman" w:hAnsiTheme="majorHAnsi" w:cstheme="minorHAnsi"/>
          <w:sz w:val="24"/>
          <w:szCs w:val="24"/>
          <w:lang w:val="ro-MD"/>
        </w:rPr>
        <w:t>sunt</w:t>
      </w:r>
      <w:r w:rsidRPr="00381DA2">
        <w:rPr>
          <w:rFonts w:asciiTheme="majorHAnsi" w:eastAsia="Times New Roman" w:hAnsiTheme="majorHAnsi" w:cstheme="minorHAnsi"/>
          <w:sz w:val="24"/>
          <w:szCs w:val="24"/>
          <w:lang w:val="ro-MD"/>
        </w:rPr>
        <w:t xml:space="preserve"> nesemnificative. Cu referire la anul 2020</w:t>
      </w:r>
      <w:r w:rsidR="00633058">
        <w:rPr>
          <w:rFonts w:asciiTheme="majorHAnsi" w:eastAsia="Times New Roman" w:hAnsiTheme="majorHAnsi" w:cstheme="minorHAnsi"/>
          <w:sz w:val="24"/>
          <w:szCs w:val="24"/>
          <w:lang w:val="ro-MD"/>
        </w:rPr>
        <w:t>,</w:t>
      </w:r>
      <w:r w:rsidRPr="00381DA2">
        <w:rPr>
          <w:rFonts w:asciiTheme="majorHAnsi" w:eastAsia="Times New Roman" w:hAnsiTheme="majorHAnsi" w:cstheme="minorHAnsi"/>
          <w:sz w:val="24"/>
          <w:szCs w:val="24"/>
          <w:lang w:val="ro-MD"/>
        </w:rPr>
        <w:t xml:space="preserve"> se observă o </w:t>
      </w:r>
      <w:proofErr w:type="spellStart"/>
      <w:r w:rsidRPr="00381DA2">
        <w:rPr>
          <w:rFonts w:asciiTheme="majorHAnsi" w:eastAsia="Times New Roman" w:hAnsiTheme="majorHAnsi" w:cstheme="minorHAnsi"/>
          <w:sz w:val="24"/>
          <w:szCs w:val="24"/>
          <w:lang w:val="ro-MD"/>
        </w:rPr>
        <w:t>neexecuție</w:t>
      </w:r>
      <w:proofErr w:type="spellEnd"/>
      <w:r w:rsidRPr="00381DA2">
        <w:rPr>
          <w:rFonts w:asciiTheme="majorHAnsi" w:eastAsia="Times New Roman" w:hAnsiTheme="majorHAnsi" w:cstheme="minorHAnsi"/>
          <w:sz w:val="24"/>
          <w:szCs w:val="24"/>
          <w:lang w:val="ro-MD"/>
        </w:rPr>
        <w:t xml:space="preserve"> a bugetului </w:t>
      </w:r>
      <w:r w:rsidR="0082226F" w:rsidRPr="00381DA2">
        <w:rPr>
          <w:rFonts w:asciiTheme="majorHAnsi" w:eastAsia="Times New Roman" w:hAnsiTheme="majorHAnsi" w:cstheme="minorHAnsi"/>
          <w:sz w:val="24"/>
          <w:szCs w:val="24"/>
          <w:lang w:val="ro-MD"/>
        </w:rPr>
        <w:t>atât</w:t>
      </w:r>
      <w:r w:rsidRPr="00381DA2">
        <w:rPr>
          <w:rFonts w:asciiTheme="majorHAnsi" w:eastAsia="Times New Roman" w:hAnsiTheme="majorHAnsi" w:cstheme="minorHAnsi"/>
          <w:sz w:val="24"/>
          <w:szCs w:val="24"/>
          <w:lang w:val="ro-MD"/>
        </w:rPr>
        <w:t xml:space="preserve"> față de datele precizate</w:t>
      </w:r>
      <w:r w:rsidR="00633058">
        <w:rPr>
          <w:rFonts w:asciiTheme="majorHAnsi" w:eastAsia="Times New Roman" w:hAnsiTheme="majorHAnsi" w:cstheme="minorHAnsi"/>
          <w:sz w:val="24"/>
          <w:szCs w:val="24"/>
          <w:lang w:val="ro-MD"/>
        </w:rPr>
        <w:t>,</w:t>
      </w:r>
      <w:r w:rsidRPr="00381DA2">
        <w:rPr>
          <w:rFonts w:asciiTheme="majorHAnsi" w:eastAsia="Times New Roman" w:hAnsiTheme="majorHAnsi" w:cstheme="minorHAnsi"/>
          <w:sz w:val="24"/>
          <w:szCs w:val="24"/>
          <w:lang w:val="ro-MD"/>
        </w:rPr>
        <w:t xml:space="preserve"> </w:t>
      </w:r>
      <w:r w:rsidR="0082226F" w:rsidRPr="00381DA2">
        <w:rPr>
          <w:rFonts w:asciiTheme="majorHAnsi" w:eastAsia="Times New Roman" w:hAnsiTheme="majorHAnsi" w:cstheme="minorHAnsi"/>
          <w:sz w:val="24"/>
          <w:szCs w:val="24"/>
          <w:lang w:val="ro-MD"/>
        </w:rPr>
        <w:t>cât</w:t>
      </w:r>
      <w:r w:rsidRPr="00381DA2">
        <w:rPr>
          <w:rFonts w:asciiTheme="majorHAnsi" w:eastAsia="Times New Roman" w:hAnsiTheme="majorHAnsi" w:cstheme="minorHAnsi"/>
          <w:sz w:val="24"/>
          <w:szCs w:val="24"/>
          <w:lang w:val="ro-MD"/>
        </w:rPr>
        <w:t xml:space="preserve"> și </w:t>
      </w:r>
      <w:r w:rsidR="00F40845">
        <w:rPr>
          <w:rFonts w:asciiTheme="majorHAnsi" w:eastAsia="Times New Roman" w:hAnsiTheme="majorHAnsi" w:cstheme="minorHAnsi"/>
          <w:sz w:val="24"/>
          <w:szCs w:val="24"/>
          <w:lang w:val="ro-MD"/>
        </w:rPr>
        <w:t xml:space="preserve">față </w:t>
      </w:r>
      <w:r w:rsidRPr="00381DA2">
        <w:rPr>
          <w:rFonts w:asciiTheme="majorHAnsi" w:eastAsia="Times New Roman" w:hAnsiTheme="majorHAnsi" w:cstheme="minorHAnsi"/>
          <w:sz w:val="24"/>
          <w:szCs w:val="24"/>
          <w:lang w:val="ro-MD"/>
        </w:rPr>
        <w:t>de cele inițial aprobate,</w:t>
      </w:r>
      <w:r w:rsidR="00F86EFC">
        <w:rPr>
          <w:rFonts w:asciiTheme="majorHAnsi" w:eastAsia="Times New Roman" w:hAnsiTheme="majorHAnsi" w:cstheme="minorHAnsi"/>
          <w:sz w:val="24"/>
          <w:szCs w:val="24"/>
          <w:lang w:val="ro-MD"/>
        </w:rPr>
        <w:t xml:space="preserve"> sau</w:t>
      </w:r>
      <w:r w:rsidRPr="00381DA2">
        <w:rPr>
          <w:rFonts w:asciiTheme="majorHAnsi" w:eastAsia="Times New Roman" w:hAnsiTheme="majorHAnsi" w:cstheme="minorHAnsi"/>
          <w:sz w:val="24"/>
          <w:szCs w:val="24"/>
          <w:lang w:val="ro-MD"/>
        </w:rPr>
        <w:t xml:space="preserve"> </w:t>
      </w:r>
      <w:r w:rsidR="00F86EFC">
        <w:rPr>
          <w:rFonts w:asciiTheme="majorHAnsi" w:eastAsia="Times New Roman" w:hAnsiTheme="majorHAnsi" w:cstheme="minorHAnsi"/>
          <w:sz w:val="24"/>
          <w:szCs w:val="24"/>
          <w:lang w:val="ro-MD"/>
        </w:rPr>
        <w:t>la</w:t>
      </w:r>
      <w:r w:rsidR="00F5433A">
        <w:rPr>
          <w:rFonts w:asciiTheme="majorHAnsi" w:eastAsia="Times New Roman" w:hAnsiTheme="majorHAnsi" w:cstheme="minorHAnsi"/>
          <w:sz w:val="24"/>
          <w:szCs w:val="24"/>
          <w:lang w:val="ro-MD"/>
        </w:rPr>
        <w:t xml:space="preserve"> nivel </w:t>
      </w:r>
      <w:r w:rsidRPr="00381DA2">
        <w:rPr>
          <w:rFonts w:asciiTheme="majorHAnsi" w:eastAsia="Times New Roman" w:hAnsiTheme="majorHAnsi" w:cstheme="minorHAnsi"/>
          <w:sz w:val="24"/>
          <w:szCs w:val="24"/>
          <w:lang w:val="ro-MD"/>
        </w:rPr>
        <w:t xml:space="preserve">de 16% </w:t>
      </w:r>
      <w:r w:rsidR="00F5433A">
        <w:rPr>
          <w:rFonts w:asciiTheme="majorHAnsi" w:eastAsia="Times New Roman" w:hAnsiTheme="majorHAnsi" w:cstheme="minorHAnsi"/>
          <w:sz w:val="24"/>
          <w:szCs w:val="24"/>
          <w:lang w:val="ro-MD"/>
        </w:rPr>
        <w:t>și</w:t>
      </w:r>
      <w:r w:rsidR="00F40845">
        <w:rPr>
          <w:rFonts w:asciiTheme="majorHAnsi" w:eastAsia="Times New Roman" w:hAnsiTheme="majorHAnsi" w:cstheme="minorHAnsi"/>
          <w:sz w:val="24"/>
          <w:szCs w:val="24"/>
          <w:lang w:val="ro-MD"/>
        </w:rPr>
        <w:t>, respectiv,</w:t>
      </w:r>
      <w:r w:rsidR="00F5433A">
        <w:rPr>
          <w:rFonts w:asciiTheme="majorHAnsi" w:eastAsia="Times New Roman" w:hAnsiTheme="majorHAnsi" w:cstheme="minorHAnsi"/>
          <w:sz w:val="24"/>
          <w:szCs w:val="24"/>
          <w:lang w:val="ro-MD"/>
        </w:rPr>
        <w:t xml:space="preserve"> 13%</w:t>
      </w:r>
      <w:r w:rsidR="00633058">
        <w:rPr>
          <w:rFonts w:asciiTheme="majorHAnsi" w:eastAsia="Times New Roman" w:hAnsiTheme="majorHAnsi" w:cstheme="minorHAnsi"/>
          <w:sz w:val="24"/>
          <w:szCs w:val="24"/>
          <w:lang w:val="ro-MD"/>
        </w:rPr>
        <w:t>,</w:t>
      </w:r>
      <w:r w:rsidR="00F5433A">
        <w:rPr>
          <w:rFonts w:asciiTheme="majorHAnsi" w:eastAsia="Times New Roman" w:hAnsiTheme="majorHAnsi" w:cstheme="minorHAnsi"/>
          <w:sz w:val="24"/>
          <w:szCs w:val="24"/>
          <w:lang w:val="ro-MD"/>
        </w:rPr>
        <w:t xml:space="preserve"> </w:t>
      </w:r>
      <w:r w:rsidR="00F40845">
        <w:rPr>
          <w:rFonts w:asciiTheme="majorHAnsi" w:eastAsia="Times New Roman" w:hAnsiTheme="majorHAnsi" w:cstheme="minorHAnsi"/>
          <w:sz w:val="24"/>
          <w:szCs w:val="24"/>
          <w:lang w:val="ro-MD"/>
        </w:rPr>
        <w:t>astfel</w:t>
      </w:r>
      <w:r w:rsidRPr="00381DA2">
        <w:rPr>
          <w:rFonts w:asciiTheme="majorHAnsi" w:eastAsia="Times New Roman" w:hAnsiTheme="majorHAnsi" w:cstheme="minorHAnsi"/>
          <w:sz w:val="24"/>
          <w:szCs w:val="24"/>
          <w:lang w:val="ro-MD"/>
        </w:rPr>
        <w:t xml:space="preserve"> </w:t>
      </w:r>
      <w:r w:rsidR="00805E8F">
        <w:rPr>
          <w:rFonts w:asciiTheme="majorHAnsi" w:eastAsia="Times New Roman" w:hAnsiTheme="majorHAnsi" w:cstheme="minorHAnsi"/>
          <w:sz w:val="24"/>
          <w:szCs w:val="24"/>
          <w:lang w:val="ro-MD"/>
        </w:rPr>
        <w:t>înregistr</w:t>
      </w:r>
      <w:r w:rsidR="00F40845">
        <w:rPr>
          <w:rFonts w:asciiTheme="majorHAnsi" w:eastAsia="Times New Roman" w:hAnsiTheme="majorHAnsi" w:cstheme="minorHAnsi"/>
          <w:sz w:val="24"/>
          <w:szCs w:val="24"/>
          <w:lang w:val="ro-MD"/>
        </w:rPr>
        <w:t>â</w:t>
      </w:r>
      <w:r w:rsidR="00805E8F">
        <w:rPr>
          <w:rFonts w:asciiTheme="majorHAnsi" w:eastAsia="Times New Roman" w:hAnsiTheme="majorHAnsi" w:cstheme="minorHAnsi"/>
          <w:sz w:val="24"/>
          <w:szCs w:val="24"/>
          <w:lang w:val="ro-MD"/>
        </w:rPr>
        <w:t>nd</w:t>
      </w:r>
      <w:r w:rsidR="00F40845">
        <w:rPr>
          <w:rFonts w:asciiTheme="majorHAnsi" w:eastAsia="Times New Roman" w:hAnsiTheme="majorHAnsi" w:cstheme="minorHAnsi"/>
          <w:sz w:val="24"/>
          <w:szCs w:val="24"/>
          <w:lang w:val="ro-MD"/>
        </w:rPr>
        <w:t>u-se</w:t>
      </w:r>
      <w:r w:rsidR="00F86EFC">
        <w:rPr>
          <w:rFonts w:asciiTheme="majorHAnsi" w:eastAsia="Times New Roman" w:hAnsiTheme="majorHAnsi" w:cstheme="minorHAnsi"/>
          <w:sz w:val="24"/>
          <w:szCs w:val="24"/>
          <w:lang w:val="ro-MD"/>
        </w:rPr>
        <w:t xml:space="preserve"> nevalorificarea sume</w:t>
      </w:r>
      <w:r w:rsidR="00F40845">
        <w:rPr>
          <w:rFonts w:asciiTheme="majorHAnsi" w:eastAsia="Times New Roman" w:hAnsiTheme="majorHAnsi" w:cstheme="minorHAnsi"/>
          <w:sz w:val="24"/>
          <w:szCs w:val="24"/>
          <w:lang w:val="ro-MD"/>
        </w:rPr>
        <w:t>lor</w:t>
      </w:r>
      <w:r w:rsidR="00F86EFC">
        <w:rPr>
          <w:rFonts w:asciiTheme="majorHAnsi" w:eastAsia="Times New Roman" w:hAnsiTheme="majorHAnsi" w:cstheme="minorHAnsi"/>
          <w:sz w:val="24"/>
          <w:szCs w:val="24"/>
          <w:lang w:val="ro-MD"/>
        </w:rPr>
        <w:t xml:space="preserve"> de 10,6</w:t>
      </w:r>
      <w:r w:rsidRPr="00381DA2">
        <w:rPr>
          <w:rFonts w:asciiTheme="majorHAnsi" w:eastAsia="Times New Roman" w:hAnsiTheme="majorHAnsi" w:cstheme="minorHAnsi"/>
          <w:sz w:val="24"/>
          <w:szCs w:val="24"/>
          <w:lang w:val="ro-MD"/>
        </w:rPr>
        <w:t xml:space="preserve"> mil.lei</w:t>
      </w:r>
      <w:r w:rsidR="00F86EFC">
        <w:rPr>
          <w:rFonts w:asciiTheme="majorHAnsi" w:eastAsia="Times New Roman" w:hAnsiTheme="majorHAnsi" w:cstheme="minorHAnsi"/>
          <w:sz w:val="24"/>
          <w:szCs w:val="24"/>
          <w:lang w:val="ro-MD"/>
        </w:rPr>
        <w:t xml:space="preserve"> și</w:t>
      </w:r>
      <w:r w:rsidR="00F40845">
        <w:rPr>
          <w:rFonts w:asciiTheme="majorHAnsi" w:eastAsia="Times New Roman" w:hAnsiTheme="majorHAnsi" w:cstheme="minorHAnsi"/>
          <w:sz w:val="24"/>
          <w:szCs w:val="24"/>
          <w:lang w:val="ro-MD"/>
        </w:rPr>
        <w:t>, respectiv,</w:t>
      </w:r>
      <w:r w:rsidR="00F86EFC">
        <w:rPr>
          <w:rFonts w:asciiTheme="majorHAnsi" w:eastAsia="Times New Roman" w:hAnsiTheme="majorHAnsi" w:cstheme="minorHAnsi"/>
          <w:sz w:val="24"/>
          <w:szCs w:val="24"/>
          <w:lang w:val="ro-MD"/>
        </w:rPr>
        <w:t xml:space="preserve"> 8,1 mil.lei</w:t>
      </w:r>
      <w:r w:rsidRPr="00381DA2">
        <w:rPr>
          <w:rFonts w:asciiTheme="majorHAnsi" w:eastAsia="Times New Roman" w:hAnsiTheme="majorHAnsi" w:cstheme="minorHAnsi"/>
          <w:sz w:val="24"/>
          <w:szCs w:val="24"/>
          <w:lang w:val="ro-MD"/>
        </w:rPr>
        <w:t>.</w:t>
      </w:r>
    </w:p>
    <w:p w14:paraId="6E362882" w14:textId="37E4A8B0" w:rsidR="00A02682" w:rsidRPr="00A02682" w:rsidRDefault="00A02682" w:rsidP="00A02682">
      <w:pPr>
        <w:autoSpaceDE w:val="0"/>
        <w:autoSpaceDN w:val="0"/>
        <w:adjustRightInd w:val="0"/>
        <w:spacing w:after="120" w:line="276" w:lineRule="auto"/>
        <w:ind w:firstLine="360"/>
        <w:jc w:val="both"/>
        <w:rPr>
          <w:rFonts w:asciiTheme="majorHAnsi" w:hAnsiTheme="majorHAnsi" w:cstheme="minorHAnsi"/>
          <w:color w:val="0070C0"/>
          <w:sz w:val="24"/>
          <w:szCs w:val="24"/>
        </w:rPr>
      </w:pPr>
      <w:r w:rsidRPr="00A02682">
        <w:rPr>
          <w:rFonts w:asciiTheme="majorHAnsi" w:hAnsiTheme="majorHAnsi" w:cstheme="minorHAnsi"/>
          <w:color w:val="0070C0"/>
          <w:sz w:val="24"/>
          <w:szCs w:val="24"/>
        </w:rPr>
        <w:t>b)</w:t>
      </w:r>
      <w:r w:rsidRPr="00A02682">
        <w:rPr>
          <w:color w:val="0070C0"/>
        </w:rPr>
        <w:t xml:space="preserve"> </w:t>
      </w:r>
      <w:r w:rsidRPr="003F7196">
        <w:rPr>
          <w:rFonts w:asciiTheme="majorHAnsi" w:hAnsiTheme="majorHAnsi" w:cstheme="minorHAnsi"/>
          <w:color w:val="0070C0"/>
          <w:sz w:val="24"/>
          <w:szCs w:val="24"/>
        </w:rPr>
        <w:t>În pofida faptului</w:t>
      </w:r>
      <w:r w:rsidRPr="00A02682">
        <w:rPr>
          <w:rFonts w:asciiTheme="majorHAnsi" w:hAnsiTheme="majorHAnsi" w:cstheme="minorHAnsi"/>
          <w:color w:val="0070C0"/>
          <w:sz w:val="24"/>
          <w:szCs w:val="24"/>
        </w:rPr>
        <w:t xml:space="preserve"> că statul țintește oferirea serviciilor juridice gratuite persoanelor cu venituri mici, în perioada auditată  această activitate a fost preponderent focusată pe cauze penale la solicitarea instituțiilor de drept</w:t>
      </w:r>
    </w:p>
    <w:p w14:paraId="2EBCE9BB" w14:textId="0F18CB67"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Asistența juridică garantată din contul statului este orientată și</w:t>
      </w:r>
      <w:r w:rsidR="00C20231">
        <w:rPr>
          <w:rFonts w:asciiTheme="majorHAnsi" w:hAnsiTheme="majorHAnsi" w:cstheme="minorHAnsi"/>
          <w:sz w:val="24"/>
          <w:szCs w:val="24"/>
        </w:rPr>
        <w:t xml:space="preserve"> oferită</w:t>
      </w:r>
      <w:r w:rsidR="00F40845">
        <w:rPr>
          <w:rFonts w:asciiTheme="majorHAnsi" w:hAnsiTheme="majorHAnsi" w:cstheme="minorHAnsi"/>
          <w:sz w:val="24"/>
          <w:szCs w:val="24"/>
        </w:rPr>
        <w:t xml:space="preserve">, </w:t>
      </w:r>
      <w:r w:rsidR="00F40845" w:rsidRPr="00381DA2">
        <w:rPr>
          <w:rFonts w:asciiTheme="majorHAnsi" w:hAnsiTheme="majorHAnsi" w:cstheme="minorHAnsi"/>
          <w:sz w:val="24"/>
          <w:szCs w:val="24"/>
        </w:rPr>
        <w:t>în principiu</w:t>
      </w:r>
      <w:r w:rsidR="00F40845">
        <w:rPr>
          <w:rFonts w:asciiTheme="majorHAnsi" w:hAnsiTheme="majorHAnsi" w:cstheme="minorHAnsi"/>
          <w:sz w:val="24"/>
          <w:szCs w:val="24"/>
        </w:rPr>
        <w:t>,</w:t>
      </w:r>
      <w:r w:rsidR="00C20231">
        <w:rPr>
          <w:rFonts w:asciiTheme="majorHAnsi" w:hAnsiTheme="majorHAnsi" w:cstheme="minorHAnsi"/>
          <w:sz w:val="24"/>
          <w:szCs w:val="24"/>
        </w:rPr>
        <w:t xml:space="preserve"> persoanelor cu venituri reduse</w:t>
      </w:r>
      <w:r w:rsidRPr="00381DA2">
        <w:rPr>
          <w:rStyle w:val="FootnoteReference"/>
          <w:rFonts w:asciiTheme="majorHAnsi" w:hAnsiTheme="majorHAnsi" w:cstheme="minorHAnsi"/>
          <w:sz w:val="24"/>
          <w:szCs w:val="24"/>
        </w:rPr>
        <w:footnoteReference w:id="9"/>
      </w:r>
      <w:r w:rsidRPr="00381DA2">
        <w:rPr>
          <w:rFonts w:asciiTheme="majorHAnsi" w:hAnsiTheme="majorHAnsi" w:cstheme="minorHAnsi"/>
          <w:sz w:val="24"/>
          <w:szCs w:val="24"/>
        </w:rPr>
        <w:t>, întrucât ace</w:t>
      </w:r>
      <w:r w:rsidR="004D62A9">
        <w:rPr>
          <w:rFonts w:asciiTheme="majorHAnsi" w:hAnsiTheme="majorHAnsi" w:cstheme="minorHAnsi"/>
          <w:sz w:val="24"/>
          <w:szCs w:val="24"/>
        </w:rPr>
        <w:t>stea</w:t>
      </w:r>
      <w:r w:rsidRPr="00381DA2">
        <w:rPr>
          <w:rFonts w:asciiTheme="majorHAnsi" w:hAnsiTheme="majorHAnsi" w:cstheme="minorHAnsi"/>
          <w:sz w:val="24"/>
          <w:szCs w:val="24"/>
        </w:rPr>
        <w:t xml:space="preserve"> nu dispun de mijloace </w:t>
      </w:r>
      <w:r w:rsidR="00654FF8">
        <w:rPr>
          <w:rFonts w:asciiTheme="majorHAnsi" w:hAnsiTheme="majorHAnsi" w:cstheme="minorHAnsi"/>
          <w:sz w:val="24"/>
          <w:szCs w:val="24"/>
        </w:rPr>
        <w:t xml:space="preserve">financiare </w:t>
      </w:r>
      <w:r w:rsidRPr="00381DA2">
        <w:rPr>
          <w:rFonts w:asciiTheme="majorHAnsi" w:hAnsiTheme="majorHAnsi" w:cstheme="minorHAnsi"/>
          <w:sz w:val="24"/>
          <w:szCs w:val="24"/>
        </w:rPr>
        <w:t>suficiente pentru a acoperi costurile asistenței unui avocat</w:t>
      </w:r>
      <w:r w:rsidR="004D62A9">
        <w:rPr>
          <w:rFonts w:asciiTheme="majorHAnsi" w:hAnsiTheme="majorHAnsi" w:cstheme="minorHAnsi"/>
          <w:sz w:val="24"/>
          <w:szCs w:val="24"/>
        </w:rPr>
        <w:t>,</w:t>
      </w:r>
      <w:r w:rsidRPr="00381DA2">
        <w:rPr>
          <w:rFonts w:asciiTheme="majorHAnsi" w:hAnsiTheme="majorHAnsi" w:cstheme="minorHAnsi"/>
          <w:sz w:val="24"/>
          <w:szCs w:val="24"/>
        </w:rPr>
        <w:t xml:space="preserve"> iar interesele justiției reclamă această asistență.</w:t>
      </w:r>
    </w:p>
    <w:p w14:paraId="205F70FE" w14:textId="0B0FE66C"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Procedura de solicitare</w:t>
      </w:r>
      <w:r w:rsidR="00654FF8">
        <w:rPr>
          <w:rFonts w:asciiTheme="majorHAnsi" w:hAnsiTheme="majorHAnsi" w:cstheme="minorHAnsi"/>
          <w:sz w:val="24"/>
          <w:szCs w:val="24"/>
        </w:rPr>
        <w:t xml:space="preserve"> a</w:t>
      </w:r>
      <w:r w:rsidRPr="00381DA2">
        <w:rPr>
          <w:rFonts w:asciiTheme="majorHAnsi" w:hAnsiTheme="majorHAnsi" w:cstheme="minorHAnsi"/>
          <w:sz w:val="24"/>
          <w:szCs w:val="24"/>
        </w:rPr>
        <w:t xml:space="preserve"> AJGS poate fi inițiată atât de persoana în cauză</w:t>
      </w:r>
      <w:r w:rsidR="004D62A9">
        <w:rPr>
          <w:rFonts w:asciiTheme="majorHAnsi" w:hAnsiTheme="majorHAnsi" w:cstheme="minorHAnsi"/>
          <w:sz w:val="24"/>
          <w:szCs w:val="24"/>
        </w:rPr>
        <w:t>,</w:t>
      </w:r>
      <w:r w:rsidRPr="00381DA2">
        <w:rPr>
          <w:rFonts w:asciiTheme="majorHAnsi" w:hAnsiTheme="majorHAnsi" w:cstheme="minorHAnsi"/>
          <w:sz w:val="24"/>
          <w:szCs w:val="24"/>
        </w:rPr>
        <w:t xml:space="preserve"> cât și de către organele de urmărire penală sau </w:t>
      </w:r>
      <w:r w:rsidR="004D62A9">
        <w:rPr>
          <w:rFonts w:asciiTheme="majorHAnsi" w:hAnsiTheme="majorHAnsi" w:cstheme="minorHAnsi"/>
          <w:sz w:val="24"/>
          <w:szCs w:val="24"/>
        </w:rPr>
        <w:t xml:space="preserve">de </w:t>
      </w:r>
      <w:r w:rsidRPr="00381DA2">
        <w:rPr>
          <w:rFonts w:asciiTheme="majorHAnsi" w:hAnsiTheme="majorHAnsi" w:cstheme="minorHAnsi"/>
          <w:sz w:val="24"/>
          <w:szCs w:val="24"/>
        </w:rPr>
        <w:t xml:space="preserve">instanțele de judecată. Astfel, potrivit art. 19 și art. 20 din Legea </w:t>
      </w:r>
      <w:r w:rsidR="004D62A9">
        <w:rPr>
          <w:rFonts w:asciiTheme="majorHAnsi" w:hAnsiTheme="majorHAnsi" w:cstheme="minorHAnsi"/>
          <w:sz w:val="24"/>
          <w:szCs w:val="24"/>
        </w:rPr>
        <w:t>nr.</w:t>
      </w:r>
      <w:r w:rsidRPr="00381DA2">
        <w:rPr>
          <w:rFonts w:asciiTheme="majorHAnsi" w:hAnsiTheme="majorHAnsi" w:cstheme="minorHAnsi"/>
          <w:sz w:val="24"/>
          <w:szCs w:val="24"/>
        </w:rPr>
        <w:t>198/2007</w:t>
      </w:r>
      <w:r w:rsidR="004D62A9">
        <w:rPr>
          <w:rFonts w:asciiTheme="majorHAnsi" w:hAnsiTheme="majorHAnsi" w:cstheme="minorHAnsi"/>
          <w:sz w:val="24"/>
          <w:szCs w:val="24"/>
        </w:rPr>
        <w:t>,</w:t>
      </w:r>
      <w:r w:rsidRPr="00381DA2">
        <w:rPr>
          <w:rFonts w:asciiTheme="majorHAnsi" w:hAnsiTheme="majorHAnsi" w:cstheme="minorHAnsi"/>
          <w:sz w:val="24"/>
          <w:szCs w:val="24"/>
        </w:rPr>
        <w:t xml:space="preserve"> precum și reglementărilor </w:t>
      </w:r>
      <w:r w:rsidR="004D62A9">
        <w:rPr>
          <w:rFonts w:asciiTheme="majorHAnsi" w:hAnsiTheme="majorHAnsi" w:cstheme="minorHAnsi"/>
          <w:sz w:val="24"/>
          <w:szCs w:val="24"/>
        </w:rPr>
        <w:t xml:space="preserve">din </w:t>
      </w:r>
      <w:r w:rsidRPr="00381DA2">
        <w:rPr>
          <w:rFonts w:asciiTheme="majorHAnsi" w:hAnsiTheme="majorHAnsi" w:cstheme="minorHAnsi"/>
          <w:sz w:val="24"/>
          <w:szCs w:val="24"/>
        </w:rPr>
        <w:t>legil</w:t>
      </w:r>
      <w:r w:rsidR="004D62A9">
        <w:rPr>
          <w:rFonts w:asciiTheme="majorHAnsi" w:hAnsiTheme="majorHAnsi" w:cstheme="minorHAnsi"/>
          <w:sz w:val="24"/>
          <w:szCs w:val="24"/>
        </w:rPr>
        <w:t>e</w:t>
      </w:r>
      <w:r w:rsidRPr="00381DA2">
        <w:rPr>
          <w:rFonts w:asciiTheme="majorHAnsi" w:hAnsiTheme="majorHAnsi" w:cstheme="minorHAnsi"/>
          <w:sz w:val="24"/>
          <w:szCs w:val="24"/>
        </w:rPr>
        <w:t xml:space="preserve"> organice</w:t>
      </w:r>
      <w:r w:rsidRPr="00381DA2">
        <w:rPr>
          <w:rStyle w:val="FootnoteReference"/>
          <w:rFonts w:asciiTheme="majorHAnsi" w:hAnsiTheme="majorHAnsi" w:cstheme="minorHAnsi"/>
          <w:sz w:val="24"/>
          <w:szCs w:val="24"/>
        </w:rPr>
        <w:footnoteReference w:id="10"/>
      </w:r>
      <w:r w:rsidRPr="00381DA2">
        <w:rPr>
          <w:rFonts w:asciiTheme="majorHAnsi" w:hAnsiTheme="majorHAnsi" w:cstheme="minorHAnsi"/>
          <w:sz w:val="24"/>
          <w:szCs w:val="24"/>
        </w:rPr>
        <w:t>, asistenț</w:t>
      </w:r>
      <w:r w:rsidR="004D62A9">
        <w:rPr>
          <w:rFonts w:asciiTheme="majorHAnsi" w:hAnsiTheme="majorHAnsi" w:cstheme="minorHAnsi"/>
          <w:sz w:val="24"/>
          <w:szCs w:val="24"/>
        </w:rPr>
        <w:t>a</w:t>
      </w:r>
      <w:r w:rsidRPr="00381DA2">
        <w:rPr>
          <w:rFonts w:asciiTheme="majorHAnsi" w:hAnsiTheme="majorHAnsi" w:cstheme="minorHAnsi"/>
          <w:sz w:val="24"/>
          <w:szCs w:val="24"/>
        </w:rPr>
        <w:t xml:space="preserve"> juridică calificată pentru cauzele penale poate fi solicitată la orice etap</w:t>
      </w:r>
      <w:r w:rsidR="004D62A9">
        <w:rPr>
          <w:rFonts w:asciiTheme="majorHAnsi" w:hAnsiTheme="majorHAnsi" w:cstheme="minorHAnsi"/>
          <w:sz w:val="24"/>
          <w:szCs w:val="24"/>
        </w:rPr>
        <w:t>ă</w:t>
      </w:r>
      <w:r w:rsidRPr="00381DA2">
        <w:rPr>
          <w:rFonts w:asciiTheme="majorHAnsi" w:hAnsiTheme="majorHAnsi" w:cstheme="minorHAnsi"/>
          <w:sz w:val="24"/>
          <w:szCs w:val="24"/>
        </w:rPr>
        <w:t xml:space="preserve"> procesuală la care survine obligativitatea participării avocatului garantat de stat, iar la cele non-penale </w:t>
      </w:r>
      <w:r w:rsidR="004D62A9">
        <w:rPr>
          <w:rFonts w:asciiTheme="majorHAnsi" w:hAnsiTheme="majorHAnsi" w:cstheme="minorHAnsi"/>
          <w:sz w:val="24"/>
          <w:szCs w:val="24"/>
        </w:rPr>
        <w:t>–</w:t>
      </w:r>
      <w:r w:rsidRPr="00381DA2">
        <w:rPr>
          <w:rFonts w:asciiTheme="majorHAnsi" w:hAnsiTheme="majorHAnsi" w:cstheme="minorHAnsi"/>
          <w:sz w:val="24"/>
          <w:szCs w:val="24"/>
        </w:rPr>
        <w:t xml:space="preserve"> și până la inițierea procesului. Criteriile de eligibilitate ale beneficiarilor de care trebuie să se țină cont atunci când se apelează la a</w:t>
      </w:r>
      <w:r w:rsidR="00E4384C">
        <w:rPr>
          <w:rFonts w:asciiTheme="majorHAnsi" w:hAnsiTheme="majorHAnsi" w:cstheme="minorHAnsi"/>
          <w:sz w:val="24"/>
          <w:szCs w:val="24"/>
        </w:rPr>
        <w:t>sistența juridică calificată, su</w:t>
      </w:r>
      <w:r w:rsidRPr="00381DA2">
        <w:rPr>
          <w:rFonts w:asciiTheme="majorHAnsi" w:hAnsiTheme="majorHAnsi" w:cstheme="minorHAnsi"/>
          <w:sz w:val="24"/>
          <w:szCs w:val="24"/>
        </w:rPr>
        <w:t xml:space="preserve">nt clasificate în două categorii: </w:t>
      </w:r>
    </w:p>
    <w:p w14:paraId="087E93BF" w14:textId="7C07804B" w:rsidR="00FD339F" w:rsidRPr="00381DA2" w:rsidRDefault="00FD339F" w:rsidP="003F7196">
      <w:pPr>
        <w:autoSpaceDE w:val="0"/>
        <w:autoSpaceDN w:val="0"/>
        <w:adjustRightInd w:val="0"/>
        <w:spacing w:after="0" w:line="276" w:lineRule="auto"/>
        <w:ind w:left="446"/>
        <w:jc w:val="both"/>
        <w:rPr>
          <w:rFonts w:asciiTheme="majorHAnsi" w:hAnsiTheme="majorHAnsi" w:cstheme="minorHAnsi"/>
          <w:sz w:val="24"/>
          <w:szCs w:val="24"/>
        </w:rPr>
      </w:pPr>
      <w:r w:rsidRPr="00381DA2">
        <w:rPr>
          <w:rFonts w:asciiTheme="majorHAnsi" w:hAnsiTheme="majorHAnsi" w:cstheme="minorHAnsi"/>
          <w:sz w:val="24"/>
          <w:szCs w:val="24"/>
        </w:rPr>
        <w:t>a</w:t>
      </w:r>
      <w:r w:rsidR="004D62A9">
        <w:rPr>
          <w:rFonts w:asciiTheme="majorHAnsi" w:hAnsiTheme="majorHAnsi" w:cstheme="minorHAnsi"/>
          <w:sz w:val="24"/>
          <w:szCs w:val="24"/>
        </w:rPr>
        <w:t>)</w:t>
      </w:r>
      <w:r w:rsidRPr="00381DA2">
        <w:rPr>
          <w:rFonts w:asciiTheme="majorHAnsi" w:hAnsiTheme="majorHAnsi" w:cstheme="minorHAnsi"/>
          <w:sz w:val="24"/>
          <w:szCs w:val="24"/>
        </w:rPr>
        <w:tab/>
      </w:r>
      <w:r w:rsidRPr="00381DA2">
        <w:rPr>
          <w:rFonts w:asciiTheme="majorHAnsi" w:hAnsiTheme="majorHAnsi" w:cstheme="minorHAnsi"/>
          <w:i/>
          <w:sz w:val="24"/>
          <w:szCs w:val="24"/>
        </w:rPr>
        <w:t>criteriul financiar</w:t>
      </w:r>
      <w:r w:rsidRPr="00381DA2">
        <w:rPr>
          <w:rFonts w:asciiTheme="majorHAnsi" w:hAnsiTheme="majorHAnsi" w:cstheme="minorHAnsi"/>
          <w:sz w:val="24"/>
          <w:szCs w:val="24"/>
        </w:rPr>
        <w:t xml:space="preserve"> – se acordă doar acelor persoane care nu dispun de mijloace pentru a plăti serviciile de asistență juridică, și</w:t>
      </w:r>
    </w:p>
    <w:p w14:paraId="7AF6C732" w14:textId="74E2732D"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         b</w:t>
      </w:r>
      <w:r w:rsidR="004D62A9">
        <w:rPr>
          <w:rFonts w:asciiTheme="majorHAnsi" w:hAnsiTheme="majorHAnsi" w:cstheme="minorHAnsi"/>
          <w:sz w:val="24"/>
          <w:szCs w:val="24"/>
        </w:rPr>
        <w:t>)</w:t>
      </w:r>
      <w:r w:rsidRPr="00381DA2">
        <w:rPr>
          <w:rFonts w:asciiTheme="majorHAnsi" w:hAnsiTheme="majorHAnsi" w:cstheme="minorHAnsi"/>
          <w:sz w:val="24"/>
          <w:szCs w:val="24"/>
        </w:rPr>
        <w:tab/>
      </w:r>
      <w:r w:rsidRPr="00381DA2">
        <w:rPr>
          <w:rFonts w:asciiTheme="majorHAnsi" w:hAnsiTheme="majorHAnsi" w:cstheme="minorHAnsi"/>
          <w:i/>
          <w:sz w:val="24"/>
          <w:szCs w:val="24"/>
        </w:rPr>
        <w:t>criteriul referitor la conținutul cauzei</w:t>
      </w:r>
      <w:r w:rsidRPr="00381DA2">
        <w:rPr>
          <w:rFonts w:asciiTheme="majorHAnsi" w:hAnsiTheme="majorHAnsi" w:cstheme="minorHAnsi"/>
          <w:sz w:val="24"/>
          <w:szCs w:val="24"/>
        </w:rPr>
        <w:t xml:space="preserve"> </w:t>
      </w:r>
      <w:r w:rsidR="004D62A9">
        <w:rPr>
          <w:rFonts w:asciiTheme="majorHAnsi" w:hAnsiTheme="majorHAnsi" w:cstheme="minorHAnsi"/>
          <w:sz w:val="24"/>
          <w:szCs w:val="24"/>
        </w:rPr>
        <w:t>–</w:t>
      </w:r>
      <w:r w:rsidRPr="00381DA2">
        <w:rPr>
          <w:rFonts w:asciiTheme="majorHAnsi" w:hAnsiTheme="majorHAnsi" w:cstheme="minorHAnsi"/>
        </w:rPr>
        <w:t xml:space="preserve"> </w:t>
      </w:r>
      <w:r w:rsidRPr="00381DA2">
        <w:rPr>
          <w:rFonts w:asciiTheme="majorHAnsi" w:hAnsiTheme="majorHAnsi" w:cstheme="minorHAnsi"/>
          <w:sz w:val="24"/>
          <w:szCs w:val="24"/>
        </w:rPr>
        <w:t xml:space="preserve">este prevăzut pentru cauzele penale, </w:t>
      </w:r>
      <w:proofErr w:type="spellStart"/>
      <w:r w:rsidRPr="00381DA2">
        <w:rPr>
          <w:rFonts w:asciiTheme="majorHAnsi" w:hAnsiTheme="majorHAnsi" w:cstheme="minorHAnsi"/>
          <w:sz w:val="24"/>
          <w:szCs w:val="24"/>
        </w:rPr>
        <w:t>şi</w:t>
      </w:r>
      <w:proofErr w:type="spellEnd"/>
      <w:r w:rsidRPr="00381DA2">
        <w:rPr>
          <w:rFonts w:asciiTheme="majorHAnsi" w:hAnsiTheme="majorHAnsi" w:cstheme="minorHAnsi"/>
          <w:sz w:val="24"/>
          <w:szCs w:val="24"/>
        </w:rPr>
        <w:t xml:space="preserve"> anume „când interesele justiției o cer”, precum și pentru cauzele contravenționale, civile </w:t>
      </w:r>
      <w:proofErr w:type="spellStart"/>
      <w:r w:rsidRPr="00381DA2">
        <w:rPr>
          <w:rFonts w:asciiTheme="majorHAnsi" w:hAnsiTheme="majorHAnsi" w:cstheme="minorHAnsi"/>
          <w:sz w:val="24"/>
          <w:szCs w:val="24"/>
        </w:rPr>
        <w:t>şi</w:t>
      </w:r>
      <w:proofErr w:type="spellEnd"/>
      <w:r w:rsidRPr="00381DA2">
        <w:rPr>
          <w:rFonts w:asciiTheme="majorHAnsi" w:hAnsiTheme="majorHAnsi" w:cstheme="minorHAnsi"/>
          <w:sz w:val="24"/>
          <w:szCs w:val="24"/>
        </w:rPr>
        <w:t xml:space="preserve"> de contencios administrativ, și anume dacă „cauza este complexă din punct de vedere juridic sau procesual”.   </w:t>
      </w:r>
    </w:p>
    <w:p w14:paraId="6844CDEF" w14:textId="2E698913" w:rsidR="00FD339F" w:rsidRPr="00381DA2" w:rsidRDefault="00654FF8" w:rsidP="003A66EF">
      <w:pPr>
        <w:autoSpaceDE w:val="0"/>
        <w:autoSpaceDN w:val="0"/>
        <w:adjustRightInd w:val="0"/>
        <w:spacing w:after="120" w:line="276" w:lineRule="auto"/>
        <w:jc w:val="both"/>
        <w:rPr>
          <w:rFonts w:asciiTheme="majorHAnsi" w:hAnsiTheme="majorHAnsi" w:cstheme="minorHAnsi"/>
          <w:sz w:val="24"/>
          <w:szCs w:val="24"/>
        </w:rPr>
      </w:pPr>
      <w:r>
        <w:rPr>
          <w:rFonts w:asciiTheme="majorHAnsi" w:hAnsiTheme="majorHAnsi" w:cstheme="minorHAnsi"/>
          <w:sz w:val="24"/>
          <w:szCs w:val="24"/>
        </w:rPr>
        <w:t>Estimările auditului</w:t>
      </w:r>
      <w:r w:rsidR="00FD339F" w:rsidRPr="00381DA2">
        <w:rPr>
          <w:rFonts w:asciiTheme="majorHAnsi" w:hAnsiTheme="majorHAnsi" w:cstheme="minorHAnsi"/>
          <w:sz w:val="24"/>
          <w:szCs w:val="24"/>
        </w:rPr>
        <w:t xml:space="preserve"> privind repartizarea AJGS în funcție de categoriile de solicitanți/beneficiari menționate mai sus se prezintă în tabelul nr.2:</w:t>
      </w:r>
    </w:p>
    <w:p w14:paraId="329D44EF" w14:textId="0C9DE5B3" w:rsidR="00FD339F" w:rsidRPr="009761AD" w:rsidRDefault="00FD339F" w:rsidP="009761AD">
      <w:pPr>
        <w:pStyle w:val="NormalWeb"/>
        <w:spacing w:line="276" w:lineRule="auto"/>
        <w:ind w:firstLine="0"/>
        <w:jc w:val="right"/>
        <w:rPr>
          <w:rFonts w:asciiTheme="majorHAnsi" w:eastAsia="Times New Roman" w:hAnsiTheme="majorHAnsi" w:cstheme="minorHAnsi"/>
          <w:b/>
          <w:lang w:val="ro-MD"/>
        </w:rPr>
      </w:pPr>
      <w:r w:rsidRPr="009761AD">
        <w:rPr>
          <w:rFonts w:asciiTheme="majorHAnsi" w:eastAsia="Times New Roman" w:hAnsiTheme="majorHAnsi" w:cstheme="minorHAnsi"/>
          <w:b/>
          <w:lang w:val="ro-MD"/>
        </w:rPr>
        <w:t>Tabel</w:t>
      </w:r>
      <w:r w:rsidR="004D62A9" w:rsidRPr="009761AD">
        <w:rPr>
          <w:rFonts w:asciiTheme="majorHAnsi" w:eastAsia="Times New Roman" w:hAnsiTheme="majorHAnsi" w:cstheme="minorHAnsi"/>
          <w:b/>
          <w:lang w:val="ro-MD"/>
        </w:rPr>
        <w:t>ul</w:t>
      </w:r>
      <w:r w:rsidRPr="009761AD">
        <w:rPr>
          <w:rFonts w:asciiTheme="majorHAnsi" w:eastAsia="Times New Roman" w:hAnsiTheme="majorHAnsi" w:cstheme="minorHAnsi"/>
          <w:b/>
          <w:lang w:val="ro-MD"/>
        </w:rPr>
        <w:t xml:space="preserve"> nr.2</w:t>
      </w:r>
    </w:p>
    <w:p w14:paraId="566A4902" w14:textId="5E4A8253" w:rsidR="00FD339F" w:rsidRPr="00381DA2" w:rsidRDefault="00FB37E8" w:rsidP="003A66EF">
      <w:pPr>
        <w:autoSpaceDE w:val="0"/>
        <w:autoSpaceDN w:val="0"/>
        <w:adjustRightInd w:val="0"/>
        <w:spacing w:after="0" w:line="276" w:lineRule="auto"/>
        <w:jc w:val="both"/>
        <w:rPr>
          <w:rFonts w:asciiTheme="majorHAnsi" w:hAnsiTheme="majorHAnsi" w:cstheme="minorHAnsi"/>
          <w:sz w:val="24"/>
          <w:szCs w:val="24"/>
        </w:rPr>
      </w:pPr>
      <w:r w:rsidRPr="00FB37E8">
        <w:rPr>
          <w:noProof/>
          <w:lang w:val="en-US"/>
        </w:rPr>
        <w:drawing>
          <wp:inline distT="0" distB="0" distL="0" distR="0" wp14:anchorId="4DD2F7E7" wp14:editId="1E997DAF">
            <wp:extent cx="5941695" cy="1999594"/>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695" cy="1999594"/>
                    </a:xfrm>
                    <a:prstGeom prst="rect">
                      <a:avLst/>
                    </a:prstGeom>
                    <a:noFill/>
                    <a:ln>
                      <a:noFill/>
                    </a:ln>
                  </pic:spPr>
                </pic:pic>
              </a:graphicData>
            </a:graphic>
          </wp:inline>
        </w:drawing>
      </w:r>
    </w:p>
    <w:p w14:paraId="467FB6CE" w14:textId="76C52989" w:rsidR="003A66EF" w:rsidRPr="00381DA2" w:rsidRDefault="003A66EF" w:rsidP="00F75F8B">
      <w:pPr>
        <w:spacing w:line="240" w:lineRule="auto"/>
        <w:rPr>
          <w:rFonts w:asciiTheme="majorHAnsi" w:hAnsiTheme="majorHAnsi" w:cstheme="minorHAnsi"/>
        </w:rPr>
      </w:pPr>
      <w:r w:rsidRPr="00381DA2">
        <w:rPr>
          <w:rFonts w:asciiTheme="majorHAnsi" w:hAnsiTheme="majorHAnsi" w:cstheme="minorHAnsi"/>
          <w:b/>
          <w:bCs/>
          <w:i/>
          <w:sz w:val="20"/>
          <w:szCs w:val="20"/>
          <w:lang w:eastAsia="ro-RO"/>
        </w:rPr>
        <w:t>Sursa:</w:t>
      </w:r>
      <w:r w:rsidRPr="00381DA2">
        <w:rPr>
          <w:rFonts w:asciiTheme="majorHAnsi" w:eastAsia="Times New Roman" w:hAnsiTheme="majorHAnsi" w:cstheme="minorHAnsi"/>
          <w:i/>
          <w:sz w:val="20"/>
          <w:szCs w:val="20"/>
          <w:lang w:eastAsia="ru-RU"/>
        </w:rPr>
        <w:t xml:space="preserve"> Date generalizate de echipa de audit conform </w:t>
      </w:r>
      <w:r>
        <w:rPr>
          <w:rFonts w:asciiTheme="majorHAnsi" w:eastAsia="Times New Roman" w:hAnsiTheme="majorHAnsi" w:cstheme="minorHAnsi"/>
          <w:i/>
          <w:sz w:val="20"/>
          <w:szCs w:val="20"/>
          <w:lang w:eastAsia="ru-RU"/>
        </w:rPr>
        <w:t>informații</w:t>
      </w:r>
      <w:r w:rsidR="004E2ABB">
        <w:rPr>
          <w:rFonts w:asciiTheme="majorHAnsi" w:eastAsia="Times New Roman" w:hAnsiTheme="majorHAnsi" w:cstheme="minorHAnsi"/>
          <w:i/>
          <w:sz w:val="20"/>
          <w:szCs w:val="20"/>
          <w:lang w:eastAsia="ru-RU"/>
        </w:rPr>
        <w:t>lor</w:t>
      </w:r>
      <w:r>
        <w:rPr>
          <w:rFonts w:asciiTheme="majorHAnsi" w:eastAsia="Times New Roman" w:hAnsiTheme="majorHAnsi" w:cstheme="minorHAnsi"/>
          <w:i/>
          <w:sz w:val="20"/>
          <w:szCs w:val="20"/>
          <w:lang w:eastAsia="ru-RU"/>
        </w:rPr>
        <w:t xml:space="preserve"> prezentate de </w:t>
      </w:r>
      <w:r w:rsidR="004E2ABB">
        <w:rPr>
          <w:rFonts w:asciiTheme="majorHAnsi" w:eastAsia="Times New Roman" w:hAnsiTheme="majorHAnsi" w:cstheme="minorHAnsi"/>
          <w:i/>
          <w:sz w:val="20"/>
          <w:szCs w:val="20"/>
          <w:lang w:eastAsia="ru-RU"/>
        </w:rPr>
        <w:t>A</w:t>
      </w:r>
      <w:r>
        <w:rPr>
          <w:rFonts w:asciiTheme="majorHAnsi" w:eastAsia="Times New Roman" w:hAnsiTheme="majorHAnsi" w:cstheme="minorHAnsi"/>
          <w:i/>
          <w:sz w:val="20"/>
          <w:szCs w:val="20"/>
          <w:lang w:eastAsia="ru-RU"/>
        </w:rPr>
        <w:t xml:space="preserve">paratul administrativ </w:t>
      </w:r>
      <w:r w:rsidR="004E2ABB">
        <w:rPr>
          <w:rFonts w:asciiTheme="majorHAnsi" w:eastAsia="Times New Roman" w:hAnsiTheme="majorHAnsi" w:cstheme="minorHAnsi"/>
          <w:i/>
          <w:sz w:val="20"/>
          <w:szCs w:val="20"/>
          <w:lang w:eastAsia="ru-RU"/>
        </w:rPr>
        <w:t xml:space="preserve">al CNAJGS </w:t>
      </w:r>
      <w:r>
        <w:rPr>
          <w:rFonts w:asciiTheme="majorHAnsi" w:eastAsia="Times New Roman" w:hAnsiTheme="majorHAnsi" w:cstheme="minorHAnsi"/>
          <w:i/>
          <w:sz w:val="20"/>
          <w:szCs w:val="20"/>
          <w:lang w:eastAsia="ru-RU"/>
        </w:rPr>
        <w:t>și OT.</w:t>
      </w:r>
    </w:p>
    <w:p w14:paraId="2C94D7F3" w14:textId="55390DC7"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Indicatorii expuși în tabelul de </w:t>
      </w:r>
      <w:r w:rsidR="00357827">
        <w:rPr>
          <w:rFonts w:asciiTheme="majorHAnsi" w:hAnsiTheme="majorHAnsi" w:cstheme="minorHAnsi"/>
          <w:sz w:val="24"/>
          <w:szCs w:val="24"/>
        </w:rPr>
        <w:t>sus atestă că</w:t>
      </w:r>
      <w:r w:rsidR="004E2ABB">
        <w:rPr>
          <w:rFonts w:asciiTheme="majorHAnsi" w:hAnsiTheme="majorHAnsi" w:cstheme="minorHAnsi"/>
          <w:sz w:val="24"/>
          <w:szCs w:val="24"/>
        </w:rPr>
        <w:t>,</w:t>
      </w:r>
      <w:r w:rsidR="00357827">
        <w:rPr>
          <w:rFonts w:asciiTheme="majorHAnsi" w:hAnsiTheme="majorHAnsi" w:cstheme="minorHAnsi"/>
          <w:sz w:val="24"/>
          <w:szCs w:val="24"/>
        </w:rPr>
        <w:t xml:space="preserve"> în perioada</w:t>
      </w:r>
      <w:r w:rsidRPr="00381DA2">
        <w:rPr>
          <w:rFonts w:asciiTheme="majorHAnsi" w:hAnsiTheme="majorHAnsi" w:cstheme="minorHAnsi"/>
          <w:sz w:val="24"/>
          <w:szCs w:val="24"/>
        </w:rPr>
        <w:t xml:space="preserve"> 2020-30.09.2022, partea preponderentă a AJGS a revenit acoperii solicitărilor înaintate OT a</w:t>
      </w:r>
      <w:r w:rsidR="005876D9">
        <w:rPr>
          <w:rFonts w:asciiTheme="majorHAnsi" w:hAnsiTheme="majorHAnsi" w:cstheme="minorHAnsi"/>
          <w:sz w:val="24"/>
          <w:szCs w:val="24"/>
        </w:rPr>
        <w:t>le</w:t>
      </w:r>
      <w:r w:rsidRPr="00381DA2">
        <w:rPr>
          <w:rFonts w:asciiTheme="majorHAnsi" w:hAnsiTheme="majorHAnsi" w:cstheme="minorHAnsi"/>
          <w:sz w:val="24"/>
          <w:szCs w:val="24"/>
        </w:rPr>
        <w:t xml:space="preserve"> CNAJGS de către instituțiile de drept, </w:t>
      </w:r>
      <w:r w:rsidRPr="00381DA2">
        <w:rPr>
          <w:rFonts w:asciiTheme="majorHAnsi" w:hAnsiTheme="majorHAnsi" w:cstheme="minorHAnsi"/>
          <w:sz w:val="24"/>
          <w:szCs w:val="24"/>
        </w:rPr>
        <w:lastRenderedPageBreak/>
        <w:t>ponderea acestora încadrându-se în limitele de 75,0-79,0%. C</w:t>
      </w:r>
      <w:r w:rsidR="004E2ABB">
        <w:rPr>
          <w:rFonts w:asciiTheme="majorHAnsi" w:hAnsiTheme="majorHAnsi" w:cstheme="minorHAnsi"/>
          <w:sz w:val="24"/>
          <w:szCs w:val="24"/>
        </w:rPr>
        <w:t>â</w:t>
      </w:r>
      <w:r w:rsidRPr="00381DA2">
        <w:rPr>
          <w:rFonts w:asciiTheme="majorHAnsi" w:hAnsiTheme="majorHAnsi" w:cstheme="minorHAnsi"/>
          <w:sz w:val="24"/>
          <w:szCs w:val="24"/>
        </w:rPr>
        <w:t xml:space="preserve">t privește cazurile de acordare a asistenței juridice garantate de stat în </w:t>
      </w:r>
      <w:r w:rsidR="004E2ABB">
        <w:rPr>
          <w:rFonts w:asciiTheme="majorHAnsi" w:hAnsiTheme="majorHAnsi" w:cstheme="minorHAnsi"/>
          <w:sz w:val="24"/>
          <w:szCs w:val="24"/>
        </w:rPr>
        <w:t>funcție</w:t>
      </w:r>
      <w:r w:rsidR="004E2ABB" w:rsidRPr="00381DA2">
        <w:rPr>
          <w:rFonts w:asciiTheme="majorHAnsi" w:hAnsiTheme="majorHAnsi" w:cstheme="minorHAnsi"/>
          <w:sz w:val="24"/>
          <w:szCs w:val="24"/>
        </w:rPr>
        <w:t xml:space="preserve"> </w:t>
      </w:r>
      <w:r w:rsidRPr="00381DA2">
        <w:rPr>
          <w:rFonts w:asciiTheme="majorHAnsi" w:hAnsiTheme="majorHAnsi" w:cstheme="minorHAnsi"/>
          <w:sz w:val="24"/>
          <w:szCs w:val="24"/>
        </w:rPr>
        <w:t>de nivelul de venit al solicitantului, este de menționat faptul că în ace</w:t>
      </w:r>
      <w:r w:rsidR="008D5CA1">
        <w:rPr>
          <w:rFonts w:asciiTheme="majorHAnsi" w:hAnsiTheme="majorHAnsi" w:cstheme="minorHAnsi"/>
          <w:sz w:val="24"/>
          <w:szCs w:val="24"/>
        </w:rPr>
        <w:t>e</w:t>
      </w:r>
      <w:r w:rsidRPr="00381DA2">
        <w:rPr>
          <w:rFonts w:asciiTheme="majorHAnsi" w:hAnsiTheme="majorHAnsi" w:cstheme="minorHAnsi"/>
          <w:sz w:val="24"/>
          <w:szCs w:val="24"/>
        </w:rPr>
        <w:t xml:space="preserve">ași perioadă nivelul de acordare a fost cuprins </w:t>
      </w:r>
      <w:r w:rsidR="008D5CA1">
        <w:rPr>
          <w:rFonts w:asciiTheme="majorHAnsi" w:hAnsiTheme="majorHAnsi" w:cstheme="minorHAnsi"/>
          <w:sz w:val="24"/>
          <w:szCs w:val="24"/>
        </w:rPr>
        <w:t>între</w:t>
      </w:r>
      <w:r w:rsidRPr="00381DA2">
        <w:rPr>
          <w:rFonts w:asciiTheme="majorHAnsi" w:hAnsiTheme="majorHAnsi" w:cstheme="minorHAnsi"/>
          <w:sz w:val="24"/>
          <w:szCs w:val="24"/>
        </w:rPr>
        <w:t xml:space="preserve"> 21%</w:t>
      </w:r>
      <w:r w:rsidR="008D5CA1">
        <w:rPr>
          <w:rFonts w:asciiTheme="majorHAnsi" w:hAnsiTheme="majorHAnsi" w:cstheme="minorHAnsi"/>
          <w:sz w:val="24"/>
          <w:szCs w:val="24"/>
        </w:rPr>
        <w:t xml:space="preserve"> și </w:t>
      </w:r>
      <w:r w:rsidRPr="00381DA2">
        <w:rPr>
          <w:rFonts w:asciiTheme="majorHAnsi" w:hAnsiTheme="majorHAnsi" w:cstheme="minorHAnsi"/>
          <w:sz w:val="24"/>
          <w:szCs w:val="24"/>
        </w:rPr>
        <w:t>25%, ceea ce semnific</w:t>
      </w:r>
      <w:r w:rsidR="008D5CA1">
        <w:rPr>
          <w:rFonts w:asciiTheme="majorHAnsi" w:hAnsiTheme="majorHAnsi" w:cstheme="minorHAnsi"/>
          <w:sz w:val="24"/>
          <w:szCs w:val="24"/>
        </w:rPr>
        <w:t>ă</w:t>
      </w:r>
      <w:r w:rsidRPr="00381DA2">
        <w:rPr>
          <w:rFonts w:asciiTheme="majorHAnsi" w:hAnsiTheme="majorHAnsi" w:cstheme="minorHAnsi"/>
          <w:sz w:val="24"/>
          <w:szCs w:val="24"/>
        </w:rPr>
        <w:t xml:space="preserve"> </w:t>
      </w:r>
      <w:r w:rsidR="008D5CA1">
        <w:rPr>
          <w:rFonts w:asciiTheme="majorHAnsi" w:hAnsiTheme="majorHAnsi" w:cstheme="minorHAnsi"/>
          <w:sz w:val="24"/>
          <w:szCs w:val="24"/>
        </w:rPr>
        <w:t>un sfert</w:t>
      </w:r>
      <w:r w:rsidRPr="00381DA2">
        <w:rPr>
          <w:rFonts w:asciiTheme="majorHAnsi" w:hAnsiTheme="majorHAnsi" w:cstheme="minorHAnsi"/>
          <w:sz w:val="24"/>
          <w:szCs w:val="24"/>
        </w:rPr>
        <w:t xml:space="preserve"> din totalul deciziilor de acordare a AJGS adoptate</w:t>
      </w:r>
      <w:r w:rsidR="005876D9">
        <w:rPr>
          <w:rFonts w:asciiTheme="majorHAnsi" w:hAnsiTheme="majorHAnsi" w:cstheme="minorHAnsi"/>
          <w:sz w:val="24"/>
          <w:szCs w:val="24"/>
        </w:rPr>
        <w:t>/emise</w:t>
      </w:r>
      <w:r w:rsidRPr="00381DA2">
        <w:rPr>
          <w:rFonts w:asciiTheme="majorHAnsi" w:hAnsiTheme="majorHAnsi" w:cstheme="minorHAnsi"/>
          <w:sz w:val="24"/>
          <w:szCs w:val="24"/>
        </w:rPr>
        <w:t xml:space="preserve"> de OT ale Consiliului Național.  Concomitent, refuzurile emise de OT ale Consiliului Național privind acordarea AJGS au înregistrat o pondere în medi</w:t>
      </w:r>
      <w:r w:rsidR="008D5CA1">
        <w:rPr>
          <w:rFonts w:asciiTheme="majorHAnsi" w:hAnsiTheme="majorHAnsi" w:cstheme="minorHAnsi"/>
          <w:sz w:val="24"/>
          <w:szCs w:val="24"/>
        </w:rPr>
        <w:t>e</w:t>
      </w:r>
      <w:r w:rsidRPr="00381DA2">
        <w:rPr>
          <w:rFonts w:asciiTheme="majorHAnsi" w:hAnsiTheme="majorHAnsi" w:cstheme="minorHAnsi"/>
          <w:sz w:val="24"/>
          <w:szCs w:val="24"/>
        </w:rPr>
        <w:t xml:space="preserve"> de 6% din numărul de solicitări în baza testului de venit, cel mai înalt nivel fiind înregistrat în anul 2022 – de 9,0%. De menționat că numărul de refuzuri a înregistrat un trend </w:t>
      </w:r>
      <w:r w:rsidR="008D5CA1">
        <w:rPr>
          <w:rFonts w:asciiTheme="majorHAnsi" w:hAnsiTheme="majorHAnsi" w:cstheme="minorHAnsi"/>
          <w:sz w:val="24"/>
          <w:szCs w:val="24"/>
        </w:rPr>
        <w:t>ascendent</w:t>
      </w:r>
      <w:r w:rsidRPr="00381DA2">
        <w:rPr>
          <w:rFonts w:asciiTheme="majorHAnsi" w:hAnsiTheme="majorHAnsi" w:cstheme="minorHAnsi"/>
          <w:sz w:val="24"/>
          <w:szCs w:val="24"/>
        </w:rPr>
        <w:t xml:space="preserve">, </w:t>
      </w:r>
      <w:r w:rsidR="008D5CA1">
        <w:rPr>
          <w:rFonts w:asciiTheme="majorHAnsi" w:hAnsiTheme="majorHAnsi" w:cstheme="minorHAnsi"/>
          <w:sz w:val="24"/>
          <w:szCs w:val="24"/>
        </w:rPr>
        <w:t xml:space="preserve">ca </w:t>
      </w:r>
      <w:r w:rsidRPr="00381DA2">
        <w:rPr>
          <w:rFonts w:asciiTheme="majorHAnsi" w:hAnsiTheme="majorHAnsi" w:cstheme="minorHAnsi"/>
          <w:sz w:val="24"/>
          <w:szCs w:val="24"/>
        </w:rPr>
        <w:t>urmare a faptului că OT a</w:t>
      </w:r>
      <w:r w:rsidR="008D5CA1">
        <w:rPr>
          <w:rFonts w:asciiTheme="majorHAnsi" w:hAnsiTheme="majorHAnsi" w:cstheme="minorHAnsi"/>
          <w:sz w:val="24"/>
          <w:szCs w:val="24"/>
        </w:rPr>
        <w:t>u</w:t>
      </w:r>
      <w:r w:rsidRPr="00381DA2">
        <w:rPr>
          <w:rFonts w:asciiTheme="majorHAnsi" w:hAnsiTheme="majorHAnsi" w:cstheme="minorHAnsi"/>
          <w:sz w:val="24"/>
          <w:szCs w:val="24"/>
        </w:rPr>
        <w:t xml:space="preserve"> obținut acces la platformele guvernamentale de date </w:t>
      </w:r>
      <w:r w:rsidR="008D5CA1">
        <w:rPr>
          <w:rFonts w:asciiTheme="majorHAnsi" w:hAnsiTheme="majorHAnsi" w:cstheme="minorHAnsi"/>
          <w:sz w:val="24"/>
          <w:szCs w:val="24"/>
        </w:rPr>
        <w:t>privind</w:t>
      </w:r>
      <w:r w:rsidRPr="00381DA2">
        <w:rPr>
          <w:rFonts w:asciiTheme="majorHAnsi" w:hAnsiTheme="majorHAnsi" w:cstheme="minorHAnsi"/>
          <w:sz w:val="24"/>
          <w:szCs w:val="24"/>
        </w:rPr>
        <w:t xml:space="preserve"> veniturile solicitantului, care sunt verificate și analizate în procesul de acordare a AJGS.</w:t>
      </w:r>
    </w:p>
    <w:p w14:paraId="3F2BC279" w14:textId="66190B9F" w:rsidR="008D5CA1" w:rsidRDefault="00DB1CD2"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Verificările de audit, denotă că AJGS se acordă preponderent la </w:t>
      </w:r>
      <w:r w:rsidRPr="00DB1CD2">
        <w:rPr>
          <w:rFonts w:asciiTheme="majorHAnsi" w:hAnsiTheme="majorHAnsi" w:cstheme="minorHAnsi"/>
          <w:sz w:val="24"/>
          <w:szCs w:val="24"/>
        </w:rPr>
        <w:t xml:space="preserve">solicitarea instituțiilor de drept, care utilizând ambiguitățile cadrului normativ - legal </w:t>
      </w:r>
      <w:r w:rsidR="00FD339F" w:rsidRPr="00DB1CD2">
        <w:rPr>
          <w:rFonts w:asciiTheme="majorHAnsi" w:hAnsiTheme="majorHAnsi" w:cstheme="minorHAnsi"/>
          <w:sz w:val="24"/>
          <w:szCs w:val="24"/>
        </w:rPr>
        <w:t>au făcut uz în ex</w:t>
      </w:r>
      <w:r w:rsidR="00FD339F" w:rsidRPr="00381DA2">
        <w:rPr>
          <w:rFonts w:asciiTheme="majorHAnsi" w:hAnsiTheme="majorHAnsi" w:cstheme="minorHAnsi"/>
          <w:sz w:val="24"/>
          <w:szCs w:val="24"/>
        </w:rPr>
        <w:t>ces de asistența juridică de stat pentru unele categorii de beneficiari</w:t>
      </w:r>
      <w:r w:rsidR="008D5CA1">
        <w:rPr>
          <w:rFonts w:asciiTheme="majorHAnsi" w:hAnsiTheme="majorHAnsi" w:cstheme="minorHAnsi"/>
          <w:sz w:val="24"/>
          <w:szCs w:val="24"/>
        </w:rPr>
        <w:t>,</w:t>
      </w:r>
      <w:r w:rsidR="00FD339F" w:rsidRPr="00381DA2">
        <w:rPr>
          <w:rFonts w:asciiTheme="majorHAnsi" w:hAnsiTheme="majorHAnsi" w:cstheme="minorHAnsi"/>
          <w:sz w:val="24"/>
          <w:szCs w:val="24"/>
        </w:rPr>
        <w:t xml:space="preserve"> ceea ce a condus la majorarea cheltuielilor. La fel, se atestă că</w:t>
      </w:r>
      <w:r w:rsidR="008D5CA1">
        <w:rPr>
          <w:rFonts w:asciiTheme="majorHAnsi" w:hAnsiTheme="majorHAnsi" w:cstheme="minorHAnsi"/>
          <w:sz w:val="24"/>
          <w:szCs w:val="24"/>
        </w:rPr>
        <w:t>,</w:t>
      </w:r>
      <w:r w:rsidR="00FD339F" w:rsidRPr="00381DA2">
        <w:rPr>
          <w:rFonts w:asciiTheme="majorHAnsi" w:hAnsiTheme="majorHAnsi" w:cstheme="minorHAnsi"/>
          <w:sz w:val="24"/>
          <w:szCs w:val="24"/>
        </w:rPr>
        <w:t xml:space="preserve"> în perioada auditată, s-au constatat unele aspecte care au condiționat </w:t>
      </w:r>
      <w:r w:rsidR="007311A4" w:rsidRPr="00381DA2">
        <w:rPr>
          <w:rFonts w:asciiTheme="majorHAnsi" w:hAnsiTheme="majorHAnsi" w:cstheme="minorHAnsi"/>
          <w:sz w:val="24"/>
          <w:szCs w:val="24"/>
        </w:rPr>
        <w:t>solicitarea și ulterioar</w:t>
      </w:r>
      <w:r w:rsidR="008D5CA1">
        <w:rPr>
          <w:rFonts w:asciiTheme="majorHAnsi" w:hAnsiTheme="majorHAnsi" w:cstheme="minorHAnsi"/>
          <w:sz w:val="24"/>
          <w:szCs w:val="24"/>
        </w:rPr>
        <w:t>a</w:t>
      </w:r>
      <w:r w:rsidR="007311A4" w:rsidRPr="00381DA2">
        <w:rPr>
          <w:rFonts w:asciiTheme="majorHAnsi" w:hAnsiTheme="majorHAnsi" w:cstheme="minorHAnsi"/>
          <w:sz w:val="24"/>
          <w:szCs w:val="24"/>
        </w:rPr>
        <w:t xml:space="preserve"> </w:t>
      </w:r>
      <w:r w:rsidR="00FD339F" w:rsidRPr="00381DA2">
        <w:rPr>
          <w:rFonts w:asciiTheme="majorHAnsi" w:hAnsiTheme="majorHAnsi" w:cstheme="minorHAnsi"/>
          <w:sz w:val="24"/>
          <w:szCs w:val="24"/>
        </w:rPr>
        <w:t>acordare</w:t>
      </w:r>
      <w:r w:rsidR="008D5CA1">
        <w:rPr>
          <w:rFonts w:asciiTheme="majorHAnsi" w:hAnsiTheme="majorHAnsi" w:cstheme="minorHAnsi"/>
          <w:sz w:val="24"/>
          <w:szCs w:val="24"/>
        </w:rPr>
        <w:t>,</w:t>
      </w:r>
      <w:r w:rsidR="00FD339F" w:rsidRPr="00381DA2">
        <w:rPr>
          <w:rFonts w:asciiTheme="majorHAnsi" w:hAnsiTheme="majorHAnsi" w:cstheme="minorHAnsi"/>
          <w:sz w:val="24"/>
          <w:szCs w:val="24"/>
        </w:rPr>
        <w:t xml:space="preserve"> în condiții neconforme</w:t>
      </w:r>
      <w:r w:rsidR="008D5CA1">
        <w:rPr>
          <w:rFonts w:asciiTheme="majorHAnsi" w:hAnsiTheme="majorHAnsi" w:cstheme="minorHAnsi"/>
          <w:sz w:val="24"/>
          <w:szCs w:val="24"/>
        </w:rPr>
        <w:t>,</w:t>
      </w:r>
      <w:r w:rsidR="00FD339F" w:rsidRPr="00381DA2">
        <w:rPr>
          <w:rFonts w:asciiTheme="majorHAnsi" w:hAnsiTheme="majorHAnsi" w:cstheme="minorHAnsi"/>
          <w:sz w:val="24"/>
          <w:szCs w:val="24"/>
        </w:rPr>
        <w:t xml:space="preserve"> a AJGS</w:t>
      </w:r>
      <w:r w:rsidR="008D5CA1">
        <w:rPr>
          <w:rFonts w:asciiTheme="majorHAnsi" w:hAnsiTheme="majorHAnsi" w:cstheme="minorHAnsi"/>
          <w:sz w:val="24"/>
          <w:szCs w:val="24"/>
        </w:rPr>
        <w:t>,</w:t>
      </w:r>
      <w:r w:rsidR="00FD339F" w:rsidRPr="00381DA2">
        <w:rPr>
          <w:rFonts w:asciiTheme="majorHAnsi" w:hAnsiTheme="majorHAnsi" w:cstheme="minorHAnsi"/>
          <w:sz w:val="24"/>
          <w:szCs w:val="24"/>
        </w:rPr>
        <w:t xml:space="preserve"> ceea ce  a </w:t>
      </w:r>
      <w:r w:rsidR="008D5CA1">
        <w:rPr>
          <w:rFonts w:asciiTheme="majorHAnsi" w:hAnsiTheme="majorHAnsi" w:cstheme="minorHAnsi"/>
          <w:sz w:val="24"/>
          <w:szCs w:val="24"/>
        </w:rPr>
        <w:t>generat</w:t>
      </w:r>
      <w:r w:rsidR="005876D9">
        <w:rPr>
          <w:rFonts w:asciiTheme="majorHAnsi" w:hAnsiTheme="majorHAnsi" w:cstheme="minorHAnsi"/>
          <w:sz w:val="24"/>
          <w:szCs w:val="24"/>
        </w:rPr>
        <w:t xml:space="preserve"> </w:t>
      </w:r>
      <w:r w:rsidR="00FD339F" w:rsidRPr="00381DA2">
        <w:rPr>
          <w:rFonts w:asciiTheme="majorHAnsi" w:hAnsiTheme="majorHAnsi" w:cstheme="minorHAnsi"/>
          <w:sz w:val="24"/>
          <w:szCs w:val="24"/>
        </w:rPr>
        <w:t>suportarea unor chelt</w:t>
      </w:r>
      <w:r w:rsidR="00357827">
        <w:rPr>
          <w:rFonts w:asciiTheme="majorHAnsi" w:hAnsiTheme="majorHAnsi" w:cstheme="minorHAnsi"/>
          <w:sz w:val="24"/>
          <w:szCs w:val="24"/>
        </w:rPr>
        <w:t>uieli</w:t>
      </w:r>
      <w:r w:rsidR="00FD339F" w:rsidRPr="00381DA2">
        <w:rPr>
          <w:rFonts w:asciiTheme="majorHAnsi" w:hAnsiTheme="majorHAnsi" w:cstheme="minorHAnsi"/>
          <w:sz w:val="24"/>
          <w:szCs w:val="24"/>
        </w:rPr>
        <w:t xml:space="preserve"> nejustificate, faptele fiind relatate mai detaliat în constatările care se regăsesc în subcapitolele următoare. </w:t>
      </w:r>
    </w:p>
    <w:p w14:paraId="652D5A52" w14:textId="4B7AE8D7"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În contextul expus</w:t>
      </w:r>
      <w:r w:rsidR="008D5CA1">
        <w:rPr>
          <w:rFonts w:asciiTheme="majorHAnsi" w:hAnsiTheme="majorHAnsi" w:cstheme="minorHAnsi"/>
          <w:sz w:val="24"/>
          <w:szCs w:val="24"/>
        </w:rPr>
        <w:t>,</w:t>
      </w:r>
      <w:r w:rsidRPr="00381DA2">
        <w:rPr>
          <w:rFonts w:asciiTheme="majorHAnsi" w:hAnsiTheme="majorHAnsi" w:cstheme="minorHAnsi"/>
          <w:sz w:val="24"/>
          <w:szCs w:val="24"/>
        </w:rPr>
        <w:t xml:space="preserve"> auditul relevă necesitatea </w:t>
      </w:r>
      <w:r w:rsidR="00FF3DAB">
        <w:rPr>
          <w:rFonts w:asciiTheme="majorHAnsi" w:hAnsiTheme="majorHAnsi" w:cstheme="minorHAnsi"/>
          <w:sz w:val="24"/>
          <w:szCs w:val="24"/>
        </w:rPr>
        <w:t>revizuirii și îmbunătățirii</w:t>
      </w:r>
      <w:r w:rsidRPr="00381DA2">
        <w:rPr>
          <w:rFonts w:asciiTheme="majorHAnsi" w:hAnsiTheme="majorHAnsi" w:cstheme="minorHAnsi"/>
          <w:sz w:val="24"/>
          <w:szCs w:val="24"/>
        </w:rPr>
        <w:t xml:space="preserve"> cadrului legal și stabilir</w:t>
      </w:r>
      <w:r w:rsidR="008D5CA1">
        <w:rPr>
          <w:rFonts w:asciiTheme="majorHAnsi" w:hAnsiTheme="majorHAnsi" w:cstheme="minorHAnsi"/>
          <w:sz w:val="24"/>
          <w:szCs w:val="24"/>
        </w:rPr>
        <w:t>ii</w:t>
      </w:r>
      <w:r w:rsidRPr="00381DA2">
        <w:rPr>
          <w:rFonts w:asciiTheme="majorHAnsi" w:hAnsiTheme="majorHAnsi" w:cstheme="minorHAnsi"/>
          <w:sz w:val="24"/>
          <w:szCs w:val="24"/>
        </w:rPr>
        <w:t xml:space="preserve"> unor practici cutumiare în aplicarea și evaluarea temeiniciei solicitărilor înaintate de aceste organe ale statului, în vederea asigurării întrebuințării eficiente a mijloacelor bugetare. Cele menționate se argumentează de următoarele.</w:t>
      </w:r>
    </w:p>
    <w:p w14:paraId="17EEDBDA" w14:textId="092CD163" w:rsidR="00FD339F" w:rsidRPr="00381DA2" w:rsidRDefault="00273503" w:rsidP="00A02682">
      <w:pPr>
        <w:pStyle w:val="Heading3"/>
        <w:numPr>
          <w:ilvl w:val="2"/>
          <w:numId w:val="48"/>
        </w:numPr>
        <w:tabs>
          <w:tab w:val="left" w:pos="360"/>
          <w:tab w:val="left" w:pos="540"/>
          <w:tab w:val="left" w:pos="630"/>
        </w:tabs>
        <w:spacing w:before="240" w:after="120" w:line="276" w:lineRule="auto"/>
        <w:ind w:left="0" w:firstLine="0"/>
        <w:jc w:val="both"/>
        <w:rPr>
          <w:rFonts w:eastAsia="Times New Roman" w:cstheme="minorHAnsi"/>
          <w:b/>
          <w:i/>
          <w:color w:val="2E74B5" w:themeColor="accent1" w:themeShade="BF"/>
        </w:rPr>
      </w:pPr>
      <w:bookmarkStart w:id="23" w:name="_Toc125368183"/>
      <w:bookmarkStart w:id="24" w:name="_Toc128640810"/>
      <w:r>
        <w:rPr>
          <w:rFonts w:eastAsia="Times New Roman" w:cstheme="minorHAnsi"/>
          <w:b/>
          <w:i/>
          <w:color w:val="2E74B5" w:themeColor="accent1" w:themeShade="BF"/>
        </w:rPr>
        <w:t xml:space="preserve">Valorificarea mijloacelor publice pentru asistența juridică garantată de stat este afectată de caracterul interpretabil al normelor juridice </w:t>
      </w:r>
      <w:bookmarkEnd w:id="23"/>
      <w:r>
        <w:rPr>
          <w:rFonts w:eastAsia="Times New Roman" w:cstheme="minorHAnsi"/>
          <w:b/>
          <w:i/>
          <w:color w:val="2E74B5" w:themeColor="accent1" w:themeShade="BF"/>
        </w:rPr>
        <w:t>în domeniu</w:t>
      </w:r>
      <w:r w:rsidR="00D073DF">
        <w:rPr>
          <w:rFonts w:eastAsia="Times New Roman" w:cstheme="minorHAnsi"/>
          <w:b/>
          <w:i/>
          <w:color w:val="2E74B5" w:themeColor="accent1" w:themeShade="BF"/>
        </w:rPr>
        <w:t>.</w:t>
      </w:r>
      <w:bookmarkEnd w:id="24"/>
    </w:p>
    <w:p w14:paraId="4174E86D" w14:textId="0B810557" w:rsidR="00FD339F" w:rsidRPr="00381DA2" w:rsidRDefault="00FD339F" w:rsidP="003A66EF">
      <w:pPr>
        <w:spacing w:after="12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sz w:val="24"/>
          <w:szCs w:val="24"/>
        </w:rPr>
        <w:t>Cadrul normativ existent reglementează fragmentat și lacunar sistemul de acordare a asistenței juridice garantate de stat, or, unele prevederi aferente acestuia creează premise de solicitare și</w:t>
      </w:r>
      <w:r w:rsidR="00EC5AFA">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respectiv</w:t>
      </w:r>
      <w:r w:rsidR="00EC5AFA">
        <w:rPr>
          <w:rFonts w:asciiTheme="majorHAnsi" w:eastAsia="Times New Roman" w:hAnsiTheme="majorHAnsi" w:cstheme="minorHAnsi"/>
          <w:sz w:val="24"/>
          <w:szCs w:val="24"/>
        </w:rPr>
        <w:t>, de</w:t>
      </w:r>
      <w:r w:rsidRPr="00381DA2">
        <w:rPr>
          <w:rFonts w:asciiTheme="majorHAnsi" w:eastAsia="Times New Roman" w:hAnsiTheme="majorHAnsi" w:cstheme="minorHAnsi"/>
          <w:sz w:val="24"/>
          <w:szCs w:val="24"/>
        </w:rPr>
        <w:t xml:space="preserve"> acordare în exces a serviciilor juridice de către stat</w:t>
      </w:r>
      <w:r w:rsidR="00EC5AFA">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iar altele poartă un caracter caduc,</w:t>
      </w:r>
      <w:r w:rsidR="00516689">
        <w:rPr>
          <w:rFonts w:asciiTheme="majorHAnsi" w:eastAsia="Times New Roman" w:hAnsiTheme="majorHAnsi" w:cstheme="minorHAnsi"/>
          <w:sz w:val="24"/>
          <w:szCs w:val="24"/>
        </w:rPr>
        <w:t xml:space="preserve"> fapt ce împovărează procedura </w:t>
      </w:r>
      <w:r w:rsidR="00EC5AFA">
        <w:rPr>
          <w:rFonts w:asciiTheme="majorHAnsi" w:eastAsia="Times New Roman" w:hAnsiTheme="majorHAnsi" w:cstheme="minorHAnsi"/>
          <w:sz w:val="24"/>
          <w:szCs w:val="24"/>
        </w:rPr>
        <w:t xml:space="preserve">de </w:t>
      </w:r>
      <w:r w:rsidR="00516689">
        <w:rPr>
          <w:rFonts w:asciiTheme="majorHAnsi" w:eastAsia="Times New Roman" w:hAnsiTheme="majorHAnsi" w:cstheme="minorHAnsi"/>
          <w:sz w:val="24"/>
          <w:szCs w:val="24"/>
        </w:rPr>
        <w:t>solicit</w:t>
      </w:r>
      <w:r w:rsidR="00EC5AFA">
        <w:rPr>
          <w:rFonts w:asciiTheme="majorHAnsi" w:eastAsia="Times New Roman" w:hAnsiTheme="majorHAnsi" w:cstheme="minorHAnsi"/>
          <w:sz w:val="24"/>
          <w:szCs w:val="24"/>
        </w:rPr>
        <w:t>are</w:t>
      </w:r>
      <w:r w:rsidR="00516689">
        <w:rPr>
          <w:rFonts w:asciiTheme="majorHAnsi" w:eastAsia="Times New Roman" w:hAnsiTheme="majorHAnsi" w:cstheme="minorHAnsi"/>
          <w:sz w:val="24"/>
          <w:szCs w:val="24"/>
        </w:rPr>
        <w:t xml:space="preserve"> și acord</w:t>
      </w:r>
      <w:r w:rsidR="00EC5AFA">
        <w:rPr>
          <w:rFonts w:asciiTheme="majorHAnsi" w:eastAsia="Times New Roman" w:hAnsiTheme="majorHAnsi" w:cstheme="minorHAnsi"/>
          <w:sz w:val="24"/>
          <w:szCs w:val="24"/>
        </w:rPr>
        <w:t>are</w:t>
      </w:r>
      <w:r w:rsidRPr="00381DA2">
        <w:rPr>
          <w:rFonts w:asciiTheme="majorHAnsi" w:eastAsia="Times New Roman" w:hAnsiTheme="majorHAnsi" w:cstheme="minorHAnsi"/>
          <w:sz w:val="24"/>
          <w:szCs w:val="24"/>
        </w:rPr>
        <w:t xml:space="preserve"> a asistenței juridice în funcție de nivelul veniturilor beneficiarului.</w:t>
      </w:r>
    </w:p>
    <w:p w14:paraId="3D057A36" w14:textId="1890E907" w:rsidR="00FD339F" w:rsidRPr="00381DA2" w:rsidRDefault="00FD339F" w:rsidP="003A66EF">
      <w:pPr>
        <w:spacing w:after="12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sz w:val="24"/>
          <w:szCs w:val="24"/>
        </w:rPr>
        <w:t xml:space="preserve">Deși, conform art.9 din Legea </w:t>
      </w:r>
      <w:r w:rsidR="00EC5AFA">
        <w:rPr>
          <w:rFonts w:asciiTheme="majorHAnsi" w:eastAsia="Times New Roman" w:hAnsiTheme="majorHAnsi" w:cstheme="minorHAnsi"/>
          <w:sz w:val="24"/>
          <w:szCs w:val="24"/>
        </w:rPr>
        <w:t>nr.</w:t>
      </w:r>
      <w:r w:rsidRPr="00381DA2">
        <w:rPr>
          <w:rFonts w:asciiTheme="majorHAnsi" w:eastAsia="Times New Roman" w:hAnsiTheme="majorHAnsi" w:cstheme="minorHAnsi"/>
          <w:sz w:val="24"/>
          <w:szCs w:val="24"/>
        </w:rPr>
        <w:t>198/2007, MJ îi revine responsabilitatea</w:t>
      </w:r>
      <w:r w:rsidRPr="00381DA2">
        <w:rPr>
          <w:rFonts w:asciiTheme="majorHAnsi" w:hAnsiTheme="majorHAnsi" w:cstheme="minorHAnsi"/>
        </w:rPr>
        <w:t xml:space="preserve"> </w:t>
      </w:r>
      <w:r w:rsidRPr="00381DA2">
        <w:rPr>
          <w:rFonts w:asciiTheme="majorHAnsi" w:eastAsia="Times New Roman" w:hAnsiTheme="majorHAnsi" w:cstheme="minorHAnsi"/>
          <w:sz w:val="24"/>
          <w:szCs w:val="24"/>
        </w:rPr>
        <w:t xml:space="preserve">pentru elaborarea politicii de stat </w:t>
      </w:r>
      <w:r w:rsidR="00B81137">
        <w:rPr>
          <w:rFonts w:asciiTheme="majorHAnsi" w:eastAsia="Times New Roman" w:hAnsiTheme="majorHAnsi" w:cstheme="minorHAnsi"/>
          <w:sz w:val="24"/>
          <w:szCs w:val="24"/>
        </w:rPr>
        <w:t>î</w:t>
      </w:r>
      <w:r w:rsidRPr="00381DA2">
        <w:rPr>
          <w:rFonts w:asciiTheme="majorHAnsi" w:eastAsia="Times New Roman" w:hAnsiTheme="majorHAnsi" w:cstheme="minorHAnsi"/>
          <w:sz w:val="24"/>
          <w:szCs w:val="24"/>
        </w:rPr>
        <w:t>n domeniul asistenței juridice garantate de stat, autoritatea publică centrală nu s-a implicat pe deplin în realizarea acestor responsabilități. Cele menționate a</w:t>
      </w:r>
      <w:r w:rsidR="00DE56E6">
        <w:rPr>
          <w:rFonts w:asciiTheme="majorHAnsi" w:eastAsia="Times New Roman" w:hAnsiTheme="majorHAnsi" w:cstheme="minorHAnsi"/>
          <w:sz w:val="24"/>
          <w:szCs w:val="24"/>
        </w:rPr>
        <w:t>u</w:t>
      </w:r>
      <w:r w:rsidRPr="00381DA2">
        <w:rPr>
          <w:rFonts w:asciiTheme="majorHAnsi" w:eastAsia="Times New Roman" w:hAnsiTheme="majorHAnsi" w:cstheme="minorHAnsi"/>
          <w:sz w:val="24"/>
          <w:szCs w:val="24"/>
        </w:rPr>
        <w:t xml:space="preserve"> condus la stagnarea promovării obiectivelor asumate de MJ și stipulate în Planurile de acțiuni pentru anii 2020-202</w:t>
      </w:r>
      <w:r w:rsidR="00BB118F">
        <w:rPr>
          <w:rFonts w:asciiTheme="majorHAnsi" w:eastAsia="Times New Roman" w:hAnsiTheme="majorHAnsi" w:cstheme="minorHAnsi"/>
          <w:sz w:val="24"/>
          <w:szCs w:val="24"/>
        </w:rPr>
        <w:t>1</w:t>
      </w:r>
      <w:r w:rsidRPr="00381DA2">
        <w:rPr>
          <w:rFonts w:asciiTheme="majorHAnsi" w:eastAsia="Times New Roman" w:hAnsiTheme="majorHAnsi" w:cstheme="minorHAnsi"/>
          <w:sz w:val="24"/>
          <w:szCs w:val="24"/>
        </w:rPr>
        <w:t xml:space="preserve"> privind îmbunătățirea organizării și administrării sistemului de asistență juridică garantată de stat. Acțiunile de elaborare și promovare a cadrului aferent domeniului s-au intensificat doar în </w:t>
      </w:r>
      <w:r w:rsidR="00BB118F">
        <w:rPr>
          <w:rFonts w:asciiTheme="majorHAnsi" w:eastAsia="Times New Roman" w:hAnsiTheme="majorHAnsi" w:cstheme="minorHAnsi"/>
          <w:sz w:val="24"/>
          <w:szCs w:val="24"/>
        </w:rPr>
        <w:t>anul</w:t>
      </w:r>
      <w:r w:rsidRPr="00381DA2">
        <w:rPr>
          <w:rFonts w:asciiTheme="majorHAnsi" w:eastAsia="Times New Roman" w:hAnsiTheme="majorHAnsi" w:cstheme="minorHAnsi"/>
          <w:sz w:val="24"/>
          <w:szCs w:val="24"/>
        </w:rPr>
        <w:t xml:space="preserve"> 2022.</w:t>
      </w:r>
    </w:p>
    <w:p w14:paraId="162E3094" w14:textId="27DE42AF" w:rsidR="00FD339F" w:rsidRPr="00381DA2" w:rsidRDefault="00FD339F" w:rsidP="003A66EF">
      <w:pPr>
        <w:spacing w:after="120"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sz w:val="24"/>
          <w:szCs w:val="24"/>
        </w:rPr>
        <w:t>Autoritățile responsabile de implementare, în special CNAJGS, A</w:t>
      </w:r>
      <w:r w:rsidR="002D74D3" w:rsidRPr="00381DA2">
        <w:rPr>
          <w:rFonts w:asciiTheme="majorHAnsi" w:eastAsia="Times New Roman" w:hAnsiTheme="majorHAnsi" w:cstheme="minorHAnsi"/>
          <w:sz w:val="24"/>
          <w:szCs w:val="24"/>
        </w:rPr>
        <w:t>paratul administrativ</w:t>
      </w:r>
      <w:r w:rsidRPr="00381DA2">
        <w:rPr>
          <w:rFonts w:asciiTheme="majorHAnsi" w:eastAsia="Times New Roman" w:hAnsiTheme="majorHAnsi" w:cstheme="minorHAnsi"/>
          <w:sz w:val="24"/>
          <w:szCs w:val="24"/>
        </w:rPr>
        <w:t xml:space="preserve"> și O</w:t>
      </w:r>
      <w:r w:rsidR="00DE56E6">
        <w:rPr>
          <w:rFonts w:asciiTheme="majorHAnsi" w:eastAsia="Times New Roman" w:hAnsiTheme="majorHAnsi" w:cstheme="minorHAnsi"/>
          <w:sz w:val="24"/>
          <w:szCs w:val="24"/>
        </w:rPr>
        <w:t>T</w:t>
      </w:r>
      <w:r w:rsidRPr="00381DA2">
        <w:rPr>
          <w:rFonts w:asciiTheme="majorHAnsi" w:eastAsia="Times New Roman" w:hAnsiTheme="majorHAnsi" w:cstheme="minorHAnsi"/>
          <w:sz w:val="24"/>
          <w:szCs w:val="24"/>
        </w:rPr>
        <w:t>, întâmpinând o serie</w:t>
      </w:r>
      <w:r w:rsidR="000C747E">
        <w:rPr>
          <w:rFonts w:asciiTheme="majorHAnsi" w:eastAsia="Times New Roman" w:hAnsiTheme="majorHAnsi" w:cstheme="minorHAnsi"/>
          <w:sz w:val="24"/>
          <w:szCs w:val="24"/>
        </w:rPr>
        <w:t xml:space="preserve"> de constrângeri și deficiențe î</w:t>
      </w:r>
      <w:r w:rsidRPr="00381DA2">
        <w:rPr>
          <w:rFonts w:asciiTheme="majorHAnsi" w:eastAsia="Times New Roman" w:hAnsiTheme="majorHAnsi" w:cstheme="minorHAnsi"/>
          <w:sz w:val="24"/>
          <w:szCs w:val="24"/>
        </w:rPr>
        <w:t>n aplicabilitatea cadrului normativ și în</w:t>
      </w:r>
      <w:r w:rsidR="00DE56E6">
        <w:rPr>
          <w:rFonts w:asciiTheme="majorHAnsi" w:eastAsia="Times New Roman" w:hAnsiTheme="majorHAnsi" w:cstheme="minorHAnsi"/>
          <w:sz w:val="24"/>
          <w:szCs w:val="24"/>
        </w:rPr>
        <w:t xml:space="preserve"> scopul</w:t>
      </w:r>
      <w:r w:rsidRPr="00381DA2">
        <w:rPr>
          <w:rFonts w:asciiTheme="majorHAnsi" w:eastAsia="Times New Roman" w:hAnsiTheme="majorHAnsi" w:cstheme="minorHAnsi"/>
          <w:sz w:val="24"/>
          <w:szCs w:val="24"/>
        </w:rPr>
        <w:t xml:space="preserve"> implement</w:t>
      </w:r>
      <w:r w:rsidR="00DE56E6">
        <w:rPr>
          <w:rFonts w:asciiTheme="majorHAnsi" w:eastAsia="Times New Roman" w:hAnsiTheme="majorHAnsi" w:cstheme="minorHAnsi"/>
          <w:sz w:val="24"/>
          <w:szCs w:val="24"/>
        </w:rPr>
        <w:t>ării</w:t>
      </w:r>
      <w:r w:rsidRPr="00381DA2">
        <w:rPr>
          <w:rFonts w:asciiTheme="majorHAnsi" w:eastAsia="Times New Roman" w:hAnsiTheme="majorHAnsi" w:cstheme="minorHAnsi"/>
          <w:sz w:val="24"/>
          <w:szCs w:val="24"/>
        </w:rPr>
        <w:t xml:space="preserve"> </w:t>
      </w:r>
      <w:r w:rsidR="00DE56E6">
        <w:rPr>
          <w:rFonts w:asciiTheme="majorHAnsi" w:eastAsia="Times New Roman" w:hAnsiTheme="majorHAnsi" w:cstheme="minorHAnsi"/>
          <w:sz w:val="24"/>
          <w:szCs w:val="24"/>
        </w:rPr>
        <w:t xml:space="preserve">consecvente a </w:t>
      </w:r>
      <w:r w:rsidRPr="00381DA2">
        <w:rPr>
          <w:rFonts w:asciiTheme="majorHAnsi" w:eastAsia="Times New Roman" w:hAnsiTheme="majorHAnsi" w:cstheme="minorHAnsi"/>
          <w:sz w:val="24"/>
          <w:szCs w:val="24"/>
        </w:rPr>
        <w:t>Strategiei de activitate în sistemul de acordare a asistenței juridice garantate de stat pentru anii 2021-2022, anual și-au trasat obiective în Planurile</w:t>
      </w:r>
      <w:r w:rsidRPr="00381DA2">
        <w:rPr>
          <w:rFonts w:asciiTheme="majorHAnsi" w:hAnsiTheme="majorHAnsi" w:cstheme="minorHAnsi"/>
        </w:rPr>
        <w:t xml:space="preserve"> </w:t>
      </w:r>
      <w:r w:rsidRPr="00381DA2">
        <w:rPr>
          <w:rFonts w:asciiTheme="majorHAnsi" w:eastAsia="Times New Roman" w:hAnsiTheme="majorHAnsi" w:cstheme="minorHAnsi"/>
          <w:sz w:val="24"/>
          <w:szCs w:val="24"/>
        </w:rPr>
        <w:t xml:space="preserve">de acțiuni pentru </w:t>
      </w:r>
      <w:r w:rsidRPr="00381DA2">
        <w:rPr>
          <w:rFonts w:asciiTheme="majorHAnsi" w:eastAsia="Times New Roman" w:hAnsiTheme="majorHAnsi" w:cstheme="minorHAnsi"/>
          <w:sz w:val="24"/>
          <w:szCs w:val="24"/>
        </w:rPr>
        <w:lastRenderedPageBreak/>
        <w:t>anii 2020 - 2022</w:t>
      </w:r>
      <w:r w:rsidRPr="00381DA2">
        <w:rPr>
          <w:rStyle w:val="FootnoteReference"/>
          <w:rFonts w:asciiTheme="majorHAnsi" w:eastAsia="Times New Roman" w:hAnsiTheme="majorHAnsi" w:cstheme="minorHAnsi"/>
          <w:sz w:val="24"/>
          <w:szCs w:val="24"/>
        </w:rPr>
        <w:footnoteReference w:id="11"/>
      </w:r>
      <w:r w:rsidRPr="00381DA2">
        <w:rPr>
          <w:rFonts w:asciiTheme="majorHAnsi" w:eastAsia="Times New Roman" w:hAnsiTheme="majorHAnsi" w:cstheme="minorHAnsi"/>
          <w:sz w:val="24"/>
          <w:szCs w:val="24"/>
        </w:rPr>
        <w:t>. Acestea au fost  țintite și orientate spre revizuirea normelor deficitare și vulnerabile aferente domeniului asistentei juridice garantate de stat, in special:</w:t>
      </w:r>
    </w:p>
    <w:p w14:paraId="050A51C5" w14:textId="77777777" w:rsidR="00FD339F" w:rsidRPr="00381DA2" w:rsidRDefault="00FD339F" w:rsidP="003A66EF">
      <w:pPr>
        <w:pStyle w:val="ListParagraph"/>
        <w:numPr>
          <w:ilvl w:val="0"/>
          <w:numId w:val="14"/>
        </w:numPr>
        <w:autoSpaceDE w:val="0"/>
        <w:autoSpaceDN w:val="0"/>
        <w:adjustRightInd w:val="0"/>
        <w:spacing w:line="276" w:lineRule="auto"/>
        <w:jc w:val="both"/>
        <w:rPr>
          <w:rFonts w:asciiTheme="majorHAnsi" w:eastAsia="Times New Roman" w:hAnsiTheme="majorHAnsi" w:cstheme="minorHAnsi"/>
          <w:sz w:val="24"/>
          <w:szCs w:val="24"/>
          <w:lang w:val="ro-MD"/>
        </w:rPr>
      </w:pPr>
      <w:r w:rsidRPr="00381DA2">
        <w:rPr>
          <w:rFonts w:asciiTheme="majorHAnsi" w:eastAsia="Times New Roman" w:hAnsiTheme="majorHAnsi" w:cstheme="minorHAnsi"/>
          <w:sz w:val="24"/>
          <w:szCs w:val="24"/>
        </w:rPr>
        <w:t xml:space="preserve">reexaminarea condițiilor de eligibilitate </w:t>
      </w:r>
      <w:r w:rsidRPr="00381DA2">
        <w:rPr>
          <w:rFonts w:asciiTheme="majorHAnsi" w:eastAsia="Times New Roman" w:hAnsiTheme="majorHAnsi" w:cstheme="minorHAnsi"/>
          <w:sz w:val="24"/>
          <w:szCs w:val="24"/>
          <w:lang w:val="ro-MD"/>
        </w:rPr>
        <w:t xml:space="preserve">pentru acordarea asistenței juridice garantate de stat, precum și promovarea modificărilor; </w:t>
      </w:r>
    </w:p>
    <w:p w14:paraId="77EFA849" w14:textId="32194FD5" w:rsidR="00FD339F" w:rsidRPr="00381DA2" w:rsidRDefault="00FD339F" w:rsidP="003A66EF">
      <w:pPr>
        <w:pStyle w:val="ListParagraph"/>
        <w:numPr>
          <w:ilvl w:val="0"/>
          <w:numId w:val="14"/>
        </w:numPr>
        <w:autoSpaceDE w:val="0"/>
        <w:autoSpaceDN w:val="0"/>
        <w:adjustRightInd w:val="0"/>
        <w:spacing w:line="276" w:lineRule="auto"/>
        <w:jc w:val="both"/>
        <w:rPr>
          <w:rFonts w:asciiTheme="majorHAnsi" w:eastAsia="Times New Roman" w:hAnsiTheme="majorHAnsi" w:cstheme="minorHAnsi"/>
          <w:sz w:val="24"/>
          <w:szCs w:val="24"/>
          <w:lang w:val="ro-MD"/>
        </w:rPr>
      </w:pPr>
      <w:r w:rsidRPr="00381DA2">
        <w:rPr>
          <w:rFonts w:asciiTheme="majorHAnsi" w:eastAsia="Times New Roman" w:hAnsiTheme="majorHAnsi" w:cstheme="minorHAnsi"/>
          <w:sz w:val="24"/>
          <w:szCs w:val="24"/>
          <w:lang w:val="ro-MD"/>
        </w:rPr>
        <w:t>revizuirea condițiilor, mărimii și modului de remunerare a avocaților pentru serviciile de acordare a asistenței juridice garantate de stat în vederea îmbunătățirii acestora;</w:t>
      </w:r>
    </w:p>
    <w:p w14:paraId="401801CA" w14:textId="77777777" w:rsidR="00FD339F" w:rsidRPr="00381DA2" w:rsidRDefault="00FD339F" w:rsidP="003A66EF">
      <w:pPr>
        <w:pStyle w:val="ListParagraph"/>
        <w:numPr>
          <w:ilvl w:val="0"/>
          <w:numId w:val="14"/>
        </w:numPr>
        <w:autoSpaceDE w:val="0"/>
        <w:autoSpaceDN w:val="0"/>
        <w:adjustRightInd w:val="0"/>
        <w:spacing w:line="276" w:lineRule="auto"/>
        <w:jc w:val="both"/>
        <w:rPr>
          <w:rFonts w:asciiTheme="majorHAnsi" w:eastAsia="Times New Roman" w:hAnsiTheme="majorHAnsi" w:cstheme="minorHAnsi"/>
          <w:sz w:val="24"/>
          <w:szCs w:val="24"/>
          <w:lang w:val="ro-MD"/>
        </w:rPr>
      </w:pPr>
      <w:r w:rsidRPr="00381DA2">
        <w:rPr>
          <w:rFonts w:asciiTheme="majorHAnsi" w:eastAsia="Times New Roman" w:hAnsiTheme="majorHAnsi" w:cstheme="minorHAnsi"/>
          <w:sz w:val="24"/>
          <w:szCs w:val="24"/>
          <w:lang w:val="ro-MD"/>
        </w:rPr>
        <w:t>elaborarea și instituționalizarea mecanismului de acordare a asistenței juridice parțial gratuite;</w:t>
      </w:r>
    </w:p>
    <w:p w14:paraId="7409733A" w14:textId="77777777" w:rsidR="00FD339F" w:rsidRPr="00381DA2" w:rsidRDefault="00FD339F" w:rsidP="003A66EF">
      <w:pPr>
        <w:pStyle w:val="ListParagraph"/>
        <w:numPr>
          <w:ilvl w:val="0"/>
          <w:numId w:val="14"/>
        </w:numPr>
        <w:autoSpaceDE w:val="0"/>
        <w:autoSpaceDN w:val="0"/>
        <w:adjustRightInd w:val="0"/>
        <w:spacing w:line="276" w:lineRule="auto"/>
        <w:jc w:val="both"/>
        <w:rPr>
          <w:rFonts w:asciiTheme="majorHAnsi" w:eastAsia="Times New Roman" w:hAnsiTheme="majorHAnsi" w:cstheme="minorHAnsi"/>
          <w:sz w:val="24"/>
          <w:szCs w:val="24"/>
          <w:lang w:val="ro-MD"/>
        </w:rPr>
      </w:pPr>
      <w:r w:rsidRPr="00381DA2">
        <w:rPr>
          <w:rFonts w:asciiTheme="majorHAnsi" w:eastAsia="Times New Roman" w:hAnsiTheme="majorHAnsi" w:cstheme="minorHAnsi"/>
          <w:sz w:val="24"/>
          <w:szCs w:val="24"/>
          <w:lang w:val="ro-MD"/>
        </w:rPr>
        <w:t xml:space="preserve">dezvoltarea mecanismului de recuperare a cheltuielilor pentru asistența juridică garantată de stat; </w:t>
      </w:r>
    </w:p>
    <w:p w14:paraId="299677E6" w14:textId="69499CB4" w:rsidR="00FD339F" w:rsidRPr="00381DA2" w:rsidRDefault="00FD339F" w:rsidP="003A66EF">
      <w:pPr>
        <w:pStyle w:val="ListParagraph"/>
        <w:numPr>
          <w:ilvl w:val="0"/>
          <w:numId w:val="14"/>
        </w:numPr>
        <w:autoSpaceDE w:val="0"/>
        <w:autoSpaceDN w:val="0"/>
        <w:adjustRightInd w:val="0"/>
        <w:spacing w:after="120" w:line="276" w:lineRule="auto"/>
        <w:contextualSpacing w:val="0"/>
        <w:jc w:val="both"/>
        <w:rPr>
          <w:rFonts w:asciiTheme="majorHAnsi" w:eastAsia="Times New Roman" w:hAnsiTheme="majorHAnsi" w:cstheme="minorHAnsi"/>
          <w:sz w:val="24"/>
          <w:szCs w:val="24"/>
          <w:lang w:val="ro-MD"/>
        </w:rPr>
      </w:pPr>
      <w:r w:rsidRPr="00381DA2">
        <w:rPr>
          <w:rFonts w:asciiTheme="majorHAnsi" w:eastAsia="Times New Roman" w:hAnsiTheme="majorHAnsi" w:cstheme="minorHAnsi"/>
          <w:sz w:val="24"/>
          <w:szCs w:val="24"/>
          <w:lang w:val="ro-MD"/>
        </w:rPr>
        <w:t>elaborare</w:t>
      </w:r>
      <w:r w:rsidR="00DE56E6">
        <w:rPr>
          <w:rFonts w:asciiTheme="majorHAnsi" w:eastAsia="Times New Roman" w:hAnsiTheme="majorHAnsi" w:cstheme="minorHAnsi"/>
          <w:sz w:val="24"/>
          <w:szCs w:val="24"/>
          <w:lang w:val="ro-MD"/>
        </w:rPr>
        <w:t>a</w:t>
      </w:r>
      <w:r w:rsidRPr="00381DA2">
        <w:rPr>
          <w:rFonts w:asciiTheme="majorHAnsi" w:eastAsia="Times New Roman" w:hAnsiTheme="majorHAnsi" w:cstheme="minorHAnsi"/>
          <w:sz w:val="24"/>
          <w:szCs w:val="24"/>
          <w:lang w:val="ro-MD"/>
        </w:rPr>
        <w:t xml:space="preserve"> continuă a standardelor de calitate, care ar putea servi drept repere în procesul de monitorizare internă și externă a calității serviciilor de asistență juridică garantată de stat acordate de către avocați.</w:t>
      </w:r>
    </w:p>
    <w:p w14:paraId="0C8287E7" w14:textId="6F6BE4CE" w:rsidR="00FD339F" w:rsidRPr="00381DA2" w:rsidRDefault="00FD339F" w:rsidP="003A66EF">
      <w:pPr>
        <w:spacing w:after="120" w:line="276" w:lineRule="auto"/>
        <w:jc w:val="both"/>
        <w:rPr>
          <w:rFonts w:asciiTheme="majorHAnsi" w:eastAsiaTheme="minorEastAsia" w:hAnsiTheme="majorHAnsi" w:cstheme="minorHAnsi"/>
          <w:color w:val="333333"/>
          <w:sz w:val="24"/>
          <w:szCs w:val="24"/>
          <w:shd w:val="clear" w:color="auto" w:fill="FFFFFF"/>
        </w:rPr>
      </w:pPr>
      <w:r w:rsidRPr="00381DA2">
        <w:rPr>
          <w:rFonts w:asciiTheme="majorHAnsi" w:eastAsiaTheme="minorEastAsia" w:hAnsiTheme="majorHAnsi" w:cstheme="minorHAnsi"/>
          <w:color w:val="333333"/>
          <w:sz w:val="24"/>
          <w:szCs w:val="24"/>
          <w:shd w:val="clear" w:color="auto" w:fill="FFFFFF"/>
        </w:rPr>
        <w:t>Cu toate că instituțiile statului și-au asumat executarea unor acțiuni relevante pentru îmbunătățirea guvernării sistemului de asistență juridică, auditul constată că acest proces este unul anevoios și poartă un caracter tardiv, acțiunile trasate în mare parte nefiind realizate, or, acestea fiind incluse repetat atât în documentele de planificare strategică, cât și regăsindu-se de la an la an în documentele de planificare operațională.</w:t>
      </w:r>
    </w:p>
    <w:p w14:paraId="06A45820" w14:textId="04B353A3" w:rsidR="00FD339F" w:rsidRPr="00381DA2" w:rsidRDefault="00FD339F" w:rsidP="003A66EF">
      <w:pPr>
        <w:spacing w:after="120" w:line="276" w:lineRule="auto"/>
        <w:jc w:val="both"/>
        <w:rPr>
          <w:rFonts w:asciiTheme="majorHAnsi" w:eastAsiaTheme="minorEastAsia" w:hAnsiTheme="majorHAnsi" w:cstheme="minorHAnsi"/>
          <w:color w:val="333333"/>
          <w:sz w:val="24"/>
          <w:szCs w:val="24"/>
          <w:shd w:val="clear" w:color="auto" w:fill="FFFFFF"/>
        </w:rPr>
      </w:pPr>
      <w:r w:rsidRPr="00381DA2">
        <w:rPr>
          <w:rFonts w:asciiTheme="majorHAnsi" w:eastAsiaTheme="minorEastAsia" w:hAnsiTheme="majorHAnsi" w:cstheme="minorHAnsi"/>
          <w:color w:val="333333"/>
          <w:sz w:val="24"/>
          <w:szCs w:val="24"/>
          <w:shd w:val="clear" w:color="auto" w:fill="FFFFFF"/>
        </w:rPr>
        <w:t>Cele menționate au fost condiționate de un cumul de factori de natură obiectivă și subiectivă</w:t>
      </w:r>
      <w:r w:rsidR="0024163B">
        <w:rPr>
          <w:rFonts w:asciiTheme="majorHAnsi" w:eastAsiaTheme="minorEastAsia" w:hAnsiTheme="majorHAnsi" w:cstheme="minorHAnsi"/>
          <w:color w:val="333333"/>
          <w:sz w:val="24"/>
          <w:szCs w:val="24"/>
          <w:shd w:val="clear" w:color="auto" w:fill="FFFFFF"/>
        </w:rPr>
        <w:t>,</w:t>
      </w:r>
      <w:r w:rsidRPr="00381DA2">
        <w:rPr>
          <w:rFonts w:asciiTheme="majorHAnsi" w:eastAsiaTheme="minorEastAsia" w:hAnsiTheme="majorHAnsi" w:cstheme="minorHAnsi"/>
          <w:color w:val="333333"/>
          <w:sz w:val="24"/>
          <w:szCs w:val="24"/>
          <w:shd w:val="clear" w:color="auto" w:fill="FFFFFF"/>
        </w:rPr>
        <w:t xml:space="preserve"> rezultată din complexitatea domeniului, insuficiența conlucrării instituționale între MJ și Consiliul Național, dar și fiind influențată de modificarea continuă a legislației procesuale, apariția de noi practici și cutume profesionale în cauzele de procedură penală și non-penale, care necesită a fi integrate în sistemul de asistentă juridică gar</w:t>
      </w:r>
      <w:r w:rsidR="00516689">
        <w:rPr>
          <w:rFonts w:asciiTheme="majorHAnsi" w:eastAsiaTheme="minorEastAsia" w:hAnsiTheme="majorHAnsi" w:cstheme="minorHAnsi"/>
          <w:color w:val="333333"/>
          <w:sz w:val="24"/>
          <w:szCs w:val="24"/>
          <w:shd w:val="clear" w:color="auto" w:fill="FFFFFF"/>
        </w:rPr>
        <w:t>antată. Un alt aspect obiectiv</w:t>
      </w:r>
      <w:r w:rsidRPr="00381DA2">
        <w:rPr>
          <w:rFonts w:asciiTheme="majorHAnsi" w:eastAsiaTheme="minorEastAsia" w:hAnsiTheme="majorHAnsi" w:cstheme="minorHAnsi"/>
          <w:color w:val="333333"/>
          <w:sz w:val="24"/>
          <w:szCs w:val="24"/>
          <w:shd w:val="clear" w:color="auto" w:fill="FFFFFF"/>
        </w:rPr>
        <w:t xml:space="preserve"> </w:t>
      </w:r>
      <w:r w:rsidR="0024163B">
        <w:rPr>
          <w:rFonts w:asciiTheme="majorHAnsi" w:eastAsiaTheme="minorEastAsia" w:hAnsiTheme="majorHAnsi" w:cstheme="minorHAnsi"/>
          <w:color w:val="333333"/>
          <w:sz w:val="24"/>
          <w:szCs w:val="24"/>
          <w:shd w:val="clear" w:color="auto" w:fill="FFFFFF"/>
        </w:rPr>
        <w:t>este</w:t>
      </w:r>
      <w:r w:rsidRPr="00381DA2">
        <w:rPr>
          <w:rFonts w:asciiTheme="majorHAnsi" w:eastAsiaTheme="minorEastAsia" w:hAnsiTheme="majorHAnsi" w:cstheme="minorHAnsi"/>
          <w:color w:val="333333"/>
          <w:sz w:val="24"/>
          <w:szCs w:val="24"/>
          <w:shd w:val="clear" w:color="auto" w:fill="FFFFFF"/>
        </w:rPr>
        <w:t xml:space="preserve"> faptul că procedura de modificare a actelor legislative necesită parcurgerea etapizată a procesului de legiferare, care necesită timp, dar și agrearea modificărilor legislative din partea legiuitorului. </w:t>
      </w:r>
    </w:p>
    <w:p w14:paraId="69D587BC" w14:textId="47014DE3" w:rsidR="00FD339F" w:rsidRPr="00381DA2" w:rsidRDefault="00FD339F" w:rsidP="003A66EF">
      <w:pPr>
        <w:spacing w:after="120" w:line="276" w:lineRule="auto"/>
        <w:jc w:val="both"/>
        <w:rPr>
          <w:rFonts w:asciiTheme="majorHAnsi" w:hAnsiTheme="majorHAnsi" w:cstheme="minorHAnsi"/>
          <w:sz w:val="24"/>
          <w:szCs w:val="24"/>
          <w:lang w:val="ro-RO"/>
        </w:rPr>
      </w:pPr>
      <w:r w:rsidRPr="00381DA2">
        <w:rPr>
          <w:rFonts w:asciiTheme="majorHAnsi" w:eastAsiaTheme="minorEastAsia" w:hAnsiTheme="majorHAnsi" w:cstheme="minorHAnsi"/>
          <w:color w:val="333333"/>
          <w:sz w:val="24"/>
          <w:szCs w:val="24"/>
          <w:shd w:val="clear" w:color="auto" w:fill="FFFFFF"/>
        </w:rPr>
        <w:t xml:space="preserve">Se relevă că echipa de audit a identificat și </w:t>
      </w:r>
      <w:r w:rsidR="0024163B">
        <w:rPr>
          <w:rFonts w:asciiTheme="majorHAnsi" w:eastAsiaTheme="minorEastAsia" w:hAnsiTheme="majorHAnsi" w:cstheme="minorHAnsi"/>
          <w:color w:val="333333"/>
          <w:sz w:val="24"/>
          <w:szCs w:val="24"/>
          <w:shd w:val="clear" w:color="auto" w:fill="FFFFFF"/>
        </w:rPr>
        <w:t xml:space="preserve">a </w:t>
      </w:r>
      <w:r w:rsidRPr="00381DA2">
        <w:rPr>
          <w:rFonts w:asciiTheme="majorHAnsi" w:eastAsiaTheme="minorEastAsia" w:hAnsiTheme="majorHAnsi" w:cstheme="minorHAnsi"/>
          <w:color w:val="333333"/>
          <w:sz w:val="24"/>
          <w:szCs w:val="24"/>
          <w:shd w:val="clear" w:color="auto" w:fill="FFFFFF"/>
        </w:rPr>
        <w:t xml:space="preserve">analizat procesele care necesită a fi dezvoltate și perfecționate, în acest context fiind structurate și relatate următoarele. </w:t>
      </w:r>
    </w:p>
    <w:p w14:paraId="3FC51568" w14:textId="77777777" w:rsidR="00FD339F" w:rsidRPr="00381DA2" w:rsidRDefault="00FD339F" w:rsidP="003A66EF">
      <w:pPr>
        <w:pStyle w:val="ListParagraph"/>
        <w:numPr>
          <w:ilvl w:val="0"/>
          <w:numId w:val="32"/>
        </w:numPr>
        <w:tabs>
          <w:tab w:val="left" w:pos="270"/>
        </w:tabs>
        <w:spacing w:after="120" w:line="276" w:lineRule="auto"/>
        <w:ind w:left="0" w:firstLine="360"/>
        <w:contextualSpacing w:val="0"/>
        <w:jc w:val="both"/>
        <w:rPr>
          <w:rFonts w:asciiTheme="majorHAnsi" w:hAnsiTheme="majorHAnsi" w:cstheme="minorHAnsi"/>
          <w:color w:val="0070C0"/>
          <w:sz w:val="24"/>
          <w:szCs w:val="24"/>
        </w:rPr>
      </w:pPr>
      <w:bookmarkStart w:id="25" w:name="_Toc125368184"/>
      <w:r w:rsidRPr="00381DA2">
        <w:rPr>
          <w:rFonts w:asciiTheme="majorHAnsi" w:hAnsiTheme="majorHAnsi" w:cstheme="minorHAnsi"/>
          <w:color w:val="0070C0"/>
          <w:sz w:val="24"/>
          <w:szCs w:val="24"/>
        </w:rPr>
        <w:t>Norme contradictorii și neclare privind acordarea AJGS în unele situații obligatorii prestabilite de cadrul normativ</w:t>
      </w:r>
      <w:bookmarkEnd w:id="25"/>
    </w:p>
    <w:p w14:paraId="06D31605" w14:textId="4E6AC768" w:rsidR="00FD339F" w:rsidRPr="00381DA2" w:rsidRDefault="00FD339F" w:rsidP="003A66EF">
      <w:pPr>
        <w:tabs>
          <w:tab w:val="left" w:pos="270"/>
          <w:tab w:val="left" w:pos="450"/>
        </w:tabs>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Potrivit art. 69 alin. (1) pct.3) din CPP,</w:t>
      </w:r>
      <w:r w:rsidRPr="00381DA2">
        <w:rPr>
          <w:rFonts w:asciiTheme="majorHAnsi" w:hAnsiTheme="majorHAnsi" w:cstheme="minorHAnsi"/>
          <w:color w:val="333333"/>
          <w:shd w:val="clear" w:color="auto" w:fill="FFFFFF"/>
        </w:rPr>
        <w:t xml:space="preserve"> </w:t>
      </w:r>
      <w:r w:rsidRPr="00381DA2">
        <w:rPr>
          <w:rFonts w:asciiTheme="majorHAnsi" w:hAnsiTheme="majorHAnsi" w:cstheme="minorHAnsi"/>
          <w:color w:val="333333"/>
          <w:sz w:val="24"/>
          <w:szCs w:val="24"/>
          <w:shd w:val="clear" w:color="auto" w:fill="FFFFFF"/>
        </w:rPr>
        <w:t>participarea apărătorului la procesul penal este obligatorie în cazul în care bănuitul, învinuitul, inculpatul nu posedă sau posedă în măsură insuficientă limba în care se desfășoară procesul penal.</w:t>
      </w:r>
      <w:r w:rsidRPr="00381DA2">
        <w:rPr>
          <w:rFonts w:asciiTheme="majorHAnsi" w:hAnsiTheme="majorHAnsi" w:cstheme="minorHAnsi"/>
          <w:sz w:val="24"/>
          <w:szCs w:val="24"/>
        </w:rPr>
        <w:t xml:space="preserve"> Analiza datelor din informația </w:t>
      </w:r>
      <w:r w:rsidR="00710622" w:rsidRPr="00381DA2">
        <w:rPr>
          <w:rFonts w:asciiTheme="majorHAnsi" w:hAnsiTheme="majorHAnsi" w:cstheme="minorHAnsi"/>
          <w:sz w:val="24"/>
          <w:szCs w:val="24"/>
        </w:rPr>
        <w:t>prezentată de CNAJGS atestă că</w:t>
      </w:r>
      <w:r w:rsidR="005617D6">
        <w:rPr>
          <w:rFonts w:asciiTheme="majorHAnsi" w:hAnsiTheme="majorHAnsi" w:cstheme="minorHAnsi"/>
          <w:sz w:val="24"/>
          <w:szCs w:val="24"/>
        </w:rPr>
        <w:t>,</w:t>
      </w:r>
      <w:r w:rsidR="00710622" w:rsidRPr="00381DA2">
        <w:rPr>
          <w:rFonts w:asciiTheme="majorHAnsi" w:hAnsiTheme="majorHAnsi" w:cstheme="minorHAnsi"/>
          <w:sz w:val="24"/>
          <w:szCs w:val="24"/>
        </w:rPr>
        <w:t xml:space="preserve"> î</w:t>
      </w:r>
      <w:r w:rsidRPr="00381DA2">
        <w:rPr>
          <w:rFonts w:asciiTheme="majorHAnsi" w:hAnsiTheme="majorHAnsi" w:cstheme="minorHAnsi"/>
          <w:sz w:val="24"/>
          <w:szCs w:val="24"/>
        </w:rPr>
        <w:t>n perioada 2020 – 11.11.2022, făcându-se uz de norma menționată supra</w:t>
      </w:r>
      <w:r w:rsidR="005617D6">
        <w:rPr>
          <w:rFonts w:asciiTheme="majorHAnsi" w:hAnsiTheme="majorHAnsi" w:cstheme="minorHAnsi"/>
          <w:sz w:val="24"/>
          <w:szCs w:val="24"/>
        </w:rPr>
        <w:t>,</w:t>
      </w:r>
      <w:r w:rsidRPr="00381DA2">
        <w:rPr>
          <w:rFonts w:asciiTheme="majorHAnsi" w:hAnsiTheme="majorHAnsi" w:cstheme="minorHAnsi"/>
          <w:sz w:val="24"/>
          <w:szCs w:val="24"/>
        </w:rPr>
        <w:t xml:space="preserve">  coordonatorii OT au aprobat 13</w:t>
      </w:r>
      <w:r w:rsidR="005617D6">
        <w:rPr>
          <w:rFonts w:asciiTheme="majorHAnsi" w:hAnsiTheme="majorHAnsi" w:cstheme="minorHAnsi"/>
          <w:sz w:val="24"/>
          <w:szCs w:val="24"/>
        </w:rPr>
        <w:t>.</w:t>
      </w:r>
      <w:r w:rsidRPr="00381DA2">
        <w:rPr>
          <w:rFonts w:asciiTheme="majorHAnsi" w:hAnsiTheme="majorHAnsi" w:cstheme="minorHAnsi"/>
          <w:sz w:val="24"/>
          <w:szCs w:val="24"/>
        </w:rPr>
        <w:t>154 de Decizii de acordare a AJGS, dintre care pentru 10</w:t>
      </w:r>
      <w:r w:rsidR="005617D6">
        <w:rPr>
          <w:rFonts w:asciiTheme="majorHAnsi" w:hAnsiTheme="majorHAnsi" w:cstheme="minorHAnsi"/>
          <w:sz w:val="24"/>
          <w:szCs w:val="24"/>
        </w:rPr>
        <w:t>.</w:t>
      </w:r>
      <w:r w:rsidRPr="00381DA2">
        <w:rPr>
          <w:rFonts w:asciiTheme="majorHAnsi" w:hAnsiTheme="majorHAnsi" w:cstheme="minorHAnsi"/>
          <w:sz w:val="24"/>
          <w:szCs w:val="24"/>
        </w:rPr>
        <w:t xml:space="preserve">268 </w:t>
      </w:r>
      <w:r w:rsidR="005617D6">
        <w:rPr>
          <w:rFonts w:asciiTheme="majorHAnsi" w:hAnsiTheme="majorHAnsi" w:cstheme="minorHAnsi"/>
          <w:sz w:val="24"/>
          <w:szCs w:val="24"/>
        </w:rPr>
        <w:t xml:space="preserve">de </w:t>
      </w:r>
      <w:r w:rsidRPr="00381DA2">
        <w:rPr>
          <w:rFonts w:asciiTheme="majorHAnsi" w:hAnsiTheme="majorHAnsi" w:cstheme="minorHAnsi"/>
          <w:sz w:val="24"/>
          <w:szCs w:val="24"/>
        </w:rPr>
        <w:t>decizii au fost achitate mijloace financia</w:t>
      </w:r>
      <w:r w:rsidR="00710622" w:rsidRPr="00381DA2">
        <w:rPr>
          <w:rFonts w:asciiTheme="majorHAnsi" w:hAnsiTheme="majorHAnsi" w:cstheme="minorHAnsi"/>
          <w:sz w:val="24"/>
          <w:szCs w:val="24"/>
        </w:rPr>
        <w:t>re în sumă de 20</w:t>
      </w:r>
      <w:r w:rsidR="005617D6">
        <w:rPr>
          <w:rFonts w:asciiTheme="majorHAnsi" w:hAnsiTheme="majorHAnsi" w:cstheme="minorHAnsi"/>
          <w:sz w:val="24"/>
          <w:szCs w:val="24"/>
        </w:rPr>
        <w:t>.</w:t>
      </w:r>
      <w:r w:rsidR="00710622" w:rsidRPr="00381DA2">
        <w:rPr>
          <w:rFonts w:asciiTheme="majorHAnsi" w:hAnsiTheme="majorHAnsi" w:cstheme="minorHAnsi"/>
          <w:sz w:val="24"/>
          <w:szCs w:val="24"/>
        </w:rPr>
        <w:t>912,3 mii lei, inclusiv:</w:t>
      </w:r>
    </w:p>
    <w:p w14:paraId="6B006C1F" w14:textId="69A42414" w:rsidR="00FD339F" w:rsidRPr="00381DA2" w:rsidRDefault="00FD339F" w:rsidP="003A66EF">
      <w:pPr>
        <w:pStyle w:val="ListParagraph"/>
        <w:numPr>
          <w:ilvl w:val="0"/>
          <w:numId w:val="12"/>
        </w:numPr>
        <w:tabs>
          <w:tab w:val="left" w:pos="270"/>
          <w:tab w:val="left" w:pos="450"/>
        </w:tabs>
        <w:autoSpaceDE w:val="0"/>
        <w:autoSpaceDN w:val="0"/>
        <w:adjustRightInd w:val="0"/>
        <w:spacing w:after="120" w:line="276" w:lineRule="auto"/>
        <w:ind w:left="0" w:firstLine="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29% din numărul total de decizii de acordare a AJGS reveneau cazurilor în care persoan</w:t>
      </w:r>
      <w:r w:rsidR="005617D6">
        <w:rPr>
          <w:rFonts w:asciiTheme="majorHAnsi" w:hAnsiTheme="majorHAnsi" w:cstheme="minorHAnsi"/>
          <w:sz w:val="24"/>
          <w:szCs w:val="24"/>
          <w:lang w:val="ro-MD"/>
        </w:rPr>
        <w:t>ele</w:t>
      </w:r>
      <w:r w:rsidRPr="00381DA2">
        <w:rPr>
          <w:rFonts w:asciiTheme="majorHAnsi" w:hAnsiTheme="majorHAnsi" w:cstheme="minorHAnsi"/>
          <w:sz w:val="24"/>
          <w:szCs w:val="24"/>
          <w:lang w:val="ro-MD"/>
        </w:rPr>
        <w:t xml:space="preserve"> fizic</w:t>
      </w:r>
      <w:r w:rsidR="005617D6">
        <w:rPr>
          <w:rFonts w:asciiTheme="majorHAnsi" w:hAnsiTheme="majorHAnsi" w:cstheme="minorHAnsi"/>
          <w:sz w:val="24"/>
          <w:szCs w:val="24"/>
          <w:lang w:val="ro-MD"/>
        </w:rPr>
        <w:t>e</w:t>
      </w:r>
      <w:r w:rsidRPr="00381DA2">
        <w:rPr>
          <w:rFonts w:asciiTheme="majorHAnsi" w:hAnsiTheme="majorHAnsi" w:cstheme="minorHAnsi"/>
          <w:sz w:val="24"/>
          <w:szCs w:val="24"/>
          <w:lang w:val="ro-MD"/>
        </w:rPr>
        <w:t xml:space="preserve"> (</w:t>
      </w:r>
      <w:r w:rsidRPr="00381DA2">
        <w:rPr>
          <w:rFonts w:asciiTheme="majorHAnsi" w:hAnsiTheme="majorHAnsi" w:cstheme="minorHAnsi"/>
          <w:color w:val="333333"/>
          <w:sz w:val="24"/>
          <w:szCs w:val="24"/>
          <w:shd w:val="clear" w:color="auto" w:fill="FFFFFF"/>
          <w:lang w:val="ro-MD"/>
        </w:rPr>
        <w:t>bănuitul, învinuitul, inculpatul)</w:t>
      </w:r>
      <w:r w:rsidRPr="00381DA2">
        <w:rPr>
          <w:rFonts w:asciiTheme="majorHAnsi" w:hAnsiTheme="majorHAnsi" w:cstheme="minorHAnsi"/>
          <w:sz w:val="24"/>
          <w:szCs w:val="24"/>
          <w:lang w:val="ro-MD"/>
        </w:rPr>
        <w:t xml:space="preserve"> pentru care s-a</w:t>
      </w:r>
      <w:r w:rsidR="005617D6">
        <w:rPr>
          <w:rFonts w:asciiTheme="majorHAnsi" w:hAnsiTheme="majorHAnsi" w:cstheme="minorHAnsi"/>
          <w:sz w:val="24"/>
          <w:szCs w:val="24"/>
          <w:lang w:val="ro-MD"/>
        </w:rPr>
        <w:t>u</w:t>
      </w:r>
      <w:r w:rsidRPr="00381DA2">
        <w:rPr>
          <w:rFonts w:asciiTheme="majorHAnsi" w:hAnsiTheme="majorHAnsi" w:cstheme="minorHAnsi"/>
          <w:sz w:val="24"/>
          <w:szCs w:val="24"/>
          <w:lang w:val="ro-MD"/>
        </w:rPr>
        <w:t xml:space="preserve"> solicitat asistența juridică</w:t>
      </w:r>
      <w:r w:rsidR="005617D6">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w:t>
      </w:r>
      <w:r w:rsidR="005617D6">
        <w:rPr>
          <w:rFonts w:asciiTheme="majorHAnsi" w:hAnsiTheme="majorHAnsi" w:cstheme="minorHAnsi"/>
          <w:sz w:val="24"/>
          <w:szCs w:val="24"/>
          <w:lang w:val="ro-MD"/>
        </w:rPr>
        <w:t>din cauza</w:t>
      </w:r>
      <w:r w:rsidRPr="00381DA2">
        <w:rPr>
          <w:rFonts w:asciiTheme="majorHAnsi" w:hAnsiTheme="majorHAnsi" w:cstheme="minorHAnsi"/>
          <w:sz w:val="24"/>
          <w:szCs w:val="24"/>
          <w:lang w:val="ro-MD"/>
        </w:rPr>
        <w:t xml:space="preserve"> că</w:t>
      </w:r>
      <w:r w:rsidRPr="00381DA2">
        <w:rPr>
          <w:rFonts w:asciiTheme="majorHAnsi" w:hAnsiTheme="majorHAnsi" w:cstheme="minorHAnsi"/>
          <w:color w:val="333333"/>
          <w:sz w:val="24"/>
          <w:szCs w:val="24"/>
          <w:shd w:val="clear" w:color="auto" w:fill="FFFFFF"/>
          <w:lang w:val="ro-MD"/>
        </w:rPr>
        <w:t xml:space="preserve"> nu posed</w:t>
      </w:r>
      <w:r w:rsidR="005617D6">
        <w:rPr>
          <w:rFonts w:asciiTheme="majorHAnsi" w:hAnsiTheme="majorHAnsi" w:cstheme="minorHAnsi"/>
          <w:color w:val="333333"/>
          <w:sz w:val="24"/>
          <w:szCs w:val="24"/>
          <w:shd w:val="clear" w:color="auto" w:fill="FFFFFF"/>
          <w:lang w:val="ro-MD"/>
        </w:rPr>
        <w:t>au</w:t>
      </w:r>
      <w:r w:rsidRPr="00381DA2">
        <w:rPr>
          <w:rFonts w:asciiTheme="majorHAnsi" w:hAnsiTheme="majorHAnsi" w:cstheme="minorHAnsi"/>
          <w:color w:val="333333"/>
          <w:sz w:val="24"/>
          <w:szCs w:val="24"/>
          <w:shd w:val="clear" w:color="auto" w:fill="FFFFFF"/>
          <w:lang w:val="ro-MD"/>
        </w:rPr>
        <w:t xml:space="preserve"> sau posed</w:t>
      </w:r>
      <w:r w:rsidR="005617D6">
        <w:rPr>
          <w:rFonts w:asciiTheme="majorHAnsi" w:hAnsiTheme="majorHAnsi" w:cstheme="minorHAnsi"/>
          <w:color w:val="333333"/>
          <w:sz w:val="24"/>
          <w:szCs w:val="24"/>
          <w:shd w:val="clear" w:color="auto" w:fill="FFFFFF"/>
          <w:lang w:val="ro-MD"/>
        </w:rPr>
        <w:t>au</w:t>
      </w:r>
      <w:r w:rsidRPr="00381DA2">
        <w:rPr>
          <w:rFonts w:asciiTheme="majorHAnsi" w:hAnsiTheme="majorHAnsi" w:cstheme="minorHAnsi"/>
          <w:color w:val="333333"/>
          <w:sz w:val="24"/>
          <w:szCs w:val="24"/>
          <w:shd w:val="clear" w:color="auto" w:fill="FFFFFF"/>
          <w:lang w:val="ro-MD"/>
        </w:rPr>
        <w:t xml:space="preserve"> în măsură insuficientă limba</w:t>
      </w:r>
      <w:r w:rsidR="005617D6">
        <w:rPr>
          <w:rFonts w:asciiTheme="majorHAnsi" w:hAnsiTheme="majorHAnsi" w:cstheme="minorHAnsi"/>
          <w:color w:val="333333"/>
          <w:sz w:val="24"/>
          <w:szCs w:val="24"/>
          <w:shd w:val="clear" w:color="auto" w:fill="FFFFFF"/>
          <w:lang w:val="ro-MD"/>
        </w:rPr>
        <w:t>,</w:t>
      </w:r>
      <w:r w:rsidRPr="00381DA2">
        <w:rPr>
          <w:rFonts w:asciiTheme="majorHAnsi" w:hAnsiTheme="majorHAnsi" w:cstheme="minorHAnsi"/>
          <w:sz w:val="24"/>
          <w:szCs w:val="24"/>
          <w:lang w:val="ro-MD"/>
        </w:rPr>
        <w:t xml:space="preserve"> erau eligibil</w:t>
      </w:r>
      <w:r w:rsidR="005617D6">
        <w:rPr>
          <w:rFonts w:asciiTheme="majorHAnsi" w:hAnsiTheme="majorHAnsi" w:cstheme="minorHAnsi"/>
          <w:sz w:val="24"/>
          <w:szCs w:val="24"/>
          <w:lang w:val="ro-MD"/>
        </w:rPr>
        <w:t>e</w:t>
      </w:r>
      <w:r w:rsidRPr="00381DA2">
        <w:rPr>
          <w:rFonts w:asciiTheme="majorHAnsi" w:hAnsiTheme="majorHAnsi" w:cstheme="minorHAnsi"/>
          <w:sz w:val="24"/>
          <w:szCs w:val="24"/>
          <w:lang w:val="ro-MD"/>
        </w:rPr>
        <w:t xml:space="preserve"> să beneficieze de asistența </w:t>
      </w:r>
      <w:r w:rsidRPr="00381DA2">
        <w:rPr>
          <w:rFonts w:asciiTheme="majorHAnsi" w:hAnsiTheme="majorHAnsi" w:cstheme="minorHAnsi"/>
          <w:sz w:val="24"/>
          <w:szCs w:val="24"/>
          <w:lang w:val="ro-MD"/>
        </w:rPr>
        <w:lastRenderedPageBreak/>
        <w:t>juridică și conform altor criterii stabilite legal (</w:t>
      </w:r>
      <w:r w:rsidR="005617D6">
        <w:rPr>
          <w:rFonts w:asciiTheme="majorHAnsi" w:hAnsiTheme="majorHAnsi" w:cstheme="minorHAnsi"/>
          <w:sz w:val="24"/>
          <w:szCs w:val="24"/>
          <w:lang w:val="ro-MD"/>
        </w:rPr>
        <w:t>pentru</w:t>
      </w:r>
      <w:r w:rsidR="005617D6" w:rsidRPr="00381DA2">
        <w:rPr>
          <w:rFonts w:asciiTheme="majorHAnsi" w:hAnsiTheme="majorHAnsi" w:cstheme="minorHAnsi"/>
          <w:sz w:val="24"/>
          <w:szCs w:val="24"/>
          <w:lang w:val="ro-MD"/>
        </w:rPr>
        <w:t xml:space="preserve"> </w:t>
      </w:r>
      <w:r w:rsidRPr="00381DA2">
        <w:rPr>
          <w:rFonts w:asciiTheme="majorHAnsi" w:hAnsiTheme="majorHAnsi" w:cstheme="minorHAnsi"/>
          <w:sz w:val="24"/>
          <w:szCs w:val="24"/>
          <w:lang w:val="ro-MD"/>
        </w:rPr>
        <w:t xml:space="preserve">infracțiuni </w:t>
      </w:r>
      <w:r w:rsidRPr="00381DA2">
        <w:rPr>
          <w:rFonts w:asciiTheme="majorHAnsi" w:hAnsiTheme="majorHAnsi" w:cstheme="minorHAnsi"/>
          <w:i/>
          <w:sz w:val="24"/>
          <w:szCs w:val="24"/>
          <w:lang w:val="ro-MD"/>
        </w:rPr>
        <w:t xml:space="preserve">grave, deosebit de grave </w:t>
      </w:r>
      <w:r w:rsidRPr="003F7196">
        <w:rPr>
          <w:rFonts w:asciiTheme="majorHAnsi" w:hAnsiTheme="majorHAnsi" w:cstheme="minorHAnsi"/>
          <w:sz w:val="24"/>
          <w:szCs w:val="24"/>
          <w:lang w:val="ro-MD"/>
        </w:rPr>
        <w:t>sau</w:t>
      </w:r>
      <w:r w:rsidRPr="00381DA2">
        <w:rPr>
          <w:rFonts w:asciiTheme="majorHAnsi" w:hAnsiTheme="majorHAnsi" w:cstheme="minorHAnsi"/>
          <w:i/>
          <w:sz w:val="24"/>
          <w:szCs w:val="24"/>
          <w:lang w:val="ro-MD"/>
        </w:rPr>
        <w:t xml:space="preserve"> excepțional de grave);</w:t>
      </w:r>
    </w:p>
    <w:p w14:paraId="0A40C4D8" w14:textId="42B0D2E0" w:rsidR="00FD339F" w:rsidRPr="00381DA2" w:rsidRDefault="00710622" w:rsidP="00F75F8B">
      <w:pPr>
        <w:pStyle w:val="ListParagraph"/>
        <w:numPr>
          <w:ilvl w:val="0"/>
          <w:numId w:val="12"/>
        </w:numPr>
        <w:tabs>
          <w:tab w:val="left" w:pos="270"/>
          <w:tab w:val="left" w:pos="450"/>
        </w:tabs>
        <w:autoSpaceDE w:val="0"/>
        <w:autoSpaceDN w:val="0"/>
        <w:adjustRightInd w:val="0"/>
        <w:spacing w:after="120" w:line="276" w:lineRule="auto"/>
        <w:ind w:left="0" w:firstLine="0"/>
        <w:contextualSpacing w:val="0"/>
        <w:jc w:val="both"/>
        <w:rPr>
          <w:rFonts w:asciiTheme="majorHAnsi" w:hAnsiTheme="majorHAnsi" w:cstheme="minorHAnsi"/>
          <w:bCs/>
          <w:color w:val="000000"/>
          <w:sz w:val="24"/>
          <w:szCs w:val="24"/>
        </w:rPr>
      </w:pPr>
      <w:r w:rsidRPr="00381DA2">
        <w:rPr>
          <w:rFonts w:asciiTheme="majorHAnsi" w:hAnsiTheme="majorHAnsi" w:cstheme="minorHAnsi"/>
          <w:sz w:val="24"/>
          <w:szCs w:val="24"/>
          <w:lang w:val="ro-MD"/>
        </w:rPr>
        <w:t>p</w:t>
      </w:r>
      <w:r w:rsidR="00FD339F" w:rsidRPr="00381DA2">
        <w:rPr>
          <w:rFonts w:asciiTheme="majorHAnsi" w:hAnsiTheme="majorHAnsi" w:cstheme="minorHAnsi"/>
          <w:sz w:val="24"/>
          <w:szCs w:val="24"/>
          <w:lang w:val="ro-MD"/>
        </w:rPr>
        <w:t>artea preponderentă, sau 71% din număr</w:t>
      </w:r>
      <w:r w:rsidR="00CA3F2B">
        <w:rPr>
          <w:rFonts w:asciiTheme="majorHAnsi" w:hAnsiTheme="majorHAnsi" w:cstheme="minorHAnsi"/>
          <w:sz w:val="24"/>
          <w:szCs w:val="24"/>
          <w:lang w:val="ro-MD"/>
        </w:rPr>
        <w:t xml:space="preserve">ul total al </w:t>
      </w:r>
      <w:r w:rsidR="00FD339F" w:rsidRPr="00381DA2">
        <w:rPr>
          <w:rFonts w:asciiTheme="majorHAnsi" w:hAnsiTheme="majorHAnsi" w:cstheme="minorHAnsi"/>
          <w:sz w:val="24"/>
          <w:szCs w:val="24"/>
          <w:lang w:val="ro-MD"/>
        </w:rPr>
        <w:t xml:space="preserve">deciziilor vizate mai sus, </w:t>
      </w:r>
      <w:r w:rsidR="005617D6">
        <w:rPr>
          <w:rFonts w:asciiTheme="majorHAnsi" w:hAnsiTheme="majorHAnsi" w:cstheme="minorHAnsi"/>
          <w:sz w:val="24"/>
          <w:szCs w:val="24"/>
          <w:lang w:val="ro-MD"/>
        </w:rPr>
        <w:t xml:space="preserve">al căror </w:t>
      </w:r>
      <w:r w:rsidR="00FD339F" w:rsidRPr="00381DA2">
        <w:rPr>
          <w:rFonts w:asciiTheme="majorHAnsi" w:hAnsiTheme="majorHAnsi" w:cstheme="minorHAnsi"/>
          <w:sz w:val="24"/>
          <w:szCs w:val="24"/>
          <w:lang w:val="ro-MD"/>
        </w:rPr>
        <w:t>cost constituie 14</w:t>
      </w:r>
      <w:r w:rsidR="005617D6">
        <w:rPr>
          <w:rFonts w:asciiTheme="majorHAnsi" w:hAnsiTheme="majorHAnsi" w:cstheme="minorHAnsi"/>
          <w:sz w:val="24"/>
          <w:szCs w:val="24"/>
          <w:lang w:val="ro-MD"/>
        </w:rPr>
        <w:t>.</w:t>
      </w:r>
      <w:r w:rsidR="00FD339F" w:rsidRPr="00381DA2">
        <w:rPr>
          <w:rFonts w:asciiTheme="majorHAnsi" w:hAnsiTheme="majorHAnsi" w:cstheme="minorHAnsi"/>
          <w:sz w:val="24"/>
          <w:szCs w:val="24"/>
          <w:lang w:val="ro-MD"/>
        </w:rPr>
        <w:t>896,2 mii lei</w:t>
      </w:r>
      <w:r w:rsidR="005617D6">
        <w:rPr>
          <w:rFonts w:asciiTheme="majorHAnsi" w:hAnsiTheme="majorHAnsi" w:cstheme="minorHAnsi"/>
          <w:sz w:val="24"/>
          <w:szCs w:val="24"/>
          <w:lang w:val="ro-MD"/>
        </w:rPr>
        <w:t>,</w:t>
      </w:r>
      <w:r w:rsidR="00FD339F" w:rsidRPr="00381DA2">
        <w:rPr>
          <w:rFonts w:asciiTheme="majorHAnsi" w:hAnsiTheme="majorHAnsi" w:cstheme="minorHAnsi"/>
          <w:sz w:val="24"/>
          <w:szCs w:val="24"/>
          <w:lang w:val="ro-MD"/>
        </w:rPr>
        <w:t xml:space="preserve"> reprezintă cele în care beneficiari au fost persoane care au săvârșit infracțiuni „ușoare” sau mai </w:t>
      </w:r>
      <w:r w:rsidR="005617D6">
        <w:rPr>
          <w:rFonts w:asciiTheme="majorHAnsi" w:hAnsiTheme="majorHAnsi" w:cstheme="minorHAnsi"/>
          <w:sz w:val="24"/>
          <w:szCs w:val="24"/>
          <w:lang w:val="ro-MD"/>
        </w:rPr>
        <w:t>„</w:t>
      </w:r>
      <w:r w:rsidR="00FD339F" w:rsidRPr="00381DA2">
        <w:rPr>
          <w:rFonts w:asciiTheme="majorHAnsi" w:hAnsiTheme="majorHAnsi" w:cstheme="minorHAnsi"/>
          <w:sz w:val="24"/>
          <w:szCs w:val="24"/>
          <w:lang w:val="ro-MD"/>
        </w:rPr>
        <w:t>puțin grave”, iar serviciile juridice au fost acordate la solicitarea organelor de drept, care</w:t>
      </w:r>
      <w:r w:rsidR="005617D6">
        <w:rPr>
          <w:rFonts w:asciiTheme="majorHAnsi" w:hAnsiTheme="majorHAnsi" w:cstheme="minorHAnsi"/>
          <w:sz w:val="24"/>
          <w:szCs w:val="24"/>
          <w:lang w:val="ro-MD"/>
        </w:rPr>
        <w:t>,</w:t>
      </w:r>
      <w:r w:rsidR="00FD339F" w:rsidRPr="00381DA2">
        <w:rPr>
          <w:rFonts w:asciiTheme="majorHAnsi" w:hAnsiTheme="majorHAnsi" w:cstheme="minorHAnsi"/>
          <w:sz w:val="24"/>
          <w:szCs w:val="24"/>
          <w:lang w:val="ro-MD"/>
        </w:rPr>
        <w:t xml:space="preserve"> pentru a evita testarea venitului mediu lunar</w:t>
      </w:r>
      <w:r w:rsidR="005617D6">
        <w:rPr>
          <w:rFonts w:asciiTheme="majorHAnsi" w:hAnsiTheme="majorHAnsi" w:cstheme="minorHAnsi"/>
          <w:sz w:val="24"/>
          <w:szCs w:val="24"/>
          <w:lang w:val="ro-MD"/>
        </w:rPr>
        <w:t>,</w:t>
      </w:r>
      <w:r w:rsidR="00FD339F" w:rsidRPr="00381DA2">
        <w:rPr>
          <w:rFonts w:asciiTheme="majorHAnsi" w:hAnsiTheme="majorHAnsi" w:cstheme="minorHAnsi"/>
          <w:sz w:val="24"/>
          <w:szCs w:val="24"/>
          <w:lang w:val="ro-MD"/>
        </w:rPr>
        <w:t xml:space="preserve"> au făcut uz  </w:t>
      </w:r>
      <w:r w:rsidR="001E7F9E">
        <w:rPr>
          <w:rFonts w:asciiTheme="majorHAnsi" w:hAnsiTheme="majorHAnsi" w:cstheme="minorHAnsi"/>
          <w:sz w:val="24"/>
          <w:szCs w:val="24"/>
          <w:lang w:val="ro-MD"/>
        </w:rPr>
        <w:t>de</w:t>
      </w:r>
      <w:r w:rsidR="00FD339F" w:rsidRPr="00381DA2">
        <w:rPr>
          <w:rFonts w:asciiTheme="majorHAnsi" w:hAnsiTheme="majorHAnsi" w:cstheme="minorHAnsi"/>
          <w:sz w:val="24"/>
          <w:szCs w:val="24"/>
          <w:lang w:val="ro-MD"/>
        </w:rPr>
        <w:t xml:space="preserve"> prevederea că </w:t>
      </w:r>
      <w:r w:rsidR="00FD339F" w:rsidRPr="00381DA2">
        <w:rPr>
          <w:rFonts w:asciiTheme="majorHAnsi" w:hAnsiTheme="majorHAnsi" w:cstheme="minorHAnsi"/>
          <w:color w:val="333333"/>
          <w:sz w:val="24"/>
          <w:szCs w:val="24"/>
          <w:shd w:val="clear" w:color="auto" w:fill="FFFFFF"/>
          <w:lang w:val="ro-MD"/>
        </w:rPr>
        <w:t>bănuitul, învinuitul, inculpatul nu posedă sau posedă în măsură</w:t>
      </w:r>
      <w:r w:rsidR="00FD339F" w:rsidRPr="00381DA2">
        <w:rPr>
          <w:rFonts w:asciiTheme="majorHAnsi" w:hAnsiTheme="majorHAnsi" w:cstheme="minorHAnsi"/>
          <w:sz w:val="24"/>
          <w:szCs w:val="24"/>
          <w:lang w:val="ro-MD"/>
        </w:rPr>
        <w:t xml:space="preserve"> insuficientă  limba în car</w:t>
      </w:r>
      <w:r w:rsidR="00495E7E" w:rsidRPr="00381DA2">
        <w:rPr>
          <w:rFonts w:asciiTheme="majorHAnsi" w:hAnsiTheme="majorHAnsi" w:cstheme="minorHAnsi"/>
          <w:sz w:val="24"/>
          <w:szCs w:val="24"/>
          <w:lang w:val="ro-MD"/>
        </w:rPr>
        <w:t>e se desfășoară procesul penal</w:t>
      </w:r>
      <w:r w:rsidR="00FD339F" w:rsidRPr="00381DA2">
        <w:rPr>
          <w:rFonts w:asciiTheme="majorHAnsi" w:hAnsiTheme="majorHAnsi" w:cstheme="minorHAnsi"/>
          <w:sz w:val="24"/>
          <w:szCs w:val="24"/>
          <w:lang w:val="ro-MD"/>
        </w:rPr>
        <w:t xml:space="preserve">. </w:t>
      </w:r>
      <w:r w:rsidR="005617D6">
        <w:rPr>
          <w:rFonts w:asciiTheme="majorHAnsi" w:hAnsiTheme="majorHAnsi" w:cstheme="minorHAnsi"/>
          <w:sz w:val="24"/>
          <w:szCs w:val="24"/>
          <w:lang w:val="ro-MD"/>
        </w:rPr>
        <w:t>N</w:t>
      </w:r>
      <w:r w:rsidR="00FD339F" w:rsidRPr="00381DA2">
        <w:rPr>
          <w:rFonts w:asciiTheme="majorHAnsi" w:hAnsiTheme="majorHAnsi" w:cstheme="minorHAnsi"/>
          <w:sz w:val="24"/>
          <w:szCs w:val="24"/>
          <w:lang w:val="ro-MD"/>
        </w:rPr>
        <w:t xml:space="preserve">ecesită a fi menționat </w:t>
      </w:r>
      <w:r w:rsidR="005617D6">
        <w:rPr>
          <w:rFonts w:asciiTheme="majorHAnsi" w:hAnsiTheme="majorHAnsi" w:cstheme="minorHAnsi"/>
          <w:sz w:val="24"/>
          <w:szCs w:val="24"/>
          <w:lang w:val="ro-MD"/>
        </w:rPr>
        <w:t xml:space="preserve">faptul </w:t>
      </w:r>
      <w:r w:rsidR="00FD339F" w:rsidRPr="00381DA2">
        <w:rPr>
          <w:rFonts w:asciiTheme="majorHAnsi" w:hAnsiTheme="majorHAnsi" w:cstheme="minorHAnsi"/>
          <w:sz w:val="24"/>
          <w:szCs w:val="24"/>
          <w:lang w:val="ro-MD"/>
        </w:rPr>
        <w:t xml:space="preserve">că ponderea cea mai semnificativă din aceste desemnări a fost efectuată </w:t>
      </w:r>
      <w:r w:rsidR="005617D6">
        <w:rPr>
          <w:rFonts w:asciiTheme="majorHAnsi" w:hAnsiTheme="majorHAnsi" w:cstheme="minorHAnsi"/>
          <w:sz w:val="24"/>
          <w:szCs w:val="24"/>
          <w:lang w:val="ro-MD"/>
        </w:rPr>
        <w:t xml:space="preserve">ca </w:t>
      </w:r>
      <w:r w:rsidR="00FD339F" w:rsidRPr="00381DA2">
        <w:rPr>
          <w:rFonts w:asciiTheme="majorHAnsi" w:hAnsiTheme="majorHAnsi" w:cstheme="minorHAnsi"/>
          <w:sz w:val="24"/>
          <w:szCs w:val="24"/>
          <w:lang w:val="ro-MD"/>
        </w:rPr>
        <w:t xml:space="preserve">urmare </w:t>
      </w:r>
      <w:r w:rsidR="005617D6">
        <w:rPr>
          <w:rFonts w:asciiTheme="majorHAnsi" w:hAnsiTheme="majorHAnsi" w:cstheme="minorHAnsi"/>
          <w:sz w:val="24"/>
          <w:szCs w:val="24"/>
          <w:lang w:val="ro-MD"/>
        </w:rPr>
        <w:t xml:space="preserve">a </w:t>
      </w:r>
      <w:r w:rsidR="00FD339F" w:rsidRPr="00381DA2">
        <w:rPr>
          <w:rFonts w:asciiTheme="majorHAnsi" w:hAnsiTheme="majorHAnsi" w:cstheme="minorHAnsi"/>
          <w:sz w:val="24"/>
          <w:szCs w:val="24"/>
          <w:lang w:val="ro-MD"/>
        </w:rPr>
        <w:t>solicitărilor parvenite de la organele de urmărire penală (CNA, PCCCOCS, IP</w:t>
      </w:r>
      <w:r w:rsidR="00495E7E" w:rsidRPr="00381DA2">
        <w:rPr>
          <w:rFonts w:asciiTheme="majorHAnsi" w:hAnsiTheme="majorHAnsi" w:cstheme="minorHAnsi"/>
          <w:sz w:val="24"/>
          <w:szCs w:val="24"/>
          <w:lang w:val="ro-MD"/>
        </w:rPr>
        <w:t xml:space="preserve"> etc</w:t>
      </w:r>
      <w:r w:rsidR="005617D6">
        <w:rPr>
          <w:rFonts w:asciiTheme="majorHAnsi" w:hAnsiTheme="majorHAnsi" w:cstheme="minorHAnsi"/>
          <w:sz w:val="24"/>
          <w:szCs w:val="24"/>
          <w:lang w:val="ro-MD"/>
        </w:rPr>
        <w:t>.</w:t>
      </w:r>
      <w:r w:rsidR="00495E7E" w:rsidRPr="00381DA2">
        <w:rPr>
          <w:rFonts w:asciiTheme="majorHAnsi" w:hAnsiTheme="majorHAnsi" w:cstheme="minorHAnsi"/>
          <w:sz w:val="24"/>
          <w:szCs w:val="24"/>
          <w:lang w:val="ro-MD"/>
        </w:rPr>
        <w:t>) și instanțele de judecată</w:t>
      </w:r>
      <w:r w:rsidR="00FD339F" w:rsidRPr="00381DA2">
        <w:rPr>
          <w:rFonts w:asciiTheme="majorHAnsi" w:hAnsiTheme="majorHAnsi" w:cstheme="minorHAnsi"/>
          <w:sz w:val="24"/>
          <w:szCs w:val="24"/>
          <w:lang w:val="ro-MD"/>
        </w:rPr>
        <w:t>. De menționat că norma juridică utilizată este una ambigu</w:t>
      </w:r>
      <w:r w:rsidR="005617D6">
        <w:rPr>
          <w:rFonts w:asciiTheme="majorHAnsi" w:hAnsiTheme="majorHAnsi" w:cstheme="minorHAnsi"/>
          <w:sz w:val="24"/>
          <w:szCs w:val="24"/>
          <w:lang w:val="ro-MD"/>
        </w:rPr>
        <w:t>ă</w:t>
      </w:r>
      <w:r w:rsidR="00FD339F" w:rsidRPr="00381DA2">
        <w:rPr>
          <w:rFonts w:asciiTheme="majorHAnsi" w:hAnsiTheme="majorHAnsi" w:cstheme="minorHAnsi"/>
          <w:sz w:val="24"/>
          <w:szCs w:val="24"/>
          <w:lang w:val="ro-MD"/>
        </w:rPr>
        <w:t xml:space="preserve">, neexistând </w:t>
      </w:r>
      <w:r w:rsidR="00CA3F2B">
        <w:rPr>
          <w:rFonts w:asciiTheme="majorHAnsi" w:hAnsiTheme="majorHAnsi" w:cstheme="minorHAnsi"/>
          <w:sz w:val="24"/>
          <w:szCs w:val="24"/>
          <w:lang w:val="ro-MD"/>
        </w:rPr>
        <w:t xml:space="preserve">tehnici și procedee de testare </w:t>
      </w:r>
      <w:r w:rsidR="00FD339F" w:rsidRPr="00381DA2">
        <w:rPr>
          <w:rFonts w:asciiTheme="majorHAnsi" w:hAnsiTheme="majorHAnsi" w:cstheme="minorHAnsi"/>
          <w:sz w:val="24"/>
          <w:szCs w:val="24"/>
          <w:lang w:val="ro-MD"/>
        </w:rPr>
        <w:t>și documentare privind necunoașterea limbii în care de</w:t>
      </w:r>
      <w:r w:rsidR="005617D6">
        <w:rPr>
          <w:rFonts w:asciiTheme="majorHAnsi" w:hAnsiTheme="majorHAnsi" w:cstheme="minorHAnsi"/>
          <w:sz w:val="24"/>
          <w:szCs w:val="24"/>
          <w:lang w:val="ro-MD"/>
        </w:rPr>
        <w:t>curge</w:t>
      </w:r>
      <w:r w:rsidR="00FD339F" w:rsidRPr="00381DA2">
        <w:rPr>
          <w:rFonts w:asciiTheme="majorHAnsi" w:hAnsiTheme="majorHAnsi" w:cstheme="minorHAnsi"/>
          <w:sz w:val="24"/>
          <w:szCs w:val="24"/>
          <w:lang w:val="ro-MD"/>
        </w:rPr>
        <w:t xml:space="preserve"> procesul penal. Mai mult </w:t>
      </w:r>
      <w:r w:rsidR="005617D6">
        <w:rPr>
          <w:rFonts w:asciiTheme="majorHAnsi" w:hAnsiTheme="majorHAnsi" w:cstheme="minorHAnsi"/>
          <w:sz w:val="24"/>
          <w:szCs w:val="24"/>
          <w:lang w:val="ro-MD"/>
        </w:rPr>
        <w:t>decât</w:t>
      </w:r>
      <w:r w:rsidR="00FD339F" w:rsidRPr="00381DA2">
        <w:rPr>
          <w:rFonts w:asciiTheme="majorHAnsi" w:hAnsiTheme="majorHAnsi" w:cstheme="minorHAnsi"/>
          <w:sz w:val="24"/>
          <w:szCs w:val="24"/>
          <w:lang w:val="ro-MD"/>
        </w:rPr>
        <w:t xml:space="preserve"> atât, </w:t>
      </w:r>
      <w:r w:rsidR="00FD339F" w:rsidRPr="00381DA2">
        <w:rPr>
          <w:rFonts w:asciiTheme="majorHAnsi" w:hAnsiTheme="majorHAnsi" w:cstheme="minorHAnsi"/>
          <w:bCs/>
          <w:color w:val="000000"/>
          <w:sz w:val="24"/>
          <w:szCs w:val="24"/>
        </w:rPr>
        <w:t xml:space="preserve">potrivit art. 16 din CPP, atunci când participanții la proces nu înțeleg sau nu vorbesc limba în care se desfășoară procesul penal, </w:t>
      </w:r>
      <w:r w:rsidR="00FD339F" w:rsidRPr="009B2BA2">
        <w:rPr>
          <w:rFonts w:asciiTheme="majorHAnsi" w:hAnsiTheme="majorHAnsi" w:cstheme="minorHAnsi"/>
          <w:bCs/>
          <w:color w:val="000000"/>
          <w:sz w:val="24"/>
          <w:szCs w:val="24"/>
        </w:rPr>
        <w:t xml:space="preserve">ei au dreptul de a lua cunoștință de toate actele și lucrările dosarului, de a vorbi în instanță și de a pune </w:t>
      </w:r>
      <w:r w:rsidR="00AB519E" w:rsidRPr="009B2BA2">
        <w:rPr>
          <w:rFonts w:asciiTheme="majorHAnsi" w:hAnsiTheme="majorHAnsi" w:cstheme="minorHAnsi"/>
          <w:bCs/>
          <w:color w:val="000000"/>
          <w:sz w:val="24"/>
          <w:szCs w:val="24"/>
        </w:rPr>
        <w:t xml:space="preserve">întrebări </w:t>
      </w:r>
      <w:r w:rsidR="00FD339F" w:rsidRPr="009B2BA2">
        <w:rPr>
          <w:rFonts w:asciiTheme="majorHAnsi" w:hAnsiTheme="majorHAnsi" w:cstheme="minorHAnsi"/>
          <w:bCs/>
          <w:color w:val="000000"/>
          <w:sz w:val="24"/>
          <w:szCs w:val="24"/>
        </w:rPr>
        <w:t>prin</w:t>
      </w:r>
      <w:r w:rsidR="00FD339F" w:rsidRPr="00381DA2">
        <w:rPr>
          <w:rFonts w:asciiTheme="majorHAnsi" w:hAnsiTheme="majorHAnsi" w:cstheme="minorHAnsi"/>
          <w:bCs/>
          <w:color w:val="000000"/>
          <w:sz w:val="24"/>
          <w:szCs w:val="24"/>
        </w:rPr>
        <w:t xml:space="preserve"> intermediul </w:t>
      </w:r>
      <w:r w:rsidR="00FD339F" w:rsidRPr="00381DA2">
        <w:rPr>
          <w:rFonts w:asciiTheme="majorHAnsi" w:hAnsiTheme="majorHAnsi" w:cstheme="minorHAnsi"/>
          <w:bCs/>
          <w:i/>
          <w:color w:val="000000"/>
          <w:sz w:val="24"/>
          <w:szCs w:val="24"/>
        </w:rPr>
        <w:t>interpretului</w:t>
      </w:r>
      <w:r w:rsidR="00FD339F" w:rsidRPr="00381DA2">
        <w:rPr>
          <w:rStyle w:val="FootnoteReference"/>
          <w:rFonts w:asciiTheme="majorHAnsi" w:hAnsiTheme="majorHAnsi" w:cstheme="minorHAnsi"/>
          <w:bCs/>
          <w:i/>
          <w:color w:val="000000"/>
          <w:sz w:val="24"/>
          <w:szCs w:val="24"/>
        </w:rPr>
        <w:footnoteReference w:id="12"/>
      </w:r>
      <w:r w:rsidR="00FD339F" w:rsidRPr="00381DA2">
        <w:rPr>
          <w:rFonts w:asciiTheme="majorHAnsi" w:hAnsiTheme="majorHAnsi" w:cstheme="minorHAnsi"/>
          <w:bCs/>
          <w:color w:val="000000"/>
          <w:sz w:val="24"/>
          <w:szCs w:val="24"/>
        </w:rPr>
        <w:t>, la fel oferit gratis de către instituțiile statului. Drept rezultat, persoana bănuită/învinuită/inculpată poate beneficia de servicii acordate de stat atât de avocat</w:t>
      </w:r>
      <w:r w:rsidR="001F471E">
        <w:rPr>
          <w:rFonts w:asciiTheme="majorHAnsi" w:hAnsiTheme="majorHAnsi" w:cstheme="minorHAnsi"/>
          <w:bCs/>
          <w:color w:val="000000"/>
          <w:sz w:val="24"/>
          <w:szCs w:val="24"/>
        </w:rPr>
        <w:t>,</w:t>
      </w:r>
      <w:r w:rsidR="00FD339F" w:rsidRPr="00381DA2">
        <w:rPr>
          <w:rFonts w:asciiTheme="majorHAnsi" w:hAnsiTheme="majorHAnsi" w:cstheme="minorHAnsi"/>
          <w:bCs/>
          <w:color w:val="000000"/>
          <w:sz w:val="24"/>
          <w:szCs w:val="24"/>
        </w:rPr>
        <w:t xml:space="preserve"> cât și de interpret pe unul și același motiv – nu posedă sau posedă într-o măsură insuficientă limba procesuală. </w:t>
      </w:r>
    </w:p>
    <w:p w14:paraId="71CC5561" w14:textId="3ED94FC3" w:rsidR="00FD339F" w:rsidRPr="00381DA2" w:rsidRDefault="00FD339F" w:rsidP="003A66EF">
      <w:pPr>
        <w:pStyle w:val="ListParagraph"/>
        <w:numPr>
          <w:ilvl w:val="0"/>
          <w:numId w:val="32"/>
        </w:numPr>
        <w:tabs>
          <w:tab w:val="left" w:pos="270"/>
        </w:tabs>
        <w:spacing w:after="120" w:line="276" w:lineRule="auto"/>
        <w:ind w:left="0" w:firstLine="360"/>
        <w:contextualSpacing w:val="0"/>
        <w:jc w:val="both"/>
        <w:rPr>
          <w:rFonts w:asciiTheme="majorHAnsi" w:hAnsiTheme="majorHAnsi" w:cstheme="minorHAnsi"/>
          <w:color w:val="0070C0"/>
          <w:sz w:val="24"/>
          <w:szCs w:val="24"/>
        </w:rPr>
      </w:pPr>
      <w:r w:rsidRPr="00381DA2">
        <w:rPr>
          <w:rFonts w:asciiTheme="majorHAnsi" w:hAnsiTheme="majorHAnsi" w:cstheme="minorHAnsi"/>
          <w:color w:val="0070C0"/>
          <w:sz w:val="24"/>
          <w:szCs w:val="24"/>
        </w:rPr>
        <w:t>Există cazuri de solicitare abuzivă de către organele de drept a AJGS  pe motiv că  persoanele</w:t>
      </w:r>
      <w:r w:rsidR="00E72BFE">
        <w:rPr>
          <w:rFonts w:asciiTheme="majorHAnsi" w:hAnsiTheme="majorHAnsi" w:cstheme="minorHAnsi"/>
          <w:color w:val="0070C0"/>
          <w:sz w:val="24"/>
          <w:szCs w:val="24"/>
        </w:rPr>
        <w:t xml:space="preserve"> </w:t>
      </w:r>
      <w:r w:rsidRPr="00381DA2">
        <w:rPr>
          <w:rFonts w:asciiTheme="majorHAnsi" w:hAnsiTheme="majorHAnsi" w:cstheme="minorHAnsi"/>
          <w:color w:val="0070C0"/>
          <w:sz w:val="24"/>
          <w:szCs w:val="24"/>
        </w:rPr>
        <w:t>nu posedă sau posedă în măsură insuficientă limba în care se desfășoară procesul penal</w:t>
      </w:r>
      <w:r w:rsidR="00F45FC5">
        <w:rPr>
          <w:rFonts w:asciiTheme="majorHAnsi" w:hAnsiTheme="majorHAnsi" w:cstheme="minorHAnsi"/>
          <w:color w:val="0070C0"/>
          <w:sz w:val="24"/>
          <w:szCs w:val="24"/>
        </w:rPr>
        <w:t>.</w:t>
      </w:r>
    </w:p>
    <w:p w14:paraId="46F44BF2" w14:textId="6790FD2D" w:rsidR="00FD339F" w:rsidRPr="00381DA2" w:rsidRDefault="00FD339F" w:rsidP="003A66EF">
      <w:pPr>
        <w:autoSpaceDE w:val="0"/>
        <w:autoSpaceDN w:val="0"/>
        <w:adjustRightInd w:val="0"/>
        <w:spacing w:after="120" w:line="276" w:lineRule="auto"/>
        <w:jc w:val="both"/>
        <w:rPr>
          <w:rFonts w:asciiTheme="majorHAnsi" w:hAnsiTheme="majorHAnsi" w:cstheme="minorHAnsi"/>
          <w:sz w:val="24"/>
          <w:szCs w:val="24"/>
          <w:lang w:val="ro-RO"/>
        </w:rPr>
      </w:pPr>
      <w:r w:rsidRPr="00381DA2">
        <w:rPr>
          <w:rFonts w:asciiTheme="majorHAnsi" w:hAnsiTheme="majorHAnsi" w:cstheme="minorHAnsi"/>
          <w:sz w:val="24"/>
          <w:szCs w:val="24"/>
        </w:rPr>
        <w:t>Verificările de audit</w:t>
      </w:r>
      <w:r w:rsidRPr="00381DA2">
        <w:rPr>
          <w:rFonts w:asciiTheme="majorHAnsi" w:hAnsiTheme="majorHAnsi" w:cstheme="minorHAnsi"/>
          <w:bCs/>
          <w:color w:val="000000"/>
          <w:sz w:val="24"/>
          <w:szCs w:val="24"/>
          <w:lang w:val="ro-RO"/>
        </w:rPr>
        <w:t xml:space="preserve"> pe un eșantion limitat a</w:t>
      </w:r>
      <w:r w:rsidR="001E7F9E">
        <w:rPr>
          <w:rFonts w:asciiTheme="majorHAnsi" w:hAnsiTheme="majorHAnsi" w:cstheme="minorHAnsi"/>
          <w:bCs/>
          <w:color w:val="000000"/>
          <w:sz w:val="24"/>
          <w:szCs w:val="24"/>
          <w:lang w:val="ro-RO"/>
        </w:rPr>
        <w:t>u</w:t>
      </w:r>
      <w:r w:rsidRPr="00381DA2">
        <w:rPr>
          <w:rFonts w:asciiTheme="majorHAnsi" w:hAnsiTheme="majorHAnsi" w:cstheme="minorHAnsi"/>
          <w:bCs/>
          <w:color w:val="000000"/>
          <w:sz w:val="24"/>
          <w:szCs w:val="24"/>
          <w:lang w:val="ro-RO"/>
        </w:rPr>
        <w:t xml:space="preserve"> scos în evidență cazuri de solicitare și, respectiv</w:t>
      </w:r>
      <w:r w:rsidR="00F45FC5">
        <w:rPr>
          <w:rFonts w:asciiTheme="majorHAnsi" w:hAnsiTheme="majorHAnsi" w:cstheme="minorHAnsi"/>
          <w:bCs/>
          <w:color w:val="000000"/>
          <w:sz w:val="24"/>
          <w:szCs w:val="24"/>
          <w:lang w:val="ro-RO"/>
        </w:rPr>
        <w:t>,</w:t>
      </w:r>
      <w:r w:rsidRPr="00381DA2">
        <w:rPr>
          <w:rFonts w:asciiTheme="majorHAnsi" w:hAnsiTheme="majorHAnsi" w:cstheme="minorHAnsi"/>
          <w:bCs/>
          <w:color w:val="000000"/>
          <w:sz w:val="24"/>
          <w:szCs w:val="24"/>
          <w:lang w:val="ro-RO"/>
        </w:rPr>
        <w:t xml:space="preserve"> acordare neconformă a AJGS persoanelor cu </w:t>
      </w:r>
      <w:r w:rsidRPr="00381DA2">
        <w:rPr>
          <w:rFonts w:asciiTheme="majorHAnsi" w:hAnsiTheme="majorHAnsi" w:cstheme="minorHAnsi"/>
          <w:sz w:val="24"/>
          <w:szCs w:val="24"/>
          <w:lang w:val="ro-RO"/>
        </w:rPr>
        <w:t>funcție de demnitate publică și celor din serviciul public, inclusiv  primari de localități, angajați ai Serviciului investigare fraude economice al Inspectoratului de Poliție Taraclia, Oficiului Teritorial Cadastral Cimișlia, Sectorului de Poliție de Frontieră or. Soroca</w:t>
      </w:r>
      <w:r w:rsidR="00C72256">
        <w:rPr>
          <w:rFonts w:asciiTheme="majorHAnsi" w:hAnsiTheme="majorHAnsi" w:cstheme="minorHAnsi"/>
          <w:sz w:val="24"/>
          <w:szCs w:val="24"/>
          <w:lang w:val="ro-RO"/>
        </w:rPr>
        <w:t xml:space="preserve"> și</w:t>
      </w:r>
      <w:r w:rsidRPr="00381DA2">
        <w:rPr>
          <w:rFonts w:asciiTheme="majorHAnsi" w:hAnsiTheme="majorHAnsi" w:cstheme="minorHAnsi"/>
          <w:sz w:val="24"/>
          <w:szCs w:val="24"/>
          <w:lang w:val="ro-RO"/>
        </w:rPr>
        <w:t xml:space="preserve"> altele</w:t>
      </w:r>
      <w:r w:rsidRPr="00381DA2">
        <w:rPr>
          <w:rFonts w:asciiTheme="majorHAnsi" w:hAnsiTheme="majorHAnsi" w:cstheme="minorHAnsi"/>
          <w:i/>
          <w:sz w:val="24"/>
          <w:szCs w:val="24"/>
          <w:lang w:val="ro-RO"/>
        </w:rPr>
        <w:t xml:space="preserve">. </w:t>
      </w:r>
      <w:r w:rsidRPr="00381DA2">
        <w:rPr>
          <w:rFonts w:asciiTheme="majorHAnsi" w:hAnsiTheme="majorHAnsi" w:cstheme="minorHAnsi"/>
          <w:sz w:val="24"/>
          <w:szCs w:val="24"/>
          <w:lang w:val="ro-RO"/>
        </w:rPr>
        <w:t>Valoarea acestor servicii a constituit suma de 6,4 mii</w:t>
      </w:r>
      <w:r w:rsidR="00CC6C5E">
        <w:rPr>
          <w:rFonts w:asciiTheme="majorHAnsi" w:hAnsiTheme="majorHAnsi" w:cstheme="minorHAnsi"/>
          <w:sz w:val="24"/>
          <w:szCs w:val="24"/>
          <w:lang w:val="ro-RO"/>
        </w:rPr>
        <w:t xml:space="preserve"> lei, auditul calificându-le ca </w:t>
      </w:r>
      <w:r w:rsidRPr="00381DA2">
        <w:rPr>
          <w:rFonts w:asciiTheme="majorHAnsi" w:hAnsiTheme="majorHAnsi" w:cstheme="minorHAnsi"/>
          <w:sz w:val="24"/>
          <w:szCs w:val="24"/>
          <w:lang w:val="ro-RO"/>
        </w:rPr>
        <w:t xml:space="preserve">fiind neconforme întrucât specificul exercitării funcțiilor </w:t>
      </w:r>
      <w:r w:rsidR="001E7F9E">
        <w:rPr>
          <w:rFonts w:asciiTheme="majorHAnsi" w:hAnsiTheme="majorHAnsi" w:cstheme="minorHAnsi"/>
          <w:sz w:val="24"/>
          <w:szCs w:val="24"/>
          <w:lang w:val="ro-RO"/>
        </w:rPr>
        <w:t xml:space="preserve">publice </w:t>
      </w:r>
      <w:r w:rsidRPr="00381DA2">
        <w:rPr>
          <w:rFonts w:asciiTheme="majorHAnsi" w:hAnsiTheme="majorHAnsi" w:cstheme="minorHAnsi"/>
          <w:sz w:val="24"/>
          <w:szCs w:val="24"/>
          <w:lang w:val="ro-RO"/>
        </w:rPr>
        <w:t>menționate impune cunoașterea limbii de stat și</w:t>
      </w:r>
      <w:r w:rsidR="00C72256">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în fapt, aceste persoane nu erau eligibile la asistența juridică obligatorie. Concomitent, se menționează că persoanele respective au comis infracțiuni mai puțin grave</w:t>
      </w:r>
      <w:r w:rsidRPr="00381DA2">
        <w:rPr>
          <w:rStyle w:val="FootnoteReference"/>
          <w:rFonts w:asciiTheme="majorHAnsi" w:hAnsiTheme="majorHAnsi" w:cstheme="minorHAnsi"/>
          <w:sz w:val="24"/>
          <w:szCs w:val="24"/>
          <w:lang w:val="ro-RO"/>
        </w:rPr>
        <w:footnoteReference w:id="13"/>
      </w:r>
      <w:r w:rsidRPr="00381DA2">
        <w:rPr>
          <w:rFonts w:asciiTheme="majorHAnsi" w:hAnsiTheme="majorHAnsi" w:cstheme="minorHAnsi"/>
          <w:sz w:val="24"/>
          <w:szCs w:val="24"/>
          <w:lang w:val="ro-RO"/>
        </w:rPr>
        <w:t xml:space="preserve">, fiind necesară evaluarea eligibilității acestora prin aplicarea testului la venit, fapt evitat de organele responsabile. Un caz </w:t>
      </w:r>
      <w:r w:rsidR="00C72256">
        <w:rPr>
          <w:rFonts w:asciiTheme="majorHAnsi" w:hAnsiTheme="majorHAnsi" w:cstheme="minorHAnsi"/>
          <w:sz w:val="24"/>
          <w:szCs w:val="24"/>
          <w:lang w:val="ro-RO"/>
        </w:rPr>
        <w:t>elocvent</w:t>
      </w:r>
      <w:r w:rsidR="00C72256" w:rsidRPr="00381DA2">
        <w:rPr>
          <w:rFonts w:asciiTheme="majorHAnsi" w:hAnsiTheme="majorHAnsi" w:cstheme="minorHAnsi"/>
          <w:sz w:val="24"/>
          <w:szCs w:val="24"/>
          <w:lang w:val="ro-RO"/>
        </w:rPr>
        <w:t xml:space="preserve"> </w:t>
      </w:r>
      <w:r w:rsidRPr="00381DA2">
        <w:rPr>
          <w:rFonts w:asciiTheme="majorHAnsi" w:hAnsiTheme="majorHAnsi" w:cstheme="minorHAnsi"/>
          <w:sz w:val="24"/>
          <w:szCs w:val="24"/>
          <w:lang w:val="ro-RO"/>
        </w:rPr>
        <w:t xml:space="preserve">la acest aspect </w:t>
      </w:r>
      <w:r w:rsidR="00C72256">
        <w:rPr>
          <w:rFonts w:asciiTheme="majorHAnsi" w:hAnsiTheme="majorHAnsi" w:cstheme="minorHAnsi"/>
          <w:sz w:val="24"/>
          <w:szCs w:val="24"/>
          <w:lang w:val="ro-RO"/>
        </w:rPr>
        <w:t>este</w:t>
      </w:r>
      <w:r w:rsidRPr="00381DA2">
        <w:rPr>
          <w:rFonts w:asciiTheme="majorHAnsi" w:hAnsiTheme="majorHAnsi" w:cstheme="minorHAnsi"/>
          <w:sz w:val="24"/>
          <w:szCs w:val="24"/>
          <w:lang w:val="ro-RO"/>
        </w:rPr>
        <w:t xml:space="preserve"> situația în care beneficiar al serviciilor </w:t>
      </w:r>
      <w:r w:rsidR="00C72256">
        <w:rPr>
          <w:rFonts w:asciiTheme="majorHAnsi" w:hAnsiTheme="majorHAnsi" w:cstheme="minorHAnsi"/>
          <w:sz w:val="24"/>
          <w:szCs w:val="24"/>
          <w:lang w:val="ro-RO"/>
        </w:rPr>
        <w:t xml:space="preserve">gratuite </w:t>
      </w:r>
      <w:r w:rsidRPr="00381DA2">
        <w:rPr>
          <w:rFonts w:asciiTheme="majorHAnsi" w:hAnsiTheme="majorHAnsi" w:cstheme="minorHAnsi"/>
          <w:sz w:val="24"/>
          <w:szCs w:val="24"/>
          <w:lang w:val="ro-RO"/>
        </w:rPr>
        <w:t xml:space="preserve">de stat </w:t>
      </w:r>
      <w:r w:rsidR="00E43AA9">
        <w:rPr>
          <w:rFonts w:asciiTheme="majorHAnsi" w:hAnsiTheme="majorHAnsi" w:cstheme="minorHAnsi"/>
          <w:sz w:val="24"/>
          <w:szCs w:val="24"/>
          <w:lang w:val="ro-RO"/>
        </w:rPr>
        <w:t>a fost</w:t>
      </w:r>
      <w:r w:rsidRPr="00381DA2">
        <w:rPr>
          <w:rFonts w:asciiTheme="majorHAnsi" w:hAnsiTheme="majorHAnsi" w:cstheme="minorHAnsi"/>
          <w:sz w:val="24"/>
          <w:szCs w:val="24"/>
          <w:lang w:val="ro-RO"/>
        </w:rPr>
        <w:t xml:space="preserve"> juristul de la Î.S. „Aeroportul Internaționa</w:t>
      </w:r>
      <w:r w:rsidR="00CA3F2B">
        <w:rPr>
          <w:rFonts w:asciiTheme="majorHAnsi" w:hAnsiTheme="majorHAnsi" w:cstheme="minorHAnsi"/>
          <w:sz w:val="24"/>
          <w:szCs w:val="24"/>
          <w:lang w:val="ro-RO"/>
        </w:rPr>
        <w:t>l Mărculești</w:t>
      </w:r>
      <w:r w:rsidRPr="00381DA2">
        <w:rPr>
          <w:rFonts w:asciiTheme="majorHAnsi" w:hAnsiTheme="majorHAnsi" w:cstheme="minorHAnsi"/>
          <w:sz w:val="24"/>
          <w:szCs w:val="24"/>
          <w:lang w:val="ro-RO"/>
        </w:rPr>
        <w:t>”, căruia i</w:t>
      </w:r>
      <w:r w:rsidR="00C72256">
        <w:rPr>
          <w:rFonts w:asciiTheme="majorHAnsi" w:hAnsiTheme="majorHAnsi" w:cstheme="minorHAnsi"/>
          <w:sz w:val="24"/>
          <w:szCs w:val="24"/>
          <w:lang w:val="ro-RO"/>
        </w:rPr>
        <w:t>-a</w:t>
      </w:r>
      <w:r w:rsidRPr="00381DA2">
        <w:rPr>
          <w:rFonts w:asciiTheme="majorHAnsi" w:hAnsiTheme="majorHAnsi" w:cstheme="minorHAnsi"/>
          <w:sz w:val="24"/>
          <w:szCs w:val="24"/>
          <w:lang w:val="ro-RO"/>
        </w:rPr>
        <w:t xml:space="preserve"> </w:t>
      </w:r>
      <w:r w:rsidR="00C72256">
        <w:rPr>
          <w:rFonts w:asciiTheme="majorHAnsi" w:hAnsiTheme="majorHAnsi" w:cstheme="minorHAnsi"/>
          <w:sz w:val="24"/>
          <w:szCs w:val="24"/>
          <w:lang w:val="ro-RO"/>
        </w:rPr>
        <w:t xml:space="preserve">fost </w:t>
      </w:r>
      <w:r w:rsidRPr="00381DA2">
        <w:rPr>
          <w:rFonts w:asciiTheme="majorHAnsi" w:hAnsiTheme="majorHAnsi" w:cstheme="minorHAnsi"/>
          <w:sz w:val="24"/>
          <w:szCs w:val="24"/>
          <w:lang w:val="ro-RO"/>
        </w:rPr>
        <w:t>imputată săvârșirea infracțiunii mai puțin grave</w:t>
      </w:r>
      <w:r w:rsidRPr="00381DA2">
        <w:rPr>
          <w:rStyle w:val="FootnoteReference"/>
          <w:rFonts w:asciiTheme="majorHAnsi" w:hAnsiTheme="majorHAnsi" w:cstheme="minorHAnsi"/>
          <w:sz w:val="24"/>
          <w:szCs w:val="24"/>
          <w:lang w:val="ro-RO"/>
        </w:rPr>
        <w:footnoteReference w:id="14"/>
      </w:r>
      <w:r w:rsidR="00C72256">
        <w:rPr>
          <w:rFonts w:asciiTheme="majorHAnsi" w:hAnsiTheme="majorHAnsi" w:cstheme="minorHAnsi"/>
          <w:sz w:val="24"/>
          <w:szCs w:val="24"/>
          <w:lang w:val="ro-RO"/>
        </w:rPr>
        <w:t xml:space="preserve"> și </w:t>
      </w:r>
      <w:r w:rsidRPr="00381DA2">
        <w:rPr>
          <w:rFonts w:asciiTheme="majorHAnsi" w:hAnsiTheme="majorHAnsi" w:cstheme="minorHAnsi"/>
          <w:sz w:val="24"/>
          <w:szCs w:val="24"/>
          <w:lang w:val="ro-RO"/>
        </w:rPr>
        <w:t xml:space="preserve">conform Deciziei OT Bălți, a beneficiat </w:t>
      </w:r>
      <w:r w:rsidR="007311A4" w:rsidRPr="00381DA2">
        <w:rPr>
          <w:rFonts w:asciiTheme="majorHAnsi" w:hAnsiTheme="majorHAnsi" w:cstheme="minorHAnsi"/>
          <w:sz w:val="24"/>
          <w:szCs w:val="24"/>
          <w:lang w:val="ro-RO"/>
        </w:rPr>
        <w:t>de serviciile unui avocat</w:t>
      </w:r>
      <w:r w:rsidRPr="00381DA2">
        <w:rPr>
          <w:rFonts w:asciiTheme="majorHAnsi" w:hAnsiTheme="majorHAnsi" w:cstheme="minorHAnsi"/>
          <w:sz w:val="24"/>
          <w:szCs w:val="24"/>
          <w:lang w:val="ro-RO"/>
        </w:rPr>
        <w:t xml:space="preserve"> pe motivul invocat de PCCOCS că nu cunoaște limba procesuală, or, profesia de jurist impune cunoaștere</w:t>
      </w:r>
      <w:r w:rsidR="00E43AA9">
        <w:rPr>
          <w:rFonts w:asciiTheme="majorHAnsi" w:hAnsiTheme="majorHAnsi" w:cstheme="minorHAnsi"/>
          <w:sz w:val="24"/>
          <w:szCs w:val="24"/>
          <w:lang w:val="ro-RO"/>
        </w:rPr>
        <w:t>a</w:t>
      </w:r>
      <w:r w:rsidRPr="00381DA2">
        <w:rPr>
          <w:rFonts w:asciiTheme="majorHAnsi" w:hAnsiTheme="majorHAnsi" w:cstheme="minorHAnsi"/>
          <w:sz w:val="24"/>
          <w:szCs w:val="24"/>
          <w:lang w:val="ro-RO"/>
        </w:rPr>
        <w:t xml:space="preserve"> materiei de drept. </w:t>
      </w:r>
    </w:p>
    <w:p w14:paraId="2512575C" w14:textId="19C47F1F" w:rsidR="00FD339F" w:rsidRPr="00381DA2" w:rsidRDefault="00FD339F" w:rsidP="003A66EF">
      <w:pPr>
        <w:autoSpaceDE w:val="0"/>
        <w:autoSpaceDN w:val="0"/>
        <w:adjustRightInd w:val="0"/>
        <w:spacing w:after="120" w:line="276" w:lineRule="auto"/>
        <w:jc w:val="both"/>
        <w:rPr>
          <w:rFonts w:asciiTheme="majorHAnsi" w:hAnsiTheme="majorHAnsi" w:cstheme="minorHAnsi"/>
          <w:i/>
          <w:color w:val="0070C0"/>
          <w:sz w:val="24"/>
          <w:szCs w:val="24"/>
          <w:lang w:val="ro-RO"/>
        </w:rPr>
      </w:pPr>
      <w:r w:rsidRPr="00381DA2">
        <w:rPr>
          <w:rFonts w:asciiTheme="majorHAnsi" w:hAnsiTheme="majorHAnsi" w:cstheme="minorHAnsi"/>
          <w:sz w:val="24"/>
          <w:szCs w:val="24"/>
          <w:lang w:val="ro-RO"/>
        </w:rPr>
        <w:lastRenderedPageBreak/>
        <w:t xml:space="preserve">Un alt caz în care se </w:t>
      </w:r>
      <w:r w:rsidRPr="00381DA2">
        <w:rPr>
          <w:rFonts w:asciiTheme="majorHAnsi" w:hAnsiTheme="majorHAnsi" w:cstheme="minorHAnsi"/>
          <w:sz w:val="24"/>
          <w:szCs w:val="24"/>
        </w:rPr>
        <w:t>atestă caracterul abuziv de utilizare a speței de necunoaștere a limbii se constată și la acordarea AJGS unei persoane la solicitarea Inspectoratului de poliție Taraclia. Asistența respectivă a fost acordată în pofida faptului că beneficiarul era vorbitor de limba rusă, ace</w:t>
      </w:r>
      <w:r w:rsidR="00631CB3">
        <w:rPr>
          <w:rFonts w:asciiTheme="majorHAnsi" w:hAnsiTheme="majorHAnsi" w:cstheme="minorHAnsi"/>
          <w:sz w:val="24"/>
          <w:szCs w:val="24"/>
        </w:rPr>
        <w:t>a</w:t>
      </w:r>
      <w:r w:rsidRPr="00381DA2">
        <w:rPr>
          <w:rFonts w:asciiTheme="majorHAnsi" w:hAnsiTheme="majorHAnsi" w:cstheme="minorHAnsi"/>
          <w:sz w:val="24"/>
          <w:szCs w:val="24"/>
        </w:rPr>
        <w:t>sta fiind utilizată regional și în comunicarea cu inculpatul, fapt rezultat din Protocolul de interogare</w:t>
      </w:r>
      <w:r w:rsidRPr="00381DA2">
        <w:rPr>
          <w:rStyle w:val="FootnoteReference"/>
          <w:rFonts w:asciiTheme="majorHAnsi" w:hAnsiTheme="majorHAnsi" w:cstheme="minorHAnsi"/>
          <w:sz w:val="24"/>
          <w:szCs w:val="24"/>
        </w:rPr>
        <w:footnoteReference w:id="15"/>
      </w:r>
      <w:r w:rsidRPr="00381DA2">
        <w:rPr>
          <w:rFonts w:asciiTheme="majorHAnsi" w:hAnsiTheme="majorHAnsi" w:cstheme="minorHAnsi"/>
          <w:sz w:val="24"/>
          <w:szCs w:val="24"/>
        </w:rPr>
        <w:t>. La fel, documentele anexate la dosarul penal, precum și Hotărârea instanței, care</w:t>
      </w:r>
      <w:r w:rsidR="007311A4" w:rsidRPr="00381DA2">
        <w:rPr>
          <w:rFonts w:asciiTheme="majorHAnsi" w:hAnsiTheme="majorHAnsi" w:cstheme="minorHAnsi"/>
          <w:sz w:val="24"/>
          <w:szCs w:val="24"/>
        </w:rPr>
        <w:t xml:space="preserve"> au fost prezentate de avocat</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 denotă că acestea au fost întocmite în limba rusă, fiind incertă acordarea AJGS pe motivul nominalizat. Mai mult </w:t>
      </w:r>
      <w:r w:rsidR="00631CB3">
        <w:rPr>
          <w:rFonts w:asciiTheme="majorHAnsi" w:hAnsiTheme="majorHAnsi" w:cstheme="minorHAnsi"/>
          <w:sz w:val="24"/>
          <w:szCs w:val="24"/>
        </w:rPr>
        <w:t>decât</w:t>
      </w:r>
      <w:r w:rsidRPr="00381DA2">
        <w:rPr>
          <w:rFonts w:asciiTheme="majorHAnsi" w:hAnsiTheme="majorHAnsi" w:cstheme="minorHAnsi"/>
          <w:sz w:val="24"/>
          <w:szCs w:val="24"/>
        </w:rPr>
        <w:t xml:space="preserve"> atât, persoana a fost pusă sub învinuire conform art. 264</w:t>
      </w:r>
      <w:r w:rsidRPr="00381DA2">
        <w:rPr>
          <w:rFonts w:asciiTheme="majorHAnsi" w:hAnsiTheme="majorHAnsi" w:cstheme="minorHAnsi"/>
          <w:sz w:val="24"/>
          <w:szCs w:val="24"/>
          <w:vertAlign w:val="superscript"/>
        </w:rPr>
        <w:t>1</w:t>
      </w:r>
      <w:r w:rsidR="00631CB3">
        <w:rPr>
          <w:rFonts w:asciiTheme="majorHAnsi" w:hAnsiTheme="majorHAnsi" w:cstheme="minorHAnsi"/>
          <w:sz w:val="24"/>
          <w:szCs w:val="24"/>
          <w:vertAlign w:val="superscript"/>
        </w:rPr>
        <w:t xml:space="preserve"> </w:t>
      </w:r>
      <w:r w:rsidRPr="00381DA2">
        <w:rPr>
          <w:rFonts w:asciiTheme="majorHAnsi" w:hAnsiTheme="majorHAnsi" w:cstheme="minorHAnsi"/>
          <w:sz w:val="24"/>
          <w:szCs w:val="24"/>
        </w:rPr>
        <w:t>alin.(1)</w:t>
      </w:r>
      <w:r w:rsidRPr="00381DA2">
        <w:rPr>
          <w:rFonts w:asciiTheme="majorHAnsi" w:hAnsiTheme="majorHAnsi" w:cstheme="minorHAnsi"/>
          <w:b/>
          <w:color w:val="333333"/>
          <w:shd w:val="clear" w:color="auto" w:fill="FFFFFF"/>
        </w:rPr>
        <w:t xml:space="preserve"> </w:t>
      </w:r>
      <w:r w:rsidR="005F3BBD" w:rsidRPr="00381DA2">
        <w:rPr>
          <w:rFonts w:asciiTheme="majorHAnsi" w:hAnsiTheme="majorHAnsi" w:cstheme="minorHAnsi"/>
          <w:color w:val="333333"/>
          <w:shd w:val="clear" w:color="auto" w:fill="FFFFFF"/>
        </w:rPr>
        <w:t>din CP</w:t>
      </w:r>
      <w:r w:rsidRPr="00381DA2">
        <w:rPr>
          <w:rStyle w:val="Strong"/>
          <w:rFonts w:asciiTheme="majorHAnsi" w:hAnsiTheme="majorHAnsi" w:cstheme="minorHAnsi"/>
          <w:color w:val="333333"/>
          <w:shd w:val="clear" w:color="auto" w:fill="FFFFFF"/>
        </w:rPr>
        <w:t> </w:t>
      </w:r>
      <w:r w:rsidRPr="003F7196">
        <w:rPr>
          <w:rStyle w:val="Strong"/>
          <w:rFonts w:asciiTheme="majorHAnsi" w:hAnsiTheme="majorHAnsi" w:cstheme="minorHAnsi"/>
          <w:b w:val="0"/>
          <w:color w:val="333333"/>
          <w:sz w:val="24"/>
          <w:szCs w:val="24"/>
          <w:shd w:val="clear" w:color="auto" w:fill="FFFFFF"/>
        </w:rPr>
        <w:t>„</w:t>
      </w:r>
      <w:r w:rsidRPr="00381DA2">
        <w:rPr>
          <w:rStyle w:val="Strong"/>
          <w:rFonts w:asciiTheme="majorHAnsi" w:hAnsiTheme="majorHAnsi" w:cstheme="minorHAnsi"/>
          <w:b w:val="0"/>
          <w:color w:val="333333"/>
          <w:sz w:val="24"/>
          <w:szCs w:val="24"/>
          <w:shd w:val="clear" w:color="auto" w:fill="FFFFFF"/>
        </w:rPr>
        <w:t>Conducerea mijlocului de transport în stare de ebrietate alcoolică cu grad avansat sau în stare de ebrietate produsă de alte substanțe”, care cade sub incidența infracțiunilor ușoare</w:t>
      </w:r>
      <w:r w:rsidR="00631CB3">
        <w:rPr>
          <w:rStyle w:val="Strong"/>
          <w:rFonts w:asciiTheme="majorHAnsi" w:hAnsiTheme="majorHAnsi" w:cstheme="minorHAnsi"/>
          <w:b w:val="0"/>
          <w:color w:val="333333"/>
          <w:sz w:val="24"/>
          <w:szCs w:val="24"/>
          <w:shd w:val="clear" w:color="auto" w:fill="FFFFFF"/>
        </w:rPr>
        <w:t>.</w:t>
      </w:r>
      <w:r w:rsidRPr="00381DA2">
        <w:rPr>
          <w:rStyle w:val="Strong"/>
          <w:rFonts w:asciiTheme="majorHAnsi" w:hAnsiTheme="majorHAnsi" w:cstheme="minorHAnsi"/>
          <w:b w:val="0"/>
          <w:color w:val="333333"/>
          <w:sz w:val="24"/>
          <w:szCs w:val="24"/>
          <w:shd w:val="clear" w:color="auto" w:fill="FFFFFF"/>
        </w:rPr>
        <w:t xml:space="preserve"> </w:t>
      </w:r>
      <w:r w:rsidR="00631CB3">
        <w:rPr>
          <w:rStyle w:val="Strong"/>
          <w:rFonts w:asciiTheme="majorHAnsi" w:hAnsiTheme="majorHAnsi" w:cstheme="minorHAnsi"/>
          <w:b w:val="0"/>
          <w:color w:val="333333"/>
          <w:sz w:val="24"/>
          <w:szCs w:val="24"/>
          <w:shd w:val="clear" w:color="auto" w:fill="FFFFFF"/>
        </w:rPr>
        <w:t>Î</w:t>
      </w:r>
      <w:r w:rsidRPr="00381DA2">
        <w:rPr>
          <w:rStyle w:val="Strong"/>
          <w:rFonts w:asciiTheme="majorHAnsi" w:hAnsiTheme="majorHAnsi" w:cstheme="minorHAnsi"/>
          <w:b w:val="0"/>
          <w:color w:val="333333"/>
          <w:sz w:val="24"/>
          <w:szCs w:val="24"/>
          <w:shd w:val="clear" w:color="auto" w:fill="FFFFFF"/>
        </w:rPr>
        <w:t xml:space="preserve">n asemenea cazuri asistența juridică </w:t>
      </w:r>
      <w:r w:rsidR="00631CB3">
        <w:rPr>
          <w:rStyle w:val="Strong"/>
          <w:rFonts w:asciiTheme="majorHAnsi" w:hAnsiTheme="majorHAnsi" w:cstheme="minorHAnsi"/>
          <w:b w:val="0"/>
          <w:color w:val="333333"/>
          <w:sz w:val="24"/>
          <w:szCs w:val="24"/>
          <w:shd w:val="clear" w:color="auto" w:fill="FFFFFF"/>
        </w:rPr>
        <w:t>este</w:t>
      </w:r>
      <w:r w:rsidRPr="00381DA2">
        <w:rPr>
          <w:rStyle w:val="Strong"/>
          <w:rFonts w:asciiTheme="majorHAnsi" w:hAnsiTheme="majorHAnsi" w:cstheme="minorHAnsi"/>
          <w:b w:val="0"/>
          <w:color w:val="333333"/>
          <w:sz w:val="24"/>
          <w:szCs w:val="24"/>
          <w:shd w:val="clear" w:color="auto" w:fill="FFFFFF"/>
        </w:rPr>
        <w:t xml:space="preserve"> acordată pe baza testului de venit, ceea ce de fapt nu s-a realizat. În consecință</w:t>
      </w:r>
      <w:r w:rsidR="00631CB3">
        <w:rPr>
          <w:rStyle w:val="Strong"/>
          <w:rFonts w:asciiTheme="majorHAnsi" w:hAnsiTheme="majorHAnsi" w:cstheme="minorHAnsi"/>
          <w:b w:val="0"/>
          <w:color w:val="333333"/>
          <w:sz w:val="24"/>
          <w:szCs w:val="24"/>
          <w:shd w:val="clear" w:color="auto" w:fill="FFFFFF"/>
        </w:rPr>
        <w:t>,</w:t>
      </w:r>
      <w:r w:rsidRPr="00381DA2">
        <w:rPr>
          <w:rStyle w:val="Strong"/>
          <w:rFonts w:asciiTheme="majorHAnsi" w:hAnsiTheme="majorHAnsi" w:cstheme="minorHAnsi"/>
          <w:b w:val="0"/>
          <w:color w:val="333333"/>
          <w:sz w:val="24"/>
          <w:szCs w:val="24"/>
          <w:shd w:val="clear" w:color="auto" w:fill="FFFFFF"/>
        </w:rPr>
        <w:t xml:space="preserve"> serviciile achitate pe acest caz</w:t>
      </w:r>
      <w:r w:rsidR="00631CB3">
        <w:rPr>
          <w:rStyle w:val="Strong"/>
          <w:rFonts w:asciiTheme="majorHAnsi" w:hAnsiTheme="majorHAnsi" w:cstheme="minorHAnsi"/>
          <w:b w:val="0"/>
          <w:color w:val="333333"/>
          <w:sz w:val="24"/>
          <w:szCs w:val="24"/>
          <w:shd w:val="clear" w:color="auto" w:fill="FFFFFF"/>
        </w:rPr>
        <w:t>,</w:t>
      </w:r>
      <w:r w:rsidRPr="00381DA2">
        <w:rPr>
          <w:rStyle w:val="Strong"/>
          <w:rFonts w:asciiTheme="majorHAnsi" w:hAnsiTheme="majorHAnsi" w:cstheme="minorHAnsi"/>
          <w:b w:val="0"/>
          <w:color w:val="333333"/>
          <w:sz w:val="24"/>
          <w:szCs w:val="24"/>
          <w:shd w:val="clear" w:color="auto" w:fill="FFFFFF"/>
        </w:rPr>
        <w:t xml:space="preserve"> în valoare de 2,7 mii lei, se consideră</w:t>
      </w:r>
      <w:r w:rsidRPr="00381DA2">
        <w:rPr>
          <w:rStyle w:val="Strong"/>
          <w:rFonts w:asciiTheme="majorHAnsi" w:hAnsiTheme="majorHAnsi" w:cstheme="minorHAnsi"/>
          <w:b w:val="0"/>
          <w:bCs w:val="0"/>
          <w:color w:val="333333"/>
          <w:sz w:val="24"/>
          <w:szCs w:val="24"/>
          <w:shd w:val="clear" w:color="auto" w:fill="FFFFFF"/>
        </w:rPr>
        <w:t xml:space="preserve"> cheltuieli neconforme.</w:t>
      </w:r>
      <w:r w:rsidRPr="00381DA2">
        <w:rPr>
          <w:rFonts w:asciiTheme="majorHAnsi" w:hAnsiTheme="majorHAnsi" w:cstheme="minorHAnsi"/>
          <w:b/>
          <w:bCs/>
          <w:i/>
          <w:color w:val="0070C0"/>
          <w:lang w:val="ro-RO"/>
        </w:rPr>
        <w:t xml:space="preserve"> </w:t>
      </w:r>
    </w:p>
    <w:p w14:paraId="4BAE3319" w14:textId="3BF0DEED" w:rsidR="00FD339F" w:rsidRPr="00381DA2" w:rsidRDefault="00FD339F" w:rsidP="003A66EF">
      <w:pPr>
        <w:pStyle w:val="ListParagraph"/>
        <w:numPr>
          <w:ilvl w:val="0"/>
          <w:numId w:val="32"/>
        </w:numPr>
        <w:tabs>
          <w:tab w:val="left" w:pos="270"/>
        </w:tabs>
        <w:spacing w:after="120" w:line="276" w:lineRule="auto"/>
        <w:ind w:left="0" w:firstLine="360"/>
        <w:contextualSpacing w:val="0"/>
        <w:jc w:val="both"/>
        <w:rPr>
          <w:rFonts w:asciiTheme="majorHAnsi" w:hAnsiTheme="majorHAnsi" w:cstheme="minorHAnsi"/>
          <w:color w:val="0070C0"/>
          <w:sz w:val="24"/>
          <w:szCs w:val="24"/>
        </w:rPr>
      </w:pPr>
      <w:r w:rsidRPr="00381DA2">
        <w:rPr>
          <w:rFonts w:asciiTheme="majorHAnsi" w:hAnsiTheme="majorHAnsi" w:cstheme="minorHAnsi"/>
          <w:color w:val="0070C0"/>
          <w:sz w:val="24"/>
          <w:szCs w:val="24"/>
        </w:rPr>
        <w:t xml:space="preserve">Se atestă cazuri de </w:t>
      </w:r>
      <w:r w:rsidR="007311A4" w:rsidRPr="00381DA2">
        <w:rPr>
          <w:rFonts w:asciiTheme="majorHAnsi" w:hAnsiTheme="majorHAnsi" w:cstheme="minorHAnsi"/>
          <w:color w:val="0070C0"/>
          <w:sz w:val="24"/>
          <w:szCs w:val="24"/>
        </w:rPr>
        <w:t xml:space="preserve">solicitare și </w:t>
      </w:r>
      <w:r w:rsidR="003E6F38">
        <w:rPr>
          <w:rFonts w:asciiTheme="majorHAnsi" w:hAnsiTheme="majorHAnsi" w:cstheme="minorHAnsi"/>
          <w:color w:val="0070C0"/>
          <w:sz w:val="24"/>
          <w:szCs w:val="24"/>
        </w:rPr>
        <w:t xml:space="preserve">acordare </w:t>
      </w:r>
      <w:r w:rsidR="00631CB3">
        <w:rPr>
          <w:rFonts w:asciiTheme="majorHAnsi" w:hAnsiTheme="majorHAnsi" w:cstheme="minorHAnsi"/>
          <w:color w:val="0070C0"/>
          <w:sz w:val="24"/>
          <w:szCs w:val="24"/>
        </w:rPr>
        <w:t xml:space="preserve">a </w:t>
      </w:r>
      <w:r w:rsidRPr="00381DA2">
        <w:rPr>
          <w:rFonts w:asciiTheme="majorHAnsi" w:hAnsiTheme="majorHAnsi" w:cstheme="minorHAnsi"/>
          <w:color w:val="0070C0"/>
          <w:sz w:val="24"/>
          <w:szCs w:val="24"/>
        </w:rPr>
        <w:t>AJGS în condiții neconforme</w:t>
      </w:r>
      <w:r w:rsidR="00631CB3">
        <w:rPr>
          <w:rFonts w:asciiTheme="majorHAnsi" w:hAnsiTheme="majorHAnsi" w:cstheme="minorHAnsi"/>
          <w:color w:val="0070C0"/>
          <w:sz w:val="24"/>
          <w:szCs w:val="24"/>
        </w:rPr>
        <w:t>,</w:t>
      </w:r>
      <w:r w:rsidRPr="00381DA2">
        <w:rPr>
          <w:rFonts w:asciiTheme="majorHAnsi" w:hAnsiTheme="majorHAnsi" w:cstheme="minorHAnsi"/>
          <w:color w:val="0070C0"/>
          <w:sz w:val="24"/>
          <w:szCs w:val="24"/>
        </w:rPr>
        <w:t xml:space="preserve"> motiv</w:t>
      </w:r>
      <w:r w:rsidR="00631CB3">
        <w:rPr>
          <w:rFonts w:asciiTheme="majorHAnsi" w:hAnsiTheme="majorHAnsi" w:cstheme="minorHAnsi"/>
          <w:color w:val="0070C0"/>
          <w:sz w:val="24"/>
          <w:szCs w:val="24"/>
        </w:rPr>
        <w:t>ul</w:t>
      </w:r>
      <w:r w:rsidRPr="00381DA2">
        <w:rPr>
          <w:rFonts w:asciiTheme="majorHAnsi" w:hAnsiTheme="majorHAnsi" w:cstheme="minorHAnsi"/>
          <w:color w:val="0070C0"/>
          <w:sz w:val="24"/>
          <w:szCs w:val="24"/>
        </w:rPr>
        <w:t xml:space="preserve"> juridic</w:t>
      </w:r>
      <w:r w:rsidR="00631CB3">
        <w:rPr>
          <w:rFonts w:asciiTheme="majorHAnsi" w:hAnsiTheme="majorHAnsi" w:cstheme="minorHAnsi"/>
          <w:color w:val="0070C0"/>
          <w:sz w:val="24"/>
          <w:szCs w:val="24"/>
        </w:rPr>
        <w:t xml:space="preserve"> invocat fiind</w:t>
      </w:r>
      <w:r w:rsidRPr="00381DA2">
        <w:rPr>
          <w:rFonts w:asciiTheme="majorHAnsi" w:hAnsiTheme="majorHAnsi" w:cstheme="minorHAnsi"/>
          <w:color w:val="0070C0"/>
          <w:sz w:val="24"/>
          <w:szCs w:val="24"/>
        </w:rPr>
        <w:t xml:space="preserve"> că interesele justiției cer participarea apărătorului de stat în ședinț</w:t>
      </w:r>
      <w:r w:rsidR="00631CB3">
        <w:rPr>
          <w:rFonts w:asciiTheme="majorHAnsi" w:hAnsiTheme="majorHAnsi" w:cstheme="minorHAnsi"/>
          <w:color w:val="0070C0"/>
          <w:sz w:val="24"/>
          <w:szCs w:val="24"/>
        </w:rPr>
        <w:t>a</w:t>
      </w:r>
      <w:r w:rsidRPr="00381DA2">
        <w:rPr>
          <w:rFonts w:asciiTheme="majorHAnsi" w:hAnsiTheme="majorHAnsi" w:cstheme="minorHAnsi"/>
          <w:color w:val="0070C0"/>
          <w:sz w:val="24"/>
          <w:szCs w:val="24"/>
        </w:rPr>
        <w:t xml:space="preserve"> de judecată</w:t>
      </w:r>
      <w:r w:rsidR="00631CB3">
        <w:rPr>
          <w:rFonts w:asciiTheme="majorHAnsi" w:hAnsiTheme="majorHAnsi" w:cstheme="minorHAnsi"/>
          <w:color w:val="0070C0"/>
          <w:sz w:val="24"/>
          <w:szCs w:val="24"/>
        </w:rPr>
        <w:t>.</w:t>
      </w:r>
    </w:p>
    <w:p w14:paraId="74EB1547" w14:textId="74B30694" w:rsidR="00FD339F" w:rsidRPr="00381DA2" w:rsidRDefault="00FD339F" w:rsidP="003A66EF">
      <w:pPr>
        <w:tabs>
          <w:tab w:val="left" w:pos="270"/>
          <w:tab w:val="left" w:pos="810"/>
        </w:tabs>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O altă situație </w:t>
      </w:r>
      <w:r w:rsidR="00631CB3">
        <w:rPr>
          <w:rFonts w:asciiTheme="majorHAnsi" w:hAnsiTheme="majorHAnsi" w:cstheme="minorHAnsi"/>
          <w:sz w:val="24"/>
          <w:szCs w:val="24"/>
        </w:rPr>
        <w:t>care cade sub incidența</w:t>
      </w:r>
      <w:r w:rsidRPr="00381DA2">
        <w:rPr>
          <w:rFonts w:asciiTheme="majorHAnsi" w:hAnsiTheme="majorHAnsi" w:cstheme="minorHAnsi"/>
          <w:sz w:val="24"/>
          <w:szCs w:val="24"/>
        </w:rPr>
        <w:t xml:space="preserve"> dreptul</w:t>
      </w:r>
      <w:r w:rsidR="00631CB3">
        <w:rPr>
          <w:rFonts w:asciiTheme="majorHAnsi" w:hAnsiTheme="majorHAnsi" w:cstheme="minorHAnsi"/>
          <w:sz w:val="24"/>
          <w:szCs w:val="24"/>
        </w:rPr>
        <w:t>ui</w:t>
      </w:r>
      <w:r w:rsidRPr="00381DA2">
        <w:rPr>
          <w:rFonts w:asciiTheme="majorHAnsi" w:hAnsiTheme="majorHAnsi" w:cstheme="minorHAnsi"/>
          <w:sz w:val="24"/>
          <w:szCs w:val="24"/>
        </w:rPr>
        <w:t xml:space="preserve"> la asistență juridică obligatorie reprezintă speța prevăzută la art. 69 alin. (1) pct.10) și alin. (3) din Codul de procedură penală, potrivit căreia coordonatorii OT ale CNAJGS asigură participarea apărătorului la procesul penal în cazul în care</w:t>
      </w:r>
      <w:r w:rsidRPr="00381DA2">
        <w:rPr>
          <w:rFonts w:asciiTheme="majorHAnsi" w:hAnsiTheme="majorHAnsi" w:cstheme="minorHAnsi"/>
        </w:rPr>
        <w:t xml:space="preserve"> „</w:t>
      </w:r>
      <w:r w:rsidRPr="00381DA2">
        <w:rPr>
          <w:rFonts w:asciiTheme="majorHAnsi" w:hAnsiTheme="majorHAnsi" w:cstheme="minorHAnsi"/>
          <w:i/>
          <w:sz w:val="24"/>
          <w:szCs w:val="24"/>
        </w:rPr>
        <w:t xml:space="preserve">interesele justiției cer participarea lui în ședință de judecată în primă instanță, în apel și în recurs, precum și la judecarea cauzei pe cale extraordinară de atac”. </w:t>
      </w:r>
      <w:r w:rsidRPr="00381DA2">
        <w:rPr>
          <w:rFonts w:asciiTheme="majorHAnsi" w:hAnsiTheme="majorHAnsi" w:cstheme="minorHAnsi"/>
          <w:sz w:val="24"/>
          <w:szCs w:val="24"/>
        </w:rPr>
        <w:t>Când asistența juridică este obligatorie</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 învinuitul, </w:t>
      </w:r>
      <w:r w:rsidR="001E7F9E">
        <w:rPr>
          <w:rFonts w:asciiTheme="majorHAnsi" w:hAnsiTheme="majorHAnsi" w:cstheme="minorHAnsi"/>
          <w:sz w:val="24"/>
          <w:szCs w:val="24"/>
        </w:rPr>
        <w:t>inculpatul nu poate fi judecat î</w:t>
      </w:r>
      <w:r w:rsidRPr="00381DA2">
        <w:rPr>
          <w:rFonts w:asciiTheme="majorHAnsi" w:hAnsiTheme="majorHAnsi" w:cstheme="minorHAnsi"/>
          <w:sz w:val="24"/>
          <w:szCs w:val="24"/>
        </w:rPr>
        <w:t xml:space="preserve">n lipsa apărătorului. </w:t>
      </w:r>
    </w:p>
    <w:p w14:paraId="799C44C4" w14:textId="77777777" w:rsidR="00FD339F" w:rsidRPr="00381DA2" w:rsidRDefault="00FD339F" w:rsidP="003A66EF">
      <w:pPr>
        <w:tabs>
          <w:tab w:val="left" w:pos="270"/>
          <w:tab w:val="left" w:pos="810"/>
        </w:tabs>
        <w:spacing w:after="0" w:line="276" w:lineRule="auto"/>
        <w:jc w:val="both"/>
        <w:rPr>
          <w:rFonts w:asciiTheme="majorHAnsi" w:hAnsiTheme="majorHAnsi" w:cstheme="minorHAnsi"/>
          <w:sz w:val="24"/>
          <w:szCs w:val="24"/>
        </w:rPr>
      </w:pPr>
      <w:r w:rsidRPr="00381DA2">
        <w:rPr>
          <w:rFonts w:asciiTheme="majorHAnsi" w:hAnsiTheme="majorHAnsi" w:cstheme="minorHAnsi"/>
          <w:sz w:val="24"/>
          <w:szCs w:val="24"/>
        </w:rPr>
        <w:t>Concomitent, potrivit prevederilor pct. 11 din Hotărârea CSJ nr. 11 din 24.12.2020</w:t>
      </w:r>
      <w:r w:rsidRPr="00381DA2">
        <w:rPr>
          <w:rStyle w:val="FootnoteReference"/>
          <w:rFonts w:asciiTheme="majorHAnsi" w:hAnsiTheme="majorHAnsi" w:cstheme="minorHAnsi"/>
          <w:sz w:val="24"/>
          <w:szCs w:val="24"/>
        </w:rPr>
        <w:footnoteReference w:id="16"/>
      </w:r>
      <w:r w:rsidRPr="00381DA2">
        <w:rPr>
          <w:rFonts w:asciiTheme="majorHAnsi" w:hAnsiTheme="majorHAnsi" w:cstheme="minorHAnsi"/>
          <w:sz w:val="24"/>
          <w:szCs w:val="24"/>
        </w:rPr>
        <w:t xml:space="preserve">, determinarea faptului dacă interesele justiției cer asistența obligatorie a apărătorului, inclusiv în cazul menționat supra, ține de competența </w:t>
      </w:r>
      <w:r w:rsidRPr="00381DA2">
        <w:rPr>
          <w:rFonts w:asciiTheme="majorHAnsi" w:hAnsiTheme="majorHAnsi" w:cstheme="minorHAnsi"/>
          <w:sz w:val="24"/>
          <w:szCs w:val="24"/>
          <w:u w:val="single"/>
        </w:rPr>
        <w:t>procurorului sau a instanței de judecată</w:t>
      </w:r>
      <w:r w:rsidRPr="00381DA2">
        <w:rPr>
          <w:rFonts w:asciiTheme="majorHAnsi" w:hAnsiTheme="majorHAnsi" w:cstheme="minorHAnsi"/>
          <w:sz w:val="24"/>
          <w:szCs w:val="24"/>
        </w:rPr>
        <w:t xml:space="preserve"> și depinde de: </w:t>
      </w:r>
    </w:p>
    <w:p w14:paraId="7B071CB1" w14:textId="77777777" w:rsidR="00FD339F" w:rsidRPr="00381DA2" w:rsidRDefault="00FD339F" w:rsidP="003A66EF">
      <w:pPr>
        <w:autoSpaceDE w:val="0"/>
        <w:autoSpaceDN w:val="0"/>
        <w:adjustRightInd w:val="0"/>
        <w:spacing w:after="0" w:line="276" w:lineRule="auto"/>
        <w:ind w:left="360"/>
        <w:jc w:val="both"/>
        <w:rPr>
          <w:rFonts w:asciiTheme="majorHAnsi" w:hAnsiTheme="majorHAnsi" w:cstheme="minorHAnsi"/>
          <w:sz w:val="24"/>
          <w:szCs w:val="24"/>
        </w:rPr>
      </w:pPr>
      <w:r w:rsidRPr="00381DA2">
        <w:rPr>
          <w:rFonts w:asciiTheme="majorHAnsi" w:hAnsiTheme="majorHAnsi" w:cstheme="minorHAnsi"/>
          <w:sz w:val="24"/>
          <w:szCs w:val="24"/>
        </w:rPr>
        <w:t>a) complexitatea cazului;</w:t>
      </w:r>
    </w:p>
    <w:p w14:paraId="5AE4BE7E" w14:textId="77777777" w:rsidR="00FD339F" w:rsidRPr="00381DA2" w:rsidRDefault="00FD339F" w:rsidP="003A66EF">
      <w:pPr>
        <w:autoSpaceDE w:val="0"/>
        <w:autoSpaceDN w:val="0"/>
        <w:adjustRightInd w:val="0"/>
        <w:spacing w:after="0" w:line="276" w:lineRule="auto"/>
        <w:ind w:left="360"/>
        <w:jc w:val="both"/>
        <w:rPr>
          <w:rFonts w:asciiTheme="majorHAnsi" w:hAnsiTheme="majorHAnsi" w:cstheme="minorHAnsi"/>
          <w:sz w:val="24"/>
          <w:szCs w:val="24"/>
        </w:rPr>
      </w:pPr>
      <w:r w:rsidRPr="00381DA2">
        <w:rPr>
          <w:rFonts w:asciiTheme="majorHAnsi" w:hAnsiTheme="majorHAnsi" w:cstheme="minorHAnsi"/>
          <w:sz w:val="24"/>
          <w:szCs w:val="24"/>
        </w:rPr>
        <w:t>b) capacitatea bănuitului, învinuitului, inculpatului de a se apăra singur;</w:t>
      </w:r>
    </w:p>
    <w:p w14:paraId="146CBBEC" w14:textId="77777777" w:rsidR="00FD339F" w:rsidRPr="00381DA2" w:rsidRDefault="00FD339F" w:rsidP="003A66EF">
      <w:pPr>
        <w:autoSpaceDE w:val="0"/>
        <w:autoSpaceDN w:val="0"/>
        <w:adjustRightInd w:val="0"/>
        <w:spacing w:line="276" w:lineRule="auto"/>
        <w:ind w:left="360"/>
        <w:jc w:val="both"/>
        <w:rPr>
          <w:rFonts w:asciiTheme="majorHAnsi" w:hAnsiTheme="majorHAnsi" w:cstheme="minorHAnsi"/>
          <w:sz w:val="24"/>
          <w:szCs w:val="24"/>
        </w:rPr>
      </w:pPr>
      <w:r w:rsidRPr="00381DA2">
        <w:rPr>
          <w:rFonts w:asciiTheme="majorHAnsi" w:hAnsiTheme="majorHAnsi" w:cstheme="minorHAnsi"/>
          <w:sz w:val="24"/>
          <w:szCs w:val="24"/>
        </w:rPr>
        <w:t>c) gravitatea faptei, de a cărei săvârșire persoana este bănuită sau învinuită, și de sancțiunea prevăzută de lege pentru săvârșirea ei.</w:t>
      </w:r>
    </w:p>
    <w:p w14:paraId="2A71FF8A" w14:textId="4EAF5767" w:rsidR="00FD339F" w:rsidRPr="00381DA2" w:rsidRDefault="00FD339F" w:rsidP="003A66EF">
      <w:pPr>
        <w:tabs>
          <w:tab w:val="left" w:pos="270"/>
          <w:tab w:val="left" w:pos="810"/>
        </w:tabs>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Analizând informați</w:t>
      </w:r>
      <w:r w:rsidR="00631CB3">
        <w:rPr>
          <w:rFonts w:asciiTheme="majorHAnsi" w:hAnsiTheme="majorHAnsi" w:cstheme="minorHAnsi"/>
          <w:sz w:val="24"/>
          <w:szCs w:val="24"/>
        </w:rPr>
        <w:t>ile</w:t>
      </w:r>
      <w:r w:rsidRPr="00381DA2">
        <w:rPr>
          <w:rFonts w:asciiTheme="majorHAnsi" w:hAnsiTheme="majorHAnsi" w:cstheme="minorHAnsi"/>
          <w:sz w:val="24"/>
          <w:szCs w:val="24"/>
        </w:rPr>
        <w:t xml:space="preserve"> prezentat</w:t>
      </w:r>
      <w:r w:rsidR="00631CB3">
        <w:rPr>
          <w:rFonts w:asciiTheme="majorHAnsi" w:hAnsiTheme="majorHAnsi" w:cstheme="minorHAnsi"/>
          <w:sz w:val="24"/>
          <w:szCs w:val="24"/>
        </w:rPr>
        <w:t>e</w:t>
      </w:r>
      <w:r w:rsidRPr="00381DA2">
        <w:rPr>
          <w:rFonts w:asciiTheme="majorHAnsi" w:hAnsiTheme="majorHAnsi" w:cstheme="minorHAnsi"/>
          <w:sz w:val="24"/>
          <w:szCs w:val="24"/>
        </w:rPr>
        <w:t xml:space="preserve"> de CNAJGS, se atestă că</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 în perioada 2020-11.11.2022, au fost înregistrate 38</w:t>
      </w:r>
      <w:r w:rsidR="00631CB3">
        <w:rPr>
          <w:rFonts w:asciiTheme="majorHAnsi" w:hAnsiTheme="majorHAnsi" w:cstheme="minorHAnsi"/>
          <w:sz w:val="24"/>
          <w:szCs w:val="24"/>
        </w:rPr>
        <w:t>.</w:t>
      </w:r>
      <w:r w:rsidRPr="00381DA2">
        <w:rPr>
          <w:rFonts w:asciiTheme="majorHAnsi" w:hAnsiTheme="majorHAnsi" w:cstheme="minorHAnsi"/>
          <w:sz w:val="24"/>
          <w:szCs w:val="24"/>
        </w:rPr>
        <w:t>491 cazuri de acordare a AJGS</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 având ca temei invocat</w:t>
      </w:r>
      <w:r w:rsidR="00631CB3">
        <w:rPr>
          <w:rFonts w:asciiTheme="majorHAnsi" w:hAnsiTheme="majorHAnsi" w:cstheme="minorHAnsi"/>
          <w:sz w:val="24"/>
          <w:szCs w:val="24"/>
        </w:rPr>
        <w:t xml:space="preserve"> </w:t>
      </w:r>
      <w:r w:rsidRPr="00381DA2">
        <w:rPr>
          <w:rFonts w:asciiTheme="majorHAnsi" w:hAnsiTheme="majorHAnsi" w:cstheme="minorHAnsi"/>
          <w:sz w:val="24"/>
          <w:szCs w:val="24"/>
        </w:rPr>
        <w:t xml:space="preserve"> </w:t>
      </w:r>
      <w:r w:rsidRPr="003F7196">
        <w:rPr>
          <w:rFonts w:asciiTheme="majorHAnsi" w:hAnsiTheme="majorHAnsi" w:cstheme="minorHAnsi"/>
          <w:i/>
          <w:sz w:val="24"/>
          <w:szCs w:val="24"/>
        </w:rPr>
        <w:t>interesele justiției cer AJGS obligatorie</w:t>
      </w:r>
      <w:r w:rsidRPr="00381DA2">
        <w:rPr>
          <w:rFonts w:asciiTheme="majorHAnsi" w:hAnsiTheme="majorHAnsi" w:cstheme="minorHAnsi"/>
          <w:sz w:val="24"/>
          <w:szCs w:val="24"/>
        </w:rPr>
        <w:t>, din care ponderea cea mai semnificativă (97%) revine solicitărilor instanțelor de judecată</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 iar 3%, ceea ce semnifică 1</w:t>
      </w:r>
      <w:r w:rsidR="00631CB3">
        <w:rPr>
          <w:rFonts w:asciiTheme="majorHAnsi" w:hAnsiTheme="majorHAnsi" w:cstheme="minorHAnsi"/>
          <w:sz w:val="24"/>
          <w:szCs w:val="24"/>
        </w:rPr>
        <w:t>.</w:t>
      </w:r>
      <w:r w:rsidRPr="00381DA2">
        <w:rPr>
          <w:rFonts w:asciiTheme="majorHAnsi" w:hAnsiTheme="majorHAnsi" w:cstheme="minorHAnsi"/>
          <w:sz w:val="24"/>
          <w:szCs w:val="24"/>
        </w:rPr>
        <w:t xml:space="preserve">291 </w:t>
      </w:r>
      <w:r w:rsidR="00631CB3">
        <w:rPr>
          <w:rFonts w:asciiTheme="majorHAnsi" w:hAnsiTheme="majorHAnsi" w:cstheme="minorHAnsi"/>
          <w:sz w:val="24"/>
          <w:szCs w:val="24"/>
        </w:rPr>
        <w:t xml:space="preserve">de </w:t>
      </w:r>
      <w:r w:rsidRPr="00381DA2">
        <w:rPr>
          <w:rFonts w:asciiTheme="majorHAnsi" w:hAnsiTheme="majorHAnsi" w:cstheme="minorHAnsi"/>
          <w:sz w:val="24"/>
          <w:szCs w:val="24"/>
        </w:rPr>
        <w:t>cazuri, la interpelările organelor de urmărire penală. La rândul său, din cele 1</w:t>
      </w:r>
      <w:r w:rsidR="00631CB3">
        <w:rPr>
          <w:rFonts w:asciiTheme="majorHAnsi" w:hAnsiTheme="majorHAnsi" w:cstheme="minorHAnsi"/>
          <w:sz w:val="24"/>
          <w:szCs w:val="24"/>
        </w:rPr>
        <w:t>.</w:t>
      </w:r>
      <w:r w:rsidRPr="00381DA2">
        <w:rPr>
          <w:rFonts w:asciiTheme="majorHAnsi" w:hAnsiTheme="majorHAnsi" w:cstheme="minorHAnsi"/>
          <w:sz w:val="24"/>
          <w:szCs w:val="24"/>
        </w:rPr>
        <w:t>291 de situații, 27% au fost la solicitarea organelor Procuraturilor, iar în restul 73%</w:t>
      </w:r>
      <w:r w:rsidRPr="00381DA2">
        <w:rPr>
          <w:rStyle w:val="FootnoteReference"/>
          <w:rFonts w:asciiTheme="majorHAnsi" w:hAnsiTheme="majorHAnsi" w:cstheme="minorHAnsi"/>
          <w:sz w:val="24"/>
          <w:szCs w:val="24"/>
        </w:rPr>
        <w:footnoteReference w:id="17"/>
      </w:r>
      <w:r w:rsidRPr="00381DA2">
        <w:rPr>
          <w:rFonts w:asciiTheme="majorHAnsi" w:hAnsiTheme="majorHAnsi" w:cstheme="minorHAnsi"/>
          <w:sz w:val="24"/>
          <w:szCs w:val="24"/>
        </w:rPr>
        <w:t xml:space="preserve"> au fost înaintate de către alte organe de urmărire penală, inclusiv</w:t>
      </w:r>
      <w:r w:rsidR="00011BB3">
        <w:rPr>
          <w:rFonts w:asciiTheme="majorHAnsi" w:hAnsiTheme="majorHAnsi" w:cstheme="minorHAnsi"/>
          <w:sz w:val="24"/>
          <w:szCs w:val="24"/>
        </w:rPr>
        <w:t xml:space="preserve"> de</w:t>
      </w:r>
      <w:r w:rsidRPr="00381DA2">
        <w:rPr>
          <w:rFonts w:asciiTheme="majorHAnsi" w:hAnsiTheme="majorHAnsi" w:cstheme="minorHAnsi"/>
          <w:sz w:val="24"/>
          <w:szCs w:val="24"/>
        </w:rPr>
        <w:t xml:space="preserve"> Inspectoratele de Poliție; Inspectoratul Național de Investigații; Centrul de Combatere a Traficului de Persoane; Direcția Generală Urmărire Penală, Departamentul de Poliție Frontieră. </w:t>
      </w:r>
    </w:p>
    <w:p w14:paraId="72650A73" w14:textId="00C77DB7" w:rsidR="00FD339F" w:rsidRPr="00381DA2" w:rsidRDefault="00FD339F"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Verificările de audit au scos în evidență neconformități care</w:t>
      </w:r>
      <w:r w:rsidR="00011BB3">
        <w:rPr>
          <w:rFonts w:asciiTheme="majorHAnsi" w:hAnsiTheme="majorHAnsi" w:cstheme="minorHAnsi"/>
          <w:sz w:val="24"/>
          <w:szCs w:val="24"/>
        </w:rPr>
        <w:t>,</w:t>
      </w:r>
      <w:r w:rsidRPr="00381DA2">
        <w:rPr>
          <w:rFonts w:asciiTheme="majorHAnsi" w:hAnsiTheme="majorHAnsi" w:cstheme="minorHAnsi"/>
          <w:sz w:val="24"/>
          <w:szCs w:val="24"/>
        </w:rPr>
        <w:t xml:space="preserve"> în mare parte</w:t>
      </w:r>
      <w:r w:rsidR="00011BB3">
        <w:rPr>
          <w:rFonts w:asciiTheme="majorHAnsi" w:hAnsiTheme="majorHAnsi" w:cstheme="minorHAnsi"/>
          <w:sz w:val="24"/>
          <w:szCs w:val="24"/>
        </w:rPr>
        <w:t>,</w:t>
      </w:r>
      <w:r w:rsidRPr="00381DA2">
        <w:rPr>
          <w:rFonts w:asciiTheme="majorHAnsi" w:hAnsiTheme="majorHAnsi" w:cstheme="minorHAnsi"/>
          <w:sz w:val="24"/>
          <w:szCs w:val="24"/>
        </w:rPr>
        <w:t xml:space="preserve"> au fost cauzate de nerespectarea condițiilor de solicitare a AJGS atunci când temeiul invocat este „interesele justiției </w:t>
      </w:r>
      <w:r w:rsidRPr="00381DA2">
        <w:rPr>
          <w:rFonts w:asciiTheme="majorHAnsi" w:hAnsiTheme="majorHAnsi" w:cstheme="minorHAnsi"/>
          <w:sz w:val="24"/>
          <w:szCs w:val="24"/>
        </w:rPr>
        <w:lastRenderedPageBreak/>
        <w:t>cer participarea avoca</w:t>
      </w:r>
      <w:r w:rsidR="00CA3F2B">
        <w:rPr>
          <w:rFonts w:asciiTheme="majorHAnsi" w:hAnsiTheme="majorHAnsi" w:cstheme="minorHAnsi"/>
          <w:sz w:val="24"/>
          <w:szCs w:val="24"/>
        </w:rPr>
        <w:t xml:space="preserve">tului în ședință de judecată”. </w:t>
      </w:r>
      <w:r w:rsidRPr="00381DA2">
        <w:rPr>
          <w:rFonts w:asciiTheme="majorHAnsi" w:hAnsiTheme="majorHAnsi" w:cstheme="minorHAnsi"/>
          <w:sz w:val="24"/>
          <w:szCs w:val="24"/>
        </w:rPr>
        <w:t>Astfel, din totalitatea cazurilor examinate, în 104 situații auditul a identificat că solicitările de AJGS au fost înaintate și acceptate în lipsa ordonanțelor/demersurilor procurorilor privind necesitatea prezenței avocatului pentru reprezentarea dreptului la apărare a beneficiarilor în instanțele de judecată. Or, acest fapt nici nu a fost posibil întrucât solicitările au fost înaintate de către angajații</w:t>
      </w:r>
      <w:r w:rsidRPr="00381DA2">
        <w:rPr>
          <w:rStyle w:val="FootnoteReference"/>
          <w:rFonts w:asciiTheme="majorHAnsi" w:hAnsiTheme="majorHAnsi" w:cstheme="minorHAnsi"/>
          <w:sz w:val="24"/>
          <w:szCs w:val="24"/>
        </w:rPr>
        <w:footnoteReference w:id="18"/>
      </w:r>
      <w:r w:rsidRPr="00381DA2">
        <w:rPr>
          <w:rFonts w:asciiTheme="majorHAnsi" w:hAnsiTheme="majorHAnsi" w:cstheme="minorHAnsi"/>
          <w:sz w:val="24"/>
          <w:szCs w:val="24"/>
        </w:rPr>
        <w:t xml:space="preserve"> unor instituții subordonate Ministerului Afacerilor Interne, în cadrul cărora nu există funcții cu statut de procuror. La fel, se constată că</w:t>
      </w:r>
      <w:r w:rsidR="00011BB3">
        <w:rPr>
          <w:rFonts w:asciiTheme="majorHAnsi" w:hAnsiTheme="majorHAnsi" w:cstheme="minorHAnsi"/>
          <w:sz w:val="24"/>
          <w:szCs w:val="24"/>
        </w:rPr>
        <w:t>,</w:t>
      </w:r>
      <w:r w:rsidRPr="00381DA2">
        <w:rPr>
          <w:rFonts w:asciiTheme="majorHAnsi" w:hAnsiTheme="majorHAnsi" w:cstheme="minorHAnsi"/>
          <w:sz w:val="24"/>
          <w:szCs w:val="24"/>
        </w:rPr>
        <w:t xml:space="preserve"> în toate cazurile verificate,</w:t>
      </w:r>
      <w:r w:rsidR="007311A4" w:rsidRPr="00381DA2">
        <w:rPr>
          <w:rFonts w:asciiTheme="majorHAnsi" w:hAnsiTheme="majorHAnsi" w:cstheme="minorHAnsi"/>
          <w:sz w:val="24"/>
          <w:szCs w:val="24"/>
        </w:rPr>
        <w:t xml:space="preserve"> s-a solicitat apărător </w:t>
      </w:r>
      <w:r w:rsidRPr="00381DA2">
        <w:rPr>
          <w:rFonts w:asciiTheme="majorHAnsi" w:hAnsiTheme="majorHAnsi" w:cstheme="minorHAnsi"/>
          <w:sz w:val="24"/>
          <w:szCs w:val="24"/>
        </w:rPr>
        <w:t>pentru faza de urmărire penală și nu pentru judecarea cauzelor în instanț</w:t>
      </w:r>
      <w:r w:rsidR="00011BB3">
        <w:rPr>
          <w:rFonts w:asciiTheme="majorHAnsi" w:hAnsiTheme="majorHAnsi" w:cstheme="minorHAnsi"/>
          <w:sz w:val="24"/>
          <w:szCs w:val="24"/>
        </w:rPr>
        <w:t>a</w:t>
      </w:r>
      <w:r w:rsidRPr="00381DA2">
        <w:rPr>
          <w:rFonts w:asciiTheme="majorHAnsi" w:hAnsiTheme="majorHAnsi" w:cstheme="minorHAnsi"/>
          <w:sz w:val="24"/>
          <w:szCs w:val="24"/>
        </w:rPr>
        <w:t xml:space="preserve"> de judecată, ceea ce denotă nerespectarea condițiilor Codului </w:t>
      </w:r>
      <w:r w:rsidR="001E7F9E">
        <w:rPr>
          <w:rFonts w:asciiTheme="majorHAnsi" w:hAnsiTheme="majorHAnsi" w:cstheme="minorHAnsi"/>
          <w:sz w:val="24"/>
          <w:szCs w:val="24"/>
        </w:rPr>
        <w:t xml:space="preserve">de procedură </w:t>
      </w:r>
      <w:r w:rsidRPr="00381DA2">
        <w:rPr>
          <w:rFonts w:asciiTheme="majorHAnsi" w:hAnsiTheme="majorHAnsi" w:cstheme="minorHAnsi"/>
          <w:sz w:val="24"/>
          <w:szCs w:val="24"/>
        </w:rPr>
        <w:t>penal</w:t>
      </w:r>
      <w:r w:rsidR="001E7F9E">
        <w:rPr>
          <w:rFonts w:asciiTheme="majorHAnsi" w:hAnsiTheme="majorHAnsi" w:cstheme="minorHAnsi"/>
          <w:sz w:val="24"/>
          <w:szCs w:val="24"/>
        </w:rPr>
        <w:t>ă</w:t>
      </w:r>
      <w:r w:rsidRPr="00381DA2">
        <w:rPr>
          <w:rFonts w:asciiTheme="majorHAnsi" w:hAnsiTheme="majorHAnsi" w:cstheme="minorHAnsi"/>
          <w:sz w:val="24"/>
          <w:szCs w:val="24"/>
        </w:rPr>
        <w:t xml:space="preserve"> analizate. Valoarea cheltuielilor suportate din bugetul de stat în scopul remunerării muncii avocaților care au gestionat aceste cazuri constituie suma de 233,1 mii lei. </w:t>
      </w:r>
    </w:p>
    <w:p w14:paraId="294EDC42" w14:textId="7011E55A" w:rsidR="00FD339F" w:rsidRPr="00381DA2" w:rsidRDefault="00FD339F"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Totodată</w:t>
      </w:r>
      <w:r w:rsidR="00011BB3">
        <w:rPr>
          <w:rFonts w:asciiTheme="majorHAnsi" w:hAnsiTheme="majorHAnsi" w:cstheme="minorHAnsi"/>
          <w:sz w:val="24"/>
          <w:szCs w:val="24"/>
        </w:rPr>
        <w:t>,</w:t>
      </w:r>
      <w:r w:rsidRPr="00381DA2">
        <w:rPr>
          <w:rFonts w:asciiTheme="majorHAnsi" w:hAnsiTheme="majorHAnsi" w:cstheme="minorHAnsi"/>
          <w:sz w:val="24"/>
          <w:szCs w:val="24"/>
        </w:rPr>
        <w:t xml:space="preserve"> se mențion</w:t>
      </w:r>
      <w:r w:rsidR="00011BB3">
        <w:rPr>
          <w:rFonts w:asciiTheme="majorHAnsi" w:hAnsiTheme="majorHAnsi" w:cstheme="minorHAnsi"/>
          <w:sz w:val="24"/>
          <w:szCs w:val="24"/>
        </w:rPr>
        <w:t>e</w:t>
      </w:r>
      <w:r w:rsidRPr="00381DA2">
        <w:rPr>
          <w:rFonts w:asciiTheme="majorHAnsi" w:hAnsiTheme="majorHAnsi" w:cstheme="minorHAnsi"/>
          <w:sz w:val="24"/>
          <w:szCs w:val="24"/>
        </w:rPr>
        <w:t>a</w:t>
      </w:r>
      <w:r w:rsidR="00011BB3">
        <w:rPr>
          <w:rFonts w:asciiTheme="majorHAnsi" w:hAnsiTheme="majorHAnsi" w:cstheme="minorHAnsi"/>
          <w:sz w:val="24"/>
          <w:szCs w:val="24"/>
        </w:rPr>
        <w:t>ză</w:t>
      </w:r>
      <w:r w:rsidRPr="00381DA2">
        <w:rPr>
          <w:rFonts w:asciiTheme="majorHAnsi" w:hAnsiTheme="majorHAnsi" w:cstheme="minorHAnsi"/>
          <w:sz w:val="24"/>
          <w:szCs w:val="24"/>
        </w:rPr>
        <w:t xml:space="preserve"> că, în pofida faptului că în trimestru</w:t>
      </w:r>
      <w:r w:rsidR="00011BB3">
        <w:rPr>
          <w:rFonts w:asciiTheme="majorHAnsi" w:hAnsiTheme="majorHAnsi" w:cstheme="minorHAnsi"/>
          <w:sz w:val="24"/>
          <w:szCs w:val="24"/>
        </w:rPr>
        <w:t>l</w:t>
      </w:r>
      <w:r w:rsidRPr="00381DA2">
        <w:rPr>
          <w:rFonts w:asciiTheme="majorHAnsi" w:hAnsiTheme="majorHAnsi" w:cstheme="minorHAnsi"/>
          <w:sz w:val="24"/>
          <w:szCs w:val="24"/>
        </w:rPr>
        <w:t xml:space="preserve"> IV al anului 2020  CSJ a oferit explicații </w:t>
      </w:r>
      <w:r w:rsidR="001E7F9E">
        <w:rPr>
          <w:rFonts w:asciiTheme="majorHAnsi" w:hAnsiTheme="majorHAnsi" w:cstheme="minorHAnsi"/>
          <w:sz w:val="24"/>
          <w:szCs w:val="24"/>
        </w:rPr>
        <w:t>despre</w:t>
      </w:r>
      <w:r w:rsidRPr="00381DA2">
        <w:rPr>
          <w:rFonts w:asciiTheme="majorHAnsi" w:hAnsiTheme="majorHAnsi" w:cstheme="minorHAnsi"/>
          <w:sz w:val="24"/>
          <w:szCs w:val="24"/>
        </w:rPr>
        <w:t xml:space="preserve"> aplicarea corectă și uniformă a legislației privind solicitarea asistenței juridice calificate în cazurile </w:t>
      </w:r>
      <w:r w:rsidR="00011BB3">
        <w:rPr>
          <w:rFonts w:asciiTheme="majorHAnsi" w:hAnsiTheme="majorHAnsi" w:cstheme="minorHAnsi"/>
          <w:sz w:val="24"/>
          <w:szCs w:val="24"/>
        </w:rPr>
        <w:t>în care</w:t>
      </w:r>
      <w:r w:rsidRPr="00381DA2">
        <w:rPr>
          <w:rFonts w:asciiTheme="majorHAnsi" w:hAnsiTheme="majorHAnsi" w:cstheme="minorHAnsi"/>
        </w:rPr>
        <w:t xml:space="preserve"> </w:t>
      </w:r>
      <w:r w:rsidRPr="00381DA2">
        <w:rPr>
          <w:rFonts w:asciiTheme="majorHAnsi" w:hAnsiTheme="majorHAnsi" w:cstheme="minorHAnsi"/>
          <w:sz w:val="24"/>
          <w:szCs w:val="24"/>
        </w:rPr>
        <w:t>interesele justiției cer participarea avocatului în ședință de judecată (</w:t>
      </w:r>
      <w:r w:rsidRPr="00381DA2">
        <w:rPr>
          <w:rFonts w:asciiTheme="majorHAnsi" w:hAnsiTheme="majorHAnsi" w:cstheme="minorHAnsi"/>
          <w:i/>
          <w:sz w:val="24"/>
          <w:szCs w:val="24"/>
        </w:rPr>
        <w:t>fiind indicat expres că aceasta ține de competența procurorului sau a instanței de judecată</w:t>
      </w:r>
      <w:r w:rsidRPr="00381DA2">
        <w:rPr>
          <w:rFonts w:asciiTheme="majorHAnsi" w:hAnsiTheme="majorHAnsi" w:cstheme="minorHAnsi"/>
          <w:sz w:val="24"/>
          <w:szCs w:val="24"/>
        </w:rPr>
        <w:t>), se constată că și în perioadele ulterioare acesteia a continuat practica de solicitare și acordare a AJGS fără a fi respectate prevederile actului CSJ menționat supra sau în lipsa ordonanțelor/demersurilor procurorilor privind solicitarea prezenței avocatului la etapele de adjudecare</w:t>
      </w:r>
      <w:r w:rsidR="00011BB3">
        <w:rPr>
          <w:rFonts w:asciiTheme="majorHAnsi" w:hAnsiTheme="majorHAnsi" w:cstheme="minorHAnsi"/>
          <w:sz w:val="24"/>
          <w:szCs w:val="24"/>
        </w:rPr>
        <w:t xml:space="preserve"> </w:t>
      </w:r>
      <w:r w:rsidRPr="00381DA2">
        <w:rPr>
          <w:rFonts w:asciiTheme="majorHAnsi" w:hAnsiTheme="majorHAnsi" w:cstheme="minorHAnsi"/>
          <w:sz w:val="24"/>
          <w:szCs w:val="24"/>
        </w:rPr>
        <w:t>a cauzei în instanță de judecată.</w:t>
      </w:r>
    </w:p>
    <w:p w14:paraId="51649AD4" w14:textId="61C0BED2" w:rsidR="00FD339F" w:rsidRPr="00381DA2" w:rsidRDefault="00FD339F" w:rsidP="003A66EF">
      <w:pPr>
        <w:pStyle w:val="ListParagraph"/>
        <w:numPr>
          <w:ilvl w:val="0"/>
          <w:numId w:val="32"/>
        </w:numPr>
        <w:tabs>
          <w:tab w:val="left" w:pos="270"/>
        </w:tabs>
        <w:spacing w:after="120" w:line="276" w:lineRule="auto"/>
        <w:ind w:left="0" w:firstLine="360"/>
        <w:contextualSpacing w:val="0"/>
        <w:jc w:val="both"/>
        <w:rPr>
          <w:rFonts w:asciiTheme="majorHAnsi" w:hAnsiTheme="majorHAnsi" w:cstheme="minorHAnsi"/>
          <w:color w:val="0070C0"/>
          <w:sz w:val="24"/>
          <w:szCs w:val="24"/>
        </w:rPr>
      </w:pPr>
      <w:r w:rsidRPr="00381DA2">
        <w:rPr>
          <w:rFonts w:asciiTheme="majorHAnsi" w:hAnsiTheme="majorHAnsi" w:cstheme="minorHAnsi"/>
          <w:color w:val="0070C0"/>
          <w:sz w:val="24"/>
          <w:szCs w:val="24"/>
        </w:rPr>
        <w:t xml:space="preserve">Deși CNAJGS a întocmit demersuri privind necesitatea revizuirii cadrului normativ aferent acordării AJGS, inclusiv </w:t>
      </w:r>
      <w:r w:rsidR="00011BB3">
        <w:rPr>
          <w:rFonts w:asciiTheme="majorHAnsi" w:hAnsiTheme="majorHAnsi" w:cstheme="minorHAnsi"/>
          <w:color w:val="0070C0"/>
          <w:sz w:val="24"/>
          <w:szCs w:val="24"/>
        </w:rPr>
        <w:t>de</w:t>
      </w:r>
      <w:r w:rsidRPr="00381DA2">
        <w:rPr>
          <w:rFonts w:asciiTheme="majorHAnsi" w:hAnsiTheme="majorHAnsi" w:cstheme="minorHAnsi"/>
          <w:color w:val="0070C0"/>
          <w:sz w:val="24"/>
          <w:szCs w:val="24"/>
        </w:rPr>
        <w:t xml:space="preserve"> remedier</w:t>
      </w:r>
      <w:r w:rsidR="00011BB3">
        <w:rPr>
          <w:rFonts w:asciiTheme="majorHAnsi" w:hAnsiTheme="majorHAnsi" w:cstheme="minorHAnsi"/>
          <w:color w:val="0070C0"/>
          <w:sz w:val="24"/>
          <w:szCs w:val="24"/>
        </w:rPr>
        <w:t>e a</w:t>
      </w:r>
      <w:r w:rsidRPr="00381DA2">
        <w:rPr>
          <w:rFonts w:asciiTheme="majorHAnsi" w:hAnsiTheme="majorHAnsi" w:cstheme="minorHAnsi"/>
          <w:color w:val="0070C0"/>
          <w:sz w:val="24"/>
          <w:szCs w:val="24"/>
        </w:rPr>
        <w:t xml:space="preserve"> </w:t>
      </w:r>
      <w:r w:rsidR="00CA3F2B">
        <w:rPr>
          <w:rFonts w:asciiTheme="majorHAnsi" w:hAnsiTheme="majorHAnsi" w:cstheme="minorHAnsi"/>
          <w:color w:val="0070C0"/>
          <w:sz w:val="24"/>
          <w:szCs w:val="24"/>
        </w:rPr>
        <w:t xml:space="preserve">ambiguităților relatate supra, </w:t>
      </w:r>
      <w:r w:rsidRPr="00381DA2">
        <w:rPr>
          <w:rFonts w:asciiTheme="majorHAnsi" w:hAnsiTheme="majorHAnsi" w:cstheme="minorHAnsi"/>
          <w:color w:val="0070C0"/>
          <w:sz w:val="24"/>
          <w:szCs w:val="24"/>
        </w:rPr>
        <w:t xml:space="preserve">acest proces nu are </w:t>
      </w:r>
      <w:r w:rsidR="00CA3F2B">
        <w:rPr>
          <w:rFonts w:asciiTheme="majorHAnsi" w:hAnsiTheme="majorHAnsi" w:cstheme="minorHAnsi"/>
          <w:color w:val="0070C0"/>
          <w:sz w:val="24"/>
          <w:szCs w:val="24"/>
        </w:rPr>
        <w:t>finalitate, aflându-se la etapa</w:t>
      </w:r>
      <w:r w:rsidRPr="00381DA2">
        <w:rPr>
          <w:rFonts w:asciiTheme="majorHAnsi" w:hAnsiTheme="majorHAnsi" w:cstheme="minorHAnsi"/>
          <w:color w:val="0070C0"/>
          <w:sz w:val="24"/>
          <w:szCs w:val="24"/>
        </w:rPr>
        <w:t xml:space="preserve"> de examinare</w:t>
      </w:r>
      <w:r w:rsidR="00011BB3">
        <w:rPr>
          <w:rFonts w:asciiTheme="majorHAnsi" w:hAnsiTheme="majorHAnsi" w:cstheme="minorHAnsi"/>
          <w:color w:val="0070C0"/>
          <w:sz w:val="24"/>
          <w:szCs w:val="24"/>
        </w:rPr>
        <w:t>.</w:t>
      </w:r>
    </w:p>
    <w:p w14:paraId="1B94A277" w14:textId="0527F0CB" w:rsidR="00FD339F" w:rsidRPr="00381DA2" w:rsidRDefault="00FD339F" w:rsidP="003A66EF">
      <w:pPr>
        <w:pStyle w:val="ListParagraph"/>
        <w:tabs>
          <w:tab w:val="left" w:pos="270"/>
        </w:tabs>
        <w:autoSpaceDE w:val="0"/>
        <w:autoSpaceDN w:val="0"/>
        <w:adjustRightInd w:val="0"/>
        <w:spacing w:after="120" w:line="276" w:lineRule="auto"/>
        <w:ind w:left="0"/>
        <w:jc w:val="both"/>
        <w:rPr>
          <w:rFonts w:asciiTheme="majorHAnsi" w:eastAsia="Times New Roman" w:hAnsiTheme="majorHAnsi" w:cstheme="minorHAnsi"/>
          <w:color w:val="000000" w:themeColor="text1"/>
          <w:sz w:val="24"/>
          <w:szCs w:val="24"/>
          <w:lang w:val="ro-MD"/>
        </w:rPr>
      </w:pPr>
      <w:r w:rsidRPr="00381DA2">
        <w:rPr>
          <w:rFonts w:asciiTheme="majorHAnsi" w:eastAsia="Times New Roman" w:hAnsiTheme="majorHAnsi" w:cstheme="minorHAnsi"/>
          <w:color w:val="000000" w:themeColor="text1"/>
          <w:sz w:val="24"/>
          <w:szCs w:val="24"/>
          <w:lang w:val="ro-MD"/>
        </w:rPr>
        <w:t>CNAJGS a sesizat necesitatea îmbunătățirii practicilor cotidiene de acordare a asistentei juridice</w:t>
      </w:r>
      <w:r w:rsidR="00CA3F2B">
        <w:rPr>
          <w:rFonts w:asciiTheme="majorHAnsi" w:eastAsia="Times New Roman" w:hAnsiTheme="majorHAnsi" w:cstheme="minorHAnsi"/>
          <w:color w:val="000000" w:themeColor="text1"/>
          <w:sz w:val="24"/>
          <w:szCs w:val="24"/>
          <w:lang w:val="ro-MD"/>
        </w:rPr>
        <w:t xml:space="preserve"> garantate de stat, constatând </w:t>
      </w:r>
      <w:r w:rsidRPr="00381DA2">
        <w:rPr>
          <w:rFonts w:asciiTheme="majorHAnsi" w:eastAsia="Times New Roman" w:hAnsiTheme="majorHAnsi" w:cstheme="minorHAnsi"/>
          <w:color w:val="000000" w:themeColor="text1"/>
          <w:sz w:val="24"/>
          <w:szCs w:val="24"/>
          <w:lang w:val="ro-MD"/>
        </w:rPr>
        <w:t xml:space="preserve">o serie de aspecte conceptuale ce urmează a fi soluționate prin modificarea legislației ce vizează condițiile </w:t>
      </w:r>
      <w:proofErr w:type="spellStart"/>
      <w:r w:rsidRPr="00381DA2">
        <w:rPr>
          <w:rFonts w:asciiTheme="majorHAnsi" w:eastAsia="Times New Roman" w:hAnsiTheme="majorHAnsi" w:cstheme="minorHAnsi"/>
          <w:color w:val="000000" w:themeColor="text1"/>
          <w:sz w:val="24"/>
          <w:szCs w:val="24"/>
          <w:lang w:val="ro-MD"/>
        </w:rPr>
        <w:t>şi</w:t>
      </w:r>
      <w:proofErr w:type="spellEnd"/>
      <w:r w:rsidRPr="00381DA2">
        <w:rPr>
          <w:rFonts w:asciiTheme="majorHAnsi" w:eastAsia="Times New Roman" w:hAnsiTheme="majorHAnsi" w:cstheme="minorHAnsi"/>
          <w:color w:val="000000" w:themeColor="text1"/>
          <w:sz w:val="24"/>
          <w:szCs w:val="24"/>
          <w:lang w:val="ro-MD"/>
        </w:rPr>
        <w:t xml:space="preserve"> procedura de acordare a AJGS, pentru a elimina, pe de o parte, cazurile de abuz și de a facilita, pe de altă parte, accesarea sistemului de către anumite categorii </w:t>
      </w:r>
      <w:r w:rsidR="000C747E">
        <w:rPr>
          <w:rFonts w:asciiTheme="majorHAnsi" w:eastAsia="Times New Roman" w:hAnsiTheme="majorHAnsi" w:cstheme="minorHAnsi"/>
          <w:color w:val="000000" w:themeColor="text1"/>
          <w:sz w:val="24"/>
          <w:szCs w:val="24"/>
          <w:lang w:val="ro-MD"/>
        </w:rPr>
        <w:t xml:space="preserve">de populație </w:t>
      </w:r>
      <w:r w:rsidRPr="00381DA2">
        <w:rPr>
          <w:rFonts w:asciiTheme="majorHAnsi" w:eastAsia="Times New Roman" w:hAnsiTheme="majorHAnsi" w:cstheme="minorHAnsi"/>
          <w:color w:val="000000" w:themeColor="text1"/>
          <w:sz w:val="24"/>
          <w:szCs w:val="24"/>
          <w:lang w:val="ro-MD"/>
        </w:rPr>
        <w:t xml:space="preserve">defavorizate. Modificările înaintate de CNAJGS vizează </w:t>
      </w:r>
      <w:r w:rsidR="0082226F" w:rsidRPr="00381DA2">
        <w:rPr>
          <w:rFonts w:asciiTheme="majorHAnsi" w:eastAsia="Times New Roman" w:hAnsiTheme="majorHAnsi" w:cstheme="minorHAnsi"/>
          <w:color w:val="000000" w:themeColor="text1"/>
          <w:sz w:val="24"/>
          <w:szCs w:val="24"/>
          <w:lang w:val="ro-MD"/>
        </w:rPr>
        <w:t>atât</w:t>
      </w:r>
      <w:r w:rsidRPr="00381DA2">
        <w:rPr>
          <w:rFonts w:asciiTheme="majorHAnsi" w:eastAsia="Times New Roman" w:hAnsiTheme="majorHAnsi" w:cstheme="minorHAnsi"/>
          <w:color w:val="000000" w:themeColor="text1"/>
          <w:sz w:val="24"/>
          <w:szCs w:val="24"/>
          <w:lang w:val="ro-MD"/>
        </w:rPr>
        <w:t xml:space="preserve"> excluderea aspectului ce ține de acordarea AJGS pe motiv că persoanele nu posedă sau posedă în măsură insuficientă limba în care se desfășoară procesul penal</w:t>
      </w:r>
      <w:r w:rsidR="00011BB3">
        <w:rPr>
          <w:rFonts w:asciiTheme="majorHAnsi" w:eastAsia="Times New Roman" w:hAnsiTheme="majorHAnsi" w:cstheme="minorHAnsi"/>
          <w:color w:val="000000" w:themeColor="text1"/>
          <w:sz w:val="24"/>
          <w:szCs w:val="24"/>
          <w:lang w:val="ro-MD"/>
        </w:rPr>
        <w:t>,</w:t>
      </w:r>
      <w:r w:rsidRPr="00381DA2">
        <w:rPr>
          <w:rFonts w:asciiTheme="majorHAnsi" w:eastAsia="Times New Roman" w:hAnsiTheme="majorHAnsi" w:cstheme="minorHAnsi"/>
          <w:color w:val="000000" w:themeColor="text1"/>
          <w:sz w:val="24"/>
          <w:szCs w:val="24"/>
          <w:lang w:val="ro-MD"/>
        </w:rPr>
        <w:t xml:space="preserve"> </w:t>
      </w:r>
      <w:r w:rsidR="0082226F" w:rsidRPr="00381DA2">
        <w:rPr>
          <w:rFonts w:asciiTheme="majorHAnsi" w:eastAsia="Times New Roman" w:hAnsiTheme="majorHAnsi" w:cstheme="minorHAnsi"/>
          <w:color w:val="000000" w:themeColor="text1"/>
          <w:sz w:val="24"/>
          <w:szCs w:val="24"/>
          <w:lang w:val="ro-MD"/>
        </w:rPr>
        <w:t>cât</w:t>
      </w:r>
      <w:r w:rsidRPr="00381DA2">
        <w:rPr>
          <w:rFonts w:asciiTheme="majorHAnsi" w:eastAsia="Times New Roman" w:hAnsiTheme="majorHAnsi" w:cstheme="minorHAnsi"/>
          <w:color w:val="000000" w:themeColor="text1"/>
          <w:sz w:val="24"/>
          <w:szCs w:val="24"/>
          <w:lang w:val="ro-MD"/>
        </w:rPr>
        <w:t xml:space="preserve"> și expunerea în redacție nouă</w:t>
      </w:r>
      <w:r w:rsidRPr="00381DA2">
        <w:rPr>
          <w:rStyle w:val="FootnoteReference"/>
          <w:rFonts w:asciiTheme="majorHAnsi" w:eastAsia="Times New Roman" w:hAnsiTheme="majorHAnsi" w:cstheme="minorHAnsi"/>
          <w:color w:val="000000" w:themeColor="text1"/>
          <w:sz w:val="24"/>
          <w:szCs w:val="24"/>
          <w:lang w:val="ro-MD"/>
        </w:rPr>
        <w:footnoteReference w:id="19"/>
      </w:r>
      <w:r w:rsidRPr="00381DA2">
        <w:rPr>
          <w:rFonts w:asciiTheme="majorHAnsi" w:eastAsia="Times New Roman" w:hAnsiTheme="majorHAnsi" w:cstheme="minorHAnsi"/>
          <w:color w:val="000000" w:themeColor="text1"/>
          <w:sz w:val="24"/>
          <w:szCs w:val="24"/>
          <w:lang w:val="ro-MD"/>
        </w:rPr>
        <w:t xml:space="preserve"> a celui privind </w:t>
      </w:r>
      <w:r w:rsidR="00656376">
        <w:rPr>
          <w:rFonts w:asciiTheme="majorHAnsi" w:eastAsia="Times New Roman" w:hAnsiTheme="majorHAnsi" w:cstheme="minorHAnsi"/>
          <w:color w:val="000000" w:themeColor="text1"/>
          <w:sz w:val="24"/>
          <w:szCs w:val="24"/>
          <w:lang w:val="ro-MD"/>
        </w:rPr>
        <w:t xml:space="preserve">faptul că </w:t>
      </w:r>
      <w:r w:rsidRPr="00381DA2">
        <w:rPr>
          <w:rFonts w:asciiTheme="majorHAnsi" w:eastAsia="Times New Roman" w:hAnsiTheme="majorHAnsi" w:cstheme="minorHAnsi"/>
          <w:color w:val="000000" w:themeColor="text1"/>
          <w:sz w:val="24"/>
          <w:szCs w:val="24"/>
          <w:lang w:val="ro-MD"/>
        </w:rPr>
        <w:t>interesele justiției cer participarea avocatului în ședinț</w:t>
      </w:r>
      <w:r w:rsidR="00656376">
        <w:rPr>
          <w:rFonts w:asciiTheme="majorHAnsi" w:eastAsia="Times New Roman" w:hAnsiTheme="majorHAnsi" w:cstheme="minorHAnsi"/>
          <w:color w:val="000000" w:themeColor="text1"/>
          <w:sz w:val="24"/>
          <w:szCs w:val="24"/>
          <w:lang w:val="ro-MD"/>
        </w:rPr>
        <w:t>a</w:t>
      </w:r>
      <w:r w:rsidRPr="00381DA2">
        <w:rPr>
          <w:rFonts w:asciiTheme="majorHAnsi" w:eastAsia="Times New Roman" w:hAnsiTheme="majorHAnsi" w:cstheme="minorHAnsi"/>
          <w:color w:val="000000" w:themeColor="text1"/>
          <w:sz w:val="24"/>
          <w:szCs w:val="24"/>
          <w:lang w:val="ro-MD"/>
        </w:rPr>
        <w:t xml:space="preserve"> de judecată în primă instanță, în apel și în recurs, precum și la judecarea cauze</w:t>
      </w:r>
      <w:r w:rsidR="00CA3F2B">
        <w:rPr>
          <w:rFonts w:asciiTheme="majorHAnsi" w:eastAsia="Times New Roman" w:hAnsiTheme="majorHAnsi" w:cstheme="minorHAnsi"/>
          <w:color w:val="000000" w:themeColor="text1"/>
          <w:sz w:val="24"/>
          <w:szCs w:val="24"/>
          <w:lang w:val="ro-MD"/>
        </w:rPr>
        <w:t>i pe cale extraordinară de atac</w:t>
      </w:r>
      <w:r w:rsidRPr="00381DA2">
        <w:rPr>
          <w:rFonts w:asciiTheme="majorHAnsi" w:eastAsia="Times New Roman" w:hAnsiTheme="majorHAnsi" w:cstheme="minorHAnsi"/>
          <w:color w:val="000000" w:themeColor="text1"/>
          <w:sz w:val="24"/>
          <w:szCs w:val="24"/>
          <w:lang w:val="ro-MD"/>
        </w:rPr>
        <w:t xml:space="preserve">. Deși încă în luna martie 2022 a fost creat </w:t>
      </w:r>
      <w:r w:rsidRPr="003F7196">
        <w:rPr>
          <w:rFonts w:asciiTheme="majorHAnsi" w:eastAsia="Times New Roman" w:hAnsiTheme="majorHAnsi" w:cstheme="minorHAnsi"/>
          <w:color w:val="000000" w:themeColor="text1"/>
          <w:sz w:val="24"/>
          <w:szCs w:val="24"/>
          <w:lang w:val="ro-MD"/>
        </w:rPr>
        <w:t>un grup de lucru</w:t>
      </w:r>
      <w:r w:rsidRPr="003F7196">
        <w:rPr>
          <w:rFonts w:asciiTheme="majorHAnsi" w:eastAsia="Times New Roman" w:hAnsiTheme="majorHAnsi" w:cstheme="minorHAnsi"/>
          <w:color w:val="000000" w:themeColor="text1"/>
          <w:sz w:val="24"/>
          <w:szCs w:val="24"/>
          <w:vertAlign w:val="superscript"/>
        </w:rPr>
        <w:footnoteReference w:id="20"/>
      </w:r>
      <w:r w:rsidRPr="003F7196">
        <w:rPr>
          <w:rFonts w:asciiTheme="majorHAnsi" w:eastAsia="Times New Roman" w:hAnsiTheme="majorHAnsi" w:cstheme="minorHAnsi"/>
          <w:color w:val="000000" w:themeColor="text1"/>
          <w:sz w:val="24"/>
          <w:szCs w:val="24"/>
          <w:lang w:val="ro-MD"/>
        </w:rPr>
        <w:t xml:space="preserve"> responsabil de modificarea cadrului normativ penal </w:t>
      </w:r>
      <w:r w:rsidR="0082226F" w:rsidRPr="003F7196">
        <w:rPr>
          <w:rFonts w:asciiTheme="majorHAnsi" w:eastAsia="Times New Roman" w:hAnsiTheme="majorHAnsi" w:cstheme="minorHAnsi"/>
          <w:color w:val="000000" w:themeColor="text1"/>
          <w:sz w:val="24"/>
          <w:szCs w:val="24"/>
          <w:lang w:val="ro-MD"/>
        </w:rPr>
        <w:t>și</w:t>
      </w:r>
      <w:r w:rsidRPr="003F7196">
        <w:rPr>
          <w:rFonts w:asciiTheme="majorHAnsi" w:eastAsia="Times New Roman" w:hAnsiTheme="majorHAnsi" w:cstheme="minorHAnsi"/>
          <w:color w:val="000000" w:themeColor="text1"/>
          <w:sz w:val="24"/>
          <w:szCs w:val="24"/>
          <w:lang w:val="ro-MD"/>
        </w:rPr>
        <w:t xml:space="preserve"> procesual penal, </w:t>
      </w:r>
      <w:r w:rsidR="001E7F9E" w:rsidRPr="003F7196">
        <w:rPr>
          <w:rFonts w:asciiTheme="majorHAnsi" w:eastAsia="Times New Roman" w:hAnsiTheme="majorHAnsi" w:cstheme="minorHAnsi"/>
          <w:color w:val="000000" w:themeColor="text1"/>
          <w:sz w:val="24"/>
          <w:szCs w:val="24"/>
          <w:lang w:val="ro-MD"/>
        </w:rPr>
        <w:t>care a</w:t>
      </w:r>
      <w:r w:rsidRPr="003F7196">
        <w:rPr>
          <w:rFonts w:asciiTheme="majorHAnsi" w:eastAsia="Times New Roman" w:hAnsiTheme="majorHAnsi" w:cstheme="minorHAnsi"/>
          <w:color w:val="000000" w:themeColor="text1"/>
          <w:sz w:val="24"/>
          <w:szCs w:val="24"/>
          <w:lang w:val="ro-MD"/>
        </w:rPr>
        <w:t xml:space="preserve">  prezentat propunerile de modificare a art. 69-72 </w:t>
      </w:r>
      <w:r w:rsidR="001C0EAD" w:rsidRPr="003F7196">
        <w:rPr>
          <w:rFonts w:asciiTheme="majorHAnsi" w:eastAsia="Times New Roman" w:hAnsiTheme="majorHAnsi" w:cstheme="minorHAnsi"/>
          <w:color w:val="000000" w:themeColor="text1"/>
          <w:sz w:val="24"/>
          <w:szCs w:val="24"/>
          <w:lang w:val="ro-MD"/>
        </w:rPr>
        <w:t xml:space="preserve">din </w:t>
      </w:r>
      <w:r w:rsidRPr="003F7196">
        <w:rPr>
          <w:rFonts w:asciiTheme="majorHAnsi" w:eastAsia="Times New Roman" w:hAnsiTheme="majorHAnsi" w:cstheme="minorHAnsi"/>
          <w:color w:val="000000" w:themeColor="text1"/>
          <w:sz w:val="24"/>
          <w:szCs w:val="24"/>
          <w:lang w:val="ro-MD"/>
        </w:rPr>
        <w:t xml:space="preserve">CPP, aceste </w:t>
      </w:r>
      <w:r w:rsidRPr="00D341A8">
        <w:rPr>
          <w:rFonts w:asciiTheme="majorHAnsi" w:eastAsia="Times New Roman" w:hAnsiTheme="majorHAnsi" w:cstheme="minorHAnsi"/>
          <w:color w:val="000000" w:themeColor="text1"/>
          <w:sz w:val="24"/>
          <w:szCs w:val="24"/>
          <w:lang w:val="ro-MD"/>
        </w:rPr>
        <w:t>acțiuni nu au finalitate și se află în</w:t>
      </w:r>
      <w:r w:rsidRPr="003F7196">
        <w:rPr>
          <w:rFonts w:asciiTheme="majorHAnsi" w:eastAsia="Times New Roman" w:hAnsiTheme="majorHAnsi" w:cstheme="minorHAnsi"/>
          <w:color w:val="000000" w:themeColor="text1"/>
          <w:sz w:val="24"/>
          <w:szCs w:val="24"/>
          <w:lang w:val="ro-MD"/>
        </w:rPr>
        <w:t xml:space="preserve"> proces de examinare la </w:t>
      </w:r>
      <w:r w:rsidR="007311A4" w:rsidRPr="003F7196">
        <w:rPr>
          <w:rFonts w:asciiTheme="majorHAnsi" w:eastAsia="Times New Roman" w:hAnsiTheme="majorHAnsi" w:cstheme="minorHAnsi"/>
          <w:color w:val="000000" w:themeColor="text1"/>
          <w:sz w:val="24"/>
          <w:szCs w:val="24"/>
          <w:lang w:val="ro-MD"/>
        </w:rPr>
        <w:t>MJ</w:t>
      </w:r>
      <w:r w:rsidRPr="003F7196">
        <w:rPr>
          <w:rFonts w:asciiTheme="majorHAnsi" w:eastAsia="Times New Roman" w:hAnsiTheme="majorHAnsi" w:cstheme="minorHAnsi"/>
          <w:color w:val="000000" w:themeColor="text1"/>
          <w:sz w:val="24"/>
          <w:szCs w:val="24"/>
          <w:lang w:val="ro-MD"/>
        </w:rPr>
        <w:t>.</w:t>
      </w:r>
    </w:p>
    <w:p w14:paraId="302974D7" w14:textId="602D8612" w:rsidR="00FD339F" w:rsidRPr="00381DA2" w:rsidRDefault="00FD339F" w:rsidP="00A02682">
      <w:pPr>
        <w:pStyle w:val="Heading3"/>
        <w:numPr>
          <w:ilvl w:val="2"/>
          <w:numId w:val="48"/>
        </w:numPr>
        <w:tabs>
          <w:tab w:val="left" w:pos="360"/>
          <w:tab w:val="left" w:pos="540"/>
          <w:tab w:val="left" w:pos="630"/>
        </w:tabs>
        <w:spacing w:before="240" w:after="120" w:line="276" w:lineRule="auto"/>
        <w:ind w:left="0" w:firstLine="0"/>
        <w:jc w:val="both"/>
        <w:rPr>
          <w:rFonts w:cstheme="minorHAnsi"/>
          <w:b/>
          <w:i/>
          <w:color w:val="0070C0"/>
        </w:rPr>
      </w:pPr>
      <w:bookmarkStart w:id="26" w:name="_Toc125368185"/>
      <w:bookmarkStart w:id="27" w:name="_Toc128640811"/>
      <w:r w:rsidRPr="00381DA2">
        <w:rPr>
          <w:rFonts w:cstheme="minorHAnsi"/>
          <w:b/>
          <w:i/>
          <w:color w:val="0070C0"/>
        </w:rPr>
        <w:t>Există deficiențe la solicitarea</w:t>
      </w:r>
      <w:r w:rsidR="007311A4" w:rsidRPr="00381DA2">
        <w:rPr>
          <w:rFonts w:cstheme="minorHAnsi"/>
          <w:b/>
          <w:i/>
          <w:color w:val="0070C0"/>
        </w:rPr>
        <w:t xml:space="preserve"> și acordarea </w:t>
      </w:r>
      <w:r w:rsidR="00C70EBD" w:rsidRPr="00381DA2">
        <w:rPr>
          <w:rFonts w:cstheme="minorHAnsi"/>
          <w:b/>
          <w:i/>
          <w:color w:val="0070C0"/>
        </w:rPr>
        <w:t>AJGS persoanelor</w:t>
      </w:r>
      <w:r w:rsidRPr="00381DA2">
        <w:rPr>
          <w:rFonts w:cstheme="minorHAnsi"/>
          <w:b/>
          <w:i/>
          <w:color w:val="0070C0"/>
        </w:rPr>
        <w:t xml:space="preserve"> juridice</w:t>
      </w:r>
      <w:bookmarkEnd w:id="26"/>
      <w:r w:rsidR="00355A4F">
        <w:rPr>
          <w:rFonts w:cstheme="minorHAnsi"/>
          <w:b/>
          <w:i/>
          <w:color w:val="0070C0"/>
        </w:rPr>
        <w:t>.</w:t>
      </w:r>
      <w:bookmarkEnd w:id="27"/>
    </w:p>
    <w:p w14:paraId="41742C21" w14:textId="4BCECD72" w:rsidR="00FD339F" w:rsidRPr="00381DA2" w:rsidRDefault="00FD339F" w:rsidP="003A66EF">
      <w:pPr>
        <w:spacing w:line="276" w:lineRule="auto"/>
        <w:jc w:val="both"/>
        <w:rPr>
          <w:rFonts w:asciiTheme="majorHAnsi" w:eastAsia="Times New Roman" w:hAnsiTheme="majorHAnsi" w:cstheme="minorHAnsi"/>
          <w:color w:val="000000" w:themeColor="text1"/>
          <w:sz w:val="24"/>
          <w:szCs w:val="24"/>
        </w:rPr>
      </w:pPr>
      <w:r w:rsidRPr="00381DA2">
        <w:rPr>
          <w:rFonts w:asciiTheme="majorHAnsi" w:eastAsia="Times New Roman" w:hAnsiTheme="majorHAnsi" w:cstheme="minorHAnsi"/>
          <w:color w:val="000000" w:themeColor="text1"/>
          <w:sz w:val="24"/>
          <w:szCs w:val="24"/>
        </w:rPr>
        <w:t>O altă categorie de beneficiari ai asistenței juridice garantate de stat o reprezintă agenții economici pe</w:t>
      </w:r>
      <w:r w:rsidRPr="00381DA2">
        <w:rPr>
          <w:rFonts w:asciiTheme="majorHAnsi" w:eastAsia="Times New Roman" w:hAnsiTheme="majorHAnsi" w:cstheme="minorHAnsi"/>
          <w:i/>
          <w:color w:val="000000" w:themeColor="text1"/>
          <w:sz w:val="24"/>
          <w:szCs w:val="24"/>
        </w:rPr>
        <w:t xml:space="preserve"> </w:t>
      </w:r>
      <w:r w:rsidRPr="00381DA2">
        <w:rPr>
          <w:rStyle w:val="Emphasis"/>
          <w:rFonts w:asciiTheme="majorHAnsi" w:hAnsiTheme="majorHAnsi" w:cstheme="minorHAnsi"/>
          <w:bCs/>
          <w:sz w:val="24"/>
          <w:szCs w:val="24"/>
          <w:shd w:val="clear" w:color="auto" w:fill="FFFFFF"/>
        </w:rPr>
        <w:t>cauzele penale intentate</w:t>
      </w:r>
      <w:r w:rsidRPr="00381DA2">
        <w:rPr>
          <w:rFonts w:asciiTheme="majorHAnsi" w:hAnsiTheme="majorHAnsi" w:cstheme="minorHAnsi"/>
          <w:sz w:val="24"/>
          <w:szCs w:val="24"/>
          <w:shd w:val="clear" w:color="auto" w:fill="FFFFFF"/>
        </w:rPr>
        <w:t> în privința lor, care p</w:t>
      </w:r>
      <w:r w:rsidRPr="00381DA2">
        <w:rPr>
          <w:rFonts w:asciiTheme="majorHAnsi" w:eastAsia="Times New Roman" w:hAnsiTheme="majorHAnsi" w:cstheme="minorHAnsi"/>
          <w:color w:val="000000" w:themeColor="text1"/>
          <w:sz w:val="24"/>
          <w:szCs w:val="24"/>
        </w:rPr>
        <w:t xml:space="preserve">ână în anul 2020 nu dispuneau de acest drept. În </w:t>
      </w:r>
      <w:r w:rsidRPr="00381DA2">
        <w:rPr>
          <w:rFonts w:asciiTheme="majorHAnsi" w:eastAsia="Times New Roman" w:hAnsiTheme="majorHAnsi" w:cstheme="minorHAnsi"/>
          <w:color w:val="000000" w:themeColor="text1"/>
          <w:sz w:val="24"/>
          <w:szCs w:val="24"/>
        </w:rPr>
        <w:lastRenderedPageBreak/>
        <w:t xml:space="preserve">această ordine de idei, prin Legea nr.01 din 06.02.2020 pentru modificarea unor acte normative, la propunerea MJ au </w:t>
      </w:r>
      <w:r w:rsidR="00355A4F">
        <w:rPr>
          <w:rFonts w:asciiTheme="majorHAnsi" w:eastAsia="Times New Roman" w:hAnsiTheme="majorHAnsi" w:cstheme="minorHAnsi"/>
          <w:color w:val="000000" w:themeColor="text1"/>
          <w:sz w:val="24"/>
          <w:szCs w:val="24"/>
        </w:rPr>
        <w:t xml:space="preserve">fost </w:t>
      </w:r>
      <w:r w:rsidRPr="00381DA2">
        <w:rPr>
          <w:rFonts w:asciiTheme="majorHAnsi" w:eastAsia="Times New Roman" w:hAnsiTheme="majorHAnsi" w:cstheme="minorHAnsi"/>
          <w:color w:val="000000" w:themeColor="text1"/>
          <w:sz w:val="24"/>
          <w:szCs w:val="24"/>
        </w:rPr>
        <w:t>completat</w:t>
      </w:r>
      <w:r w:rsidR="00355A4F">
        <w:rPr>
          <w:rFonts w:asciiTheme="majorHAnsi" w:eastAsia="Times New Roman" w:hAnsiTheme="majorHAnsi" w:cstheme="minorHAnsi"/>
          <w:color w:val="000000" w:themeColor="text1"/>
          <w:sz w:val="24"/>
          <w:szCs w:val="24"/>
        </w:rPr>
        <w:t>e</w:t>
      </w:r>
      <w:r w:rsidRPr="00381DA2">
        <w:rPr>
          <w:rFonts w:asciiTheme="majorHAnsi" w:eastAsia="Times New Roman" w:hAnsiTheme="majorHAnsi" w:cstheme="minorHAnsi"/>
          <w:color w:val="000000" w:themeColor="text1"/>
          <w:sz w:val="24"/>
          <w:szCs w:val="24"/>
        </w:rPr>
        <w:t xml:space="preserve"> atât spețele Legii </w:t>
      </w:r>
      <w:r w:rsidR="00355A4F">
        <w:rPr>
          <w:rFonts w:asciiTheme="majorHAnsi" w:eastAsia="Times New Roman" w:hAnsiTheme="majorHAnsi" w:cstheme="minorHAnsi"/>
          <w:color w:val="000000" w:themeColor="text1"/>
          <w:sz w:val="24"/>
          <w:szCs w:val="24"/>
        </w:rPr>
        <w:t>nr.</w:t>
      </w:r>
      <w:r w:rsidRPr="00381DA2">
        <w:rPr>
          <w:rFonts w:asciiTheme="majorHAnsi" w:eastAsia="Times New Roman" w:hAnsiTheme="majorHAnsi" w:cstheme="minorHAnsi"/>
          <w:color w:val="000000" w:themeColor="text1"/>
          <w:sz w:val="24"/>
          <w:szCs w:val="24"/>
        </w:rPr>
        <w:t>198/2007</w:t>
      </w:r>
      <w:r w:rsidR="00355A4F">
        <w:rPr>
          <w:rFonts w:asciiTheme="majorHAnsi" w:eastAsia="Times New Roman" w:hAnsiTheme="majorHAnsi" w:cstheme="minorHAnsi"/>
          <w:color w:val="000000" w:themeColor="text1"/>
          <w:sz w:val="24"/>
          <w:szCs w:val="24"/>
        </w:rPr>
        <w:t>,</w:t>
      </w:r>
      <w:r w:rsidRPr="00381DA2">
        <w:rPr>
          <w:rFonts w:asciiTheme="majorHAnsi" w:eastAsia="Times New Roman" w:hAnsiTheme="majorHAnsi" w:cstheme="minorHAnsi"/>
          <w:color w:val="000000" w:themeColor="text1"/>
          <w:sz w:val="24"/>
          <w:szCs w:val="24"/>
        </w:rPr>
        <w:t xml:space="preserve"> cât și ale Codului de procedură penală, fiind prevăzute condițiile de solicitare a AJGS de către persoanele juridice. </w:t>
      </w:r>
    </w:p>
    <w:p w14:paraId="20CDC788" w14:textId="73FA807F" w:rsidR="00FD339F" w:rsidRPr="00381DA2" w:rsidRDefault="00FD339F" w:rsidP="003A66EF">
      <w:pPr>
        <w:spacing w:line="276" w:lineRule="auto"/>
        <w:jc w:val="both"/>
        <w:rPr>
          <w:rFonts w:asciiTheme="majorHAnsi" w:eastAsia="Times New Roman" w:hAnsiTheme="majorHAnsi" w:cstheme="minorHAnsi"/>
          <w:color w:val="000000" w:themeColor="text1"/>
          <w:sz w:val="24"/>
          <w:szCs w:val="24"/>
        </w:rPr>
      </w:pPr>
      <w:r w:rsidRPr="00381DA2">
        <w:rPr>
          <w:rFonts w:asciiTheme="majorHAnsi" w:eastAsia="Times New Roman" w:hAnsiTheme="majorHAnsi" w:cstheme="minorHAnsi"/>
          <w:color w:val="000000" w:themeColor="text1"/>
          <w:sz w:val="24"/>
          <w:szCs w:val="24"/>
        </w:rPr>
        <w:t xml:space="preserve">Deși, în perioada 2020-2022, OT ale CNAJGS au făcut uz de această normă într-un număr nesemnificativ de cazuri (din cele 36 </w:t>
      </w:r>
      <w:r w:rsidR="00355A4F">
        <w:rPr>
          <w:rFonts w:asciiTheme="majorHAnsi" w:eastAsia="Times New Roman" w:hAnsiTheme="majorHAnsi" w:cstheme="minorHAnsi"/>
          <w:color w:val="000000" w:themeColor="text1"/>
          <w:sz w:val="24"/>
          <w:szCs w:val="24"/>
        </w:rPr>
        <w:t xml:space="preserve">de </w:t>
      </w:r>
      <w:r w:rsidRPr="00381DA2">
        <w:rPr>
          <w:rFonts w:asciiTheme="majorHAnsi" w:eastAsia="Times New Roman" w:hAnsiTheme="majorHAnsi" w:cstheme="minorHAnsi"/>
          <w:color w:val="000000" w:themeColor="text1"/>
          <w:sz w:val="24"/>
          <w:szCs w:val="24"/>
        </w:rPr>
        <w:t>solicitări</w:t>
      </w:r>
      <w:r w:rsidR="00355A4F">
        <w:rPr>
          <w:rFonts w:asciiTheme="majorHAnsi" w:eastAsia="Times New Roman" w:hAnsiTheme="majorHAnsi" w:cstheme="minorHAnsi"/>
          <w:color w:val="000000" w:themeColor="text1"/>
          <w:sz w:val="24"/>
          <w:szCs w:val="24"/>
        </w:rPr>
        <w:t>,</w:t>
      </w:r>
      <w:r w:rsidRPr="00381DA2">
        <w:rPr>
          <w:rFonts w:asciiTheme="majorHAnsi" w:eastAsia="Times New Roman" w:hAnsiTheme="majorHAnsi" w:cstheme="minorHAnsi"/>
          <w:color w:val="000000" w:themeColor="text1"/>
          <w:sz w:val="24"/>
          <w:szCs w:val="24"/>
        </w:rPr>
        <w:t xml:space="preserve"> s-au finalizat 19 cazuri), fiind achitate mijloace bănești în sumă de 21,0 mii lei, auditul atestă unele puncte slabe și deficiențe aferente acestui proces, care necesită a fi menționate. Or, în conte</w:t>
      </w:r>
      <w:r w:rsidR="00CA3F2B">
        <w:rPr>
          <w:rFonts w:asciiTheme="majorHAnsi" w:eastAsia="Times New Roman" w:hAnsiTheme="majorHAnsi" w:cstheme="minorHAnsi"/>
          <w:color w:val="000000" w:themeColor="text1"/>
          <w:sz w:val="24"/>
          <w:szCs w:val="24"/>
        </w:rPr>
        <w:t xml:space="preserve">xtul expus, se denotă atât </w:t>
      </w:r>
      <w:r w:rsidRPr="00381DA2">
        <w:rPr>
          <w:rFonts w:asciiTheme="majorHAnsi" w:eastAsia="Times New Roman" w:hAnsiTheme="majorHAnsi" w:cstheme="minorHAnsi"/>
          <w:color w:val="000000" w:themeColor="text1"/>
          <w:sz w:val="24"/>
          <w:szCs w:val="24"/>
        </w:rPr>
        <w:t>lipsa unor norme interne care ar reglementa punerea în practică a solicitării și acordării AJGS persoanelor juridice,</w:t>
      </w:r>
      <w:r w:rsidRPr="00381DA2">
        <w:rPr>
          <w:rFonts w:asciiTheme="majorHAnsi" w:hAnsiTheme="majorHAnsi" w:cstheme="minorHAnsi"/>
        </w:rPr>
        <w:t xml:space="preserve"> </w:t>
      </w:r>
      <w:r w:rsidRPr="00381DA2">
        <w:rPr>
          <w:rFonts w:asciiTheme="majorHAnsi" w:eastAsia="Times New Roman" w:hAnsiTheme="majorHAnsi" w:cstheme="minorHAnsi"/>
          <w:color w:val="000000" w:themeColor="text1"/>
          <w:sz w:val="24"/>
          <w:szCs w:val="24"/>
        </w:rPr>
        <w:t xml:space="preserve">cât și acordarea asistenței juridice unor solicitanți neeligibili. </w:t>
      </w:r>
    </w:p>
    <w:p w14:paraId="116C6235" w14:textId="77777777" w:rsidR="00FD339F" w:rsidRPr="00381DA2" w:rsidRDefault="00FD339F" w:rsidP="003A66EF">
      <w:pPr>
        <w:spacing w:line="276" w:lineRule="auto"/>
        <w:jc w:val="both"/>
        <w:rPr>
          <w:rFonts w:asciiTheme="majorHAnsi" w:eastAsia="Times New Roman" w:hAnsiTheme="majorHAnsi" w:cstheme="minorHAnsi"/>
          <w:color w:val="000000" w:themeColor="text1"/>
          <w:sz w:val="24"/>
          <w:szCs w:val="24"/>
        </w:rPr>
      </w:pPr>
      <w:r w:rsidRPr="00381DA2">
        <w:rPr>
          <w:rFonts w:asciiTheme="majorHAnsi" w:hAnsiTheme="majorHAnsi" w:cstheme="minorHAnsi"/>
          <w:sz w:val="24"/>
          <w:szCs w:val="24"/>
          <w:shd w:val="clear" w:color="auto" w:fill="FFFFFF"/>
        </w:rPr>
        <w:t>În contextul expus se menționează următoarele:</w:t>
      </w:r>
    </w:p>
    <w:p w14:paraId="06004EC5" w14:textId="17F4E1E7" w:rsidR="00FD339F" w:rsidRPr="00381DA2" w:rsidRDefault="00355A4F" w:rsidP="003A66EF">
      <w:pPr>
        <w:pStyle w:val="ListParagraph"/>
        <w:numPr>
          <w:ilvl w:val="0"/>
          <w:numId w:val="10"/>
        </w:numPr>
        <w:tabs>
          <w:tab w:val="left" w:pos="270"/>
        </w:tabs>
        <w:spacing w:line="276" w:lineRule="auto"/>
        <w:ind w:left="0" w:firstLine="270"/>
        <w:contextualSpacing w:val="0"/>
        <w:jc w:val="both"/>
        <w:rPr>
          <w:rFonts w:asciiTheme="majorHAnsi" w:eastAsia="Times New Roman" w:hAnsiTheme="majorHAnsi" w:cstheme="minorHAnsi"/>
          <w:color w:val="000000" w:themeColor="text1"/>
          <w:sz w:val="24"/>
          <w:szCs w:val="24"/>
          <w:lang w:val="ro-MD"/>
        </w:rPr>
      </w:pPr>
      <w:r>
        <w:rPr>
          <w:rFonts w:asciiTheme="majorHAnsi" w:eastAsia="Times New Roman" w:hAnsiTheme="majorHAnsi" w:cstheme="minorHAnsi"/>
          <w:color w:val="000000" w:themeColor="text1"/>
          <w:sz w:val="24"/>
          <w:szCs w:val="24"/>
          <w:lang w:val="ro-MD"/>
        </w:rPr>
        <w:t>p</w:t>
      </w:r>
      <w:r w:rsidR="00FD339F" w:rsidRPr="00381DA2">
        <w:rPr>
          <w:rFonts w:asciiTheme="majorHAnsi" w:eastAsia="Times New Roman" w:hAnsiTheme="majorHAnsi" w:cstheme="minorHAnsi"/>
          <w:color w:val="000000" w:themeColor="text1"/>
          <w:sz w:val="24"/>
          <w:szCs w:val="24"/>
          <w:lang w:val="ro-MD"/>
        </w:rPr>
        <w:t xml:space="preserve">otrivit art. </w:t>
      </w:r>
      <w:r w:rsidR="00FD339F" w:rsidRPr="00381DA2">
        <w:rPr>
          <w:rFonts w:asciiTheme="majorHAnsi" w:eastAsia="Times New Roman" w:hAnsiTheme="majorHAnsi" w:cstheme="minorHAnsi"/>
          <w:sz w:val="24"/>
          <w:szCs w:val="24"/>
          <w:lang w:val="ro-MD"/>
        </w:rPr>
        <w:t>20 lit. (a</w:t>
      </w:r>
      <w:r w:rsidR="00FD339F" w:rsidRPr="00381DA2">
        <w:rPr>
          <w:rFonts w:asciiTheme="majorHAnsi" w:eastAsia="Times New Roman" w:hAnsiTheme="majorHAnsi" w:cstheme="minorHAnsi"/>
          <w:sz w:val="24"/>
          <w:szCs w:val="24"/>
          <w:vertAlign w:val="superscript"/>
          <w:lang w:val="ro-MD"/>
        </w:rPr>
        <w:t>1</w:t>
      </w:r>
      <w:r w:rsidR="00FD339F" w:rsidRPr="00381DA2">
        <w:rPr>
          <w:rFonts w:asciiTheme="majorHAnsi" w:eastAsia="Times New Roman" w:hAnsiTheme="majorHAnsi" w:cstheme="minorHAnsi"/>
          <w:sz w:val="24"/>
          <w:szCs w:val="24"/>
          <w:lang w:val="ro-MD"/>
        </w:rPr>
        <w:t xml:space="preserve">) din Legea </w:t>
      </w:r>
      <w:r>
        <w:rPr>
          <w:rFonts w:asciiTheme="majorHAnsi" w:eastAsia="Times New Roman" w:hAnsiTheme="majorHAnsi" w:cstheme="minorHAnsi"/>
          <w:sz w:val="24"/>
          <w:szCs w:val="24"/>
          <w:lang w:val="ro-MD"/>
        </w:rPr>
        <w:t>nr.</w:t>
      </w:r>
      <w:r w:rsidR="00FD339F" w:rsidRPr="00381DA2">
        <w:rPr>
          <w:rFonts w:asciiTheme="majorHAnsi" w:eastAsia="Times New Roman" w:hAnsiTheme="majorHAnsi" w:cstheme="minorHAnsi"/>
          <w:sz w:val="24"/>
          <w:szCs w:val="24"/>
          <w:lang w:val="ro-MD"/>
        </w:rPr>
        <w:t>198/2007</w:t>
      </w:r>
      <w:r>
        <w:rPr>
          <w:rFonts w:asciiTheme="majorHAnsi" w:eastAsia="Times New Roman" w:hAnsiTheme="majorHAnsi" w:cstheme="minorHAnsi"/>
          <w:sz w:val="24"/>
          <w:szCs w:val="24"/>
          <w:lang w:val="ro-MD"/>
        </w:rPr>
        <w:t>,</w:t>
      </w:r>
      <w:r w:rsidR="00FD339F" w:rsidRPr="00381DA2">
        <w:rPr>
          <w:rFonts w:asciiTheme="majorHAnsi" w:eastAsia="Times New Roman" w:hAnsiTheme="majorHAnsi" w:cstheme="minorHAnsi"/>
          <w:sz w:val="24"/>
          <w:szCs w:val="24"/>
          <w:lang w:val="ro-MD"/>
        </w:rPr>
        <w:t xml:space="preserve"> sunt eligibili pentru a beneficia de asistenț</w:t>
      </w:r>
      <w:r>
        <w:rPr>
          <w:rFonts w:asciiTheme="majorHAnsi" w:eastAsia="Times New Roman" w:hAnsiTheme="majorHAnsi" w:cstheme="minorHAnsi"/>
          <w:sz w:val="24"/>
          <w:szCs w:val="24"/>
          <w:lang w:val="ro-MD"/>
        </w:rPr>
        <w:t>ă</w:t>
      </w:r>
      <w:r w:rsidR="00FD339F" w:rsidRPr="00381DA2">
        <w:rPr>
          <w:rFonts w:asciiTheme="majorHAnsi" w:eastAsia="Times New Roman" w:hAnsiTheme="majorHAnsi" w:cstheme="minorHAnsi"/>
          <w:sz w:val="24"/>
          <w:szCs w:val="24"/>
          <w:lang w:val="ro-MD"/>
        </w:rPr>
        <w:t xml:space="preserve"> juridică garantată de stat persoanele juridice prevăzute la art. 521 </w:t>
      </w:r>
      <w:r w:rsidR="00FD339F" w:rsidRPr="00381DA2">
        <w:rPr>
          <w:rFonts w:asciiTheme="majorHAnsi" w:eastAsia="Times New Roman" w:hAnsiTheme="majorHAnsi" w:cstheme="minorHAnsi"/>
          <w:color w:val="000000" w:themeColor="text1"/>
          <w:sz w:val="24"/>
          <w:szCs w:val="24"/>
          <w:lang w:val="ro-MD"/>
        </w:rPr>
        <w:t>alin. (2</w:t>
      </w:r>
      <w:r w:rsidR="00FD339F" w:rsidRPr="00381DA2">
        <w:rPr>
          <w:rFonts w:asciiTheme="majorHAnsi" w:eastAsia="Times New Roman" w:hAnsiTheme="majorHAnsi" w:cstheme="minorHAnsi"/>
          <w:color w:val="000000" w:themeColor="text1"/>
          <w:sz w:val="24"/>
          <w:szCs w:val="24"/>
          <w:vertAlign w:val="superscript"/>
          <w:lang w:val="ro-MD"/>
        </w:rPr>
        <w:t>2</w:t>
      </w:r>
      <w:r w:rsidR="00FD339F" w:rsidRPr="00381DA2">
        <w:rPr>
          <w:rFonts w:asciiTheme="majorHAnsi" w:eastAsia="Times New Roman" w:hAnsiTheme="majorHAnsi" w:cstheme="minorHAnsi"/>
          <w:color w:val="000000" w:themeColor="text1"/>
          <w:sz w:val="24"/>
          <w:szCs w:val="24"/>
          <w:lang w:val="ro-MD"/>
        </w:rPr>
        <w:t>) din Codul de procedură penală</w:t>
      </w:r>
      <w:r w:rsidR="00FD339F" w:rsidRPr="00381DA2">
        <w:rPr>
          <w:rFonts w:asciiTheme="majorHAnsi" w:hAnsiTheme="majorHAnsi" w:cstheme="minorHAnsi"/>
          <w:color w:val="000000" w:themeColor="text1"/>
          <w:vertAlign w:val="superscript"/>
          <w:lang w:val="ro-MD"/>
        </w:rPr>
        <w:footnoteReference w:id="21"/>
      </w:r>
      <w:r w:rsidR="00FD339F" w:rsidRPr="00381DA2">
        <w:rPr>
          <w:rFonts w:asciiTheme="majorHAnsi" w:eastAsia="Times New Roman" w:hAnsiTheme="majorHAnsi" w:cstheme="minorHAnsi"/>
          <w:color w:val="000000" w:themeColor="text1"/>
          <w:sz w:val="24"/>
          <w:szCs w:val="24"/>
          <w:lang w:val="ro-MD"/>
        </w:rPr>
        <w:t xml:space="preserve">. </w:t>
      </w:r>
    </w:p>
    <w:p w14:paraId="54DA81EE" w14:textId="0982EE07" w:rsidR="00FD339F" w:rsidRPr="00381DA2" w:rsidRDefault="00FD339F" w:rsidP="003A66EF">
      <w:pPr>
        <w:pStyle w:val="ListParagraph"/>
        <w:tabs>
          <w:tab w:val="left" w:pos="270"/>
        </w:tabs>
        <w:spacing w:after="120" w:line="276" w:lineRule="auto"/>
        <w:ind w:left="0"/>
        <w:contextualSpacing w:val="0"/>
        <w:jc w:val="both"/>
        <w:rPr>
          <w:rFonts w:asciiTheme="majorHAnsi" w:hAnsiTheme="majorHAnsi" w:cstheme="minorHAnsi"/>
          <w:i/>
          <w:sz w:val="24"/>
          <w:szCs w:val="24"/>
          <w:lang w:val="ro-MD"/>
        </w:rPr>
      </w:pPr>
      <w:r w:rsidRPr="00381DA2">
        <w:rPr>
          <w:rFonts w:asciiTheme="majorHAnsi" w:eastAsia="Times New Roman" w:hAnsiTheme="majorHAnsi" w:cstheme="minorHAnsi"/>
          <w:color w:val="000000" w:themeColor="text1"/>
          <w:sz w:val="24"/>
          <w:szCs w:val="24"/>
          <w:lang w:val="ro-MD"/>
        </w:rPr>
        <w:t xml:space="preserve">La rândul său, norma </w:t>
      </w:r>
      <w:r w:rsidRPr="00381DA2">
        <w:rPr>
          <w:rFonts w:asciiTheme="majorHAnsi" w:eastAsia="Times New Roman" w:hAnsiTheme="majorHAnsi" w:cstheme="minorHAnsi"/>
          <w:sz w:val="24"/>
          <w:szCs w:val="24"/>
          <w:lang w:val="ro-MD"/>
        </w:rPr>
        <w:t xml:space="preserve">art. 521 </w:t>
      </w:r>
      <w:r w:rsidRPr="00381DA2">
        <w:rPr>
          <w:rFonts w:asciiTheme="majorHAnsi" w:eastAsia="Times New Roman" w:hAnsiTheme="majorHAnsi" w:cstheme="minorHAnsi"/>
          <w:color w:val="000000" w:themeColor="text1"/>
          <w:sz w:val="24"/>
          <w:szCs w:val="24"/>
          <w:lang w:val="ro-MD"/>
        </w:rPr>
        <w:t>alin. (2</w:t>
      </w:r>
      <w:r w:rsidRPr="00381DA2">
        <w:rPr>
          <w:rFonts w:asciiTheme="majorHAnsi" w:eastAsia="Times New Roman" w:hAnsiTheme="majorHAnsi" w:cstheme="minorHAnsi"/>
          <w:color w:val="000000" w:themeColor="text1"/>
          <w:sz w:val="24"/>
          <w:szCs w:val="24"/>
          <w:vertAlign w:val="superscript"/>
          <w:lang w:val="ro-MD"/>
        </w:rPr>
        <w:t>2</w:t>
      </w:r>
      <w:r w:rsidRPr="00381DA2">
        <w:rPr>
          <w:rFonts w:asciiTheme="majorHAnsi" w:eastAsia="Times New Roman" w:hAnsiTheme="majorHAnsi" w:cstheme="minorHAnsi"/>
          <w:color w:val="000000" w:themeColor="text1"/>
          <w:sz w:val="24"/>
          <w:szCs w:val="24"/>
          <w:lang w:val="ro-MD"/>
        </w:rPr>
        <w:t>) din CPP</w:t>
      </w:r>
      <w:r w:rsidRPr="00381DA2">
        <w:rPr>
          <w:rFonts w:asciiTheme="majorHAnsi" w:hAnsiTheme="majorHAnsi" w:cstheme="minorHAnsi"/>
          <w:sz w:val="24"/>
          <w:szCs w:val="24"/>
          <w:lang w:val="ro-MD"/>
        </w:rPr>
        <w:t xml:space="preserve">  prevede că „în lipsa persoanelor care gestionează persoana juridică, </w:t>
      </w:r>
      <w:r w:rsidRPr="00381DA2">
        <w:rPr>
          <w:rFonts w:asciiTheme="majorHAnsi" w:hAnsiTheme="majorHAnsi" w:cstheme="minorHAnsi"/>
          <w:i/>
          <w:sz w:val="24"/>
          <w:szCs w:val="24"/>
          <w:lang w:val="ro-MD"/>
        </w:rPr>
        <w:t>procurorul sau instanța de judecată</w:t>
      </w:r>
      <w:r w:rsidRPr="00381DA2">
        <w:rPr>
          <w:rFonts w:asciiTheme="majorHAnsi" w:hAnsiTheme="majorHAnsi" w:cstheme="minorHAnsi"/>
          <w:sz w:val="24"/>
          <w:szCs w:val="24"/>
          <w:lang w:val="ro-MD"/>
        </w:rPr>
        <w:t xml:space="preserve"> solicită coordonatorului oficiului teritorial al CNAJGS desemnarea unui avocat care să acorde asistență juridică garantată de stat”. </w:t>
      </w:r>
      <w:r w:rsidR="00355A4F">
        <w:rPr>
          <w:rFonts w:asciiTheme="majorHAnsi" w:hAnsiTheme="majorHAnsi" w:cstheme="minorHAnsi"/>
          <w:sz w:val="24"/>
          <w:szCs w:val="24"/>
          <w:lang w:val="ro-MD"/>
        </w:rPr>
        <w:t>Ca u</w:t>
      </w:r>
      <w:r w:rsidRPr="00381DA2">
        <w:rPr>
          <w:rFonts w:asciiTheme="majorHAnsi" w:hAnsiTheme="majorHAnsi" w:cstheme="minorHAnsi"/>
          <w:sz w:val="24"/>
          <w:szCs w:val="24"/>
          <w:lang w:val="ro-MD"/>
        </w:rPr>
        <w:t xml:space="preserve">rmare </w:t>
      </w:r>
      <w:r w:rsidR="00355A4F">
        <w:rPr>
          <w:rFonts w:asciiTheme="majorHAnsi" w:hAnsiTheme="majorHAnsi" w:cstheme="minorHAnsi"/>
          <w:sz w:val="24"/>
          <w:szCs w:val="24"/>
          <w:lang w:val="ro-MD"/>
        </w:rPr>
        <w:t xml:space="preserve">a </w:t>
      </w:r>
      <w:r w:rsidRPr="00381DA2">
        <w:rPr>
          <w:rFonts w:asciiTheme="majorHAnsi" w:hAnsiTheme="majorHAnsi" w:cstheme="minorHAnsi"/>
          <w:sz w:val="24"/>
          <w:szCs w:val="24"/>
          <w:lang w:val="ro-MD"/>
        </w:rPr>
        <w:t>v</w:t>
      </w:r>
      <w:r w:rsidR="000C747E">
        <w:rPr>
          <w:rFonts w:asciiTheme="majorHAnsi" w:hAnsiTheme="majorHAnsi" w:cstheme="minorHAnsi"/>
          <w:sz w:val="24"/>
          <w:szCs w:val="24"/>
          <w:lang w:val="ro-MD"/>
        </w:rPr>
        <w:t>erificărilor efectuate de echipa</w:t>
      </w:r>
      <w:r w:rsidRPr="00381DA2">
        <w:rPr>
          <w:rFonts w:asciiTheme="majorHAnsi" w:hAnsiTheme="majorHAnsi" w:cstheme="minorHAnsi"/>
          <w:sz w:val="24"/>
          <w:szCs w:val="24"/>
          <w:lang w:val="ro-MD"/>
        </w:rPr>
        <w:t xml:space="preserve"> de audit</w:t>
      </w:r>
      <w:r w:rsidRPr="00381DA2">
        <w:rPr>
          <w:rFonts w:asciiTheme="majorHAnsi" w:hAnsiTheme="majorHAnsi" w:cstheme="minorHAnsi"/>
          <w:sz w:val="24"/>
          <w:szCs w:val="24"/>
          <w:vertAlign w:val="superscript"/>
          <w:lang w:val="ro-MD"/>
        </w:rPr>
        <w:footnoteReference w:id="22"/>
      </w:r>
      <w:r w:rsidR="00355A4F">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se atestă 5 cazuri de acceptare și acordare de către OT Chișinău a AJGS agenților economici</w:t>
      </w:r>
      <w:r w:rsidR="00355A4F">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în sumă de 2,5 mii lei, care au fost solicitate de către reprezentanți ai organelor de investigație (inspectori fiscali și ofițeri de urmărire penală din cadrul PCCOCS și Direcției Generale Administrare Fiscală Antifraudă a SFS), care conform normei legale menționate supra </w:t>
      </w:r>
      <w:r w:rsidR="00355A4F">
        <w:rPr>
          <w:rFonts w:asciiTheme="majorHAnsi" w:hAnsiTheme="majorHAnsi" w:cstheme="minorHAnsi"/>
          <w:sz w:val="24"/>
          <w:szCs w:val="24"/>
          <w:lang w:val="ro-MD"/>
        </w:rPr>
        <w:t>nu erau</w:t>
      </w:r>
      <w:r w:rsidRPr="00381DA2">
        <w:rPr>
          <w:rFonts w:asciiTheme="majorHAnsi" w:hAnsiTheme="majorHAnsi" w:cstheme="minorHAnsi"/>
          <w:sz w:val="24"/>
          <w:szCs w:val="24"/>
          <w:lang w:val="ro-MD"/>
        </w:rPr>
        <w:t xml:space="preserve"> în drept să solicite asistența juridică garantată de stat.</w:t>
      </w:r>
      <w:r w:rsidRPr="00381DA2">
        <w:rPr>
          <w:rFonts w:asciiTheme="majorHAnsi" w:hAnsiTheme="majorHAnsi" w:cstheme="minorHAnsi"/>
          <w:i/>
          <w:sz w:val="24"/>
          <w:szCs w:val="24"/>
          <w:lang w:val="ro-MD"/>
        </w:rPr>
        <w:t xml:space="preserve"> </w:t>
      </w:r>
    </w:p>
    <w:p w14:paraId="5DB7614C" w14:textId="2EAA3CFF" w:rsidR="00FD339F" w:rsidRPr="00381DA2" w:rsidRDefault="00FD339F" w:rsidP="003A66EF">
      <w:pPr>
        <w:pStyle w:val="ListParagraph"/>
        <w:tabs>
          <w:tab w:val="left" w:pos="270"/>
        </w:tabs>
        <w:spacing w:after="120" w:line="276" w:lineRule="auto"/>
        <w:ind w:left="0"/>
        <w:contextualSpacing w:val="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Drept argumentare s-a invocat motivul că la acordarea AJGS s-a ținut cont de faptul că organele respective exercită funcția de urmărire penală și activitatea specială de investigație.</w:t>
      </w:r>
    </w:p>
    <w:p w14:paraId="5F1C98A5" w14:textId="70444ABB" w:rsidR="00FD339F" w:rsidRPr="00381DA2" w:rsidRDefault="00FD339F" w:rsidP="003A66EF">
      <w:pPr>
        <w:pStyle w:val="ListParagraph"/>
        <w:numPr>
          <w:ilvl w:val="0"/>
          <w:numId w:val="11"/>
        </w:numPr>
        <w:tabs>
          <w:tab w:val="left" w:pos="270"/>
          <w:tab w:val="left" w:pos="360"/>
        </w:tabs>
        <w:spacing w:line="276" w:lineRule="auto"/>
        <w:ind w:left="90" w:hanging="90"/>
        <w:jc w:val="both"/>
        <w:rPr>
          <w:rFonts w:asciiTheme="majorHAnsi" w:hAnsiTheme="majorHAnsi" w:cstheme="minorHAnsi"/>
          <w:b/>
          <w:sz w:val="24"/>
          <w:szCs w:val="24"/>
          <w:lang w:val="ro-MD"/>
        </w:rPr>
      </w:pPr>
      <w:r w:rsidRPr="00381DA2">
        <w:rPr>
          <w:rFonts w:asciiTheme="majorHAnsi" w:hAnsiTheme="majorHAnsi" w:cstheme="minorHAnsi"/>
          <w:sz w:val="24"/>
          <w:szCs w:val="24"/>
          <w:lang w:val="ro-MD"/>
        </w:rPr>
        <w:t xml:space="preserve">O altă deficiență reprezintă faptul că CNAJGS nu a asigurat elaborarea unor norme interne privind modalitatea de solicitare și acordare a asistenței juridice agenților economici, inclusiv </w:t>
      </w:r>
      <w:r w:rsidRPr="00381DA2">
        <w:rPr>
          <w:rFonts w:asciiTheme="majorHAnsi" w:hAnsiTheme="majorHAnsi" w:cstheme="minorHAnsi"/>
          <w:color w:val="000000" w:themeColor="text1"/>
          <w:sz w:val="24"/>
          <w:szCs w:val="24"/>
          <w:lang w:val="ro-MD"/>
        </w:rPr>
        <w:t xml:space="preserve">nu a </w:t>
      </w:r>
      <w:r w:rsidR="00365525">
        <w:rPr>
          <w:rFonts w:asciiTheme="majorHAnsi" w:hAnsiTheme="majorHAnsi" w:cstheme="minorHAnsi"/>
          <w:color w:val="000000" w:themeColor="text1"/>
          <w:sz w:val="24"/>
          <w:szCs w:val="24"/>
          <w:lang w:val="ro-MD"/>
        </w:rPr>
        <w:t>elaborat</w:t>
      </w:r>
      <w:r w:rsidRPr="00381DA2">
        <w:rPr>
          <w:rFonts w:asciiTheme="majorHAnsi" w:hAnsiTheme="majorHAnsi" w:cstheme="minorHAnsi"/>
          <w:color w:val="000000" w:themeColor="text1"/>
          <w:sz w:val="24"/>
          <w:szCs w:val="24"/>
          <w:lang w:val="ro-MD"/>
        </w:rPr>
        <w:t xml:space="preserve"> un model de cerere privind acordarea AJGS persoanelor juridice. Acest fapt a determinat solicitanții să utilizeze formularul la acordarea asistenței juridice persoanelor fizice, </w:t>
      </w:r>
      <w:r w:rsidR="00365525">
        <w:rPr>
          <w:rFonts w:asciiTheme="majorHAnsi" w:hAnsiTheme="majorHAnsi" w:cstheme="minorHAnsi"/>
          <w:color w:val="000000" w:themeColor="text1"/>
          <w:sz w:val="24"/>
          <w:szCs w:val="24"/>
          <w:lang w:val="ro-MD"/>
        </w:rPr>
        <w:t xml:space="preserve">ale cărui </w:t>
      </w:r>
      <w:r w:rsidRPr="00381DA2">
        <w:rPr>
          <w:rFonts w:asciiTheme="majorHAnsi" w:hAnsiTheme="majorHAnsi" w:cstheme="minorHAnsi"/>
          <w:color w:val="000000" w:themeColor="text1"/>
          <w:sz w:val="24"/>
          <w:szCs w:val="24"/>
          <w:lang w:val="ro-MD"/>
        </w:rPr>
        <w:t>elemente nu sunt aplicabile în cazul agenților economici</w:t>
      </w:r>
      <w:r w:rsidRPr="00381DA2">
        <w:rPr>
          <w:rStyle w:val="FootnoteReference"/>
          <w:rFonts w:asciiTheme="majorHAnsi" w:hAnsiTheme="majorHAnsi" w:cstheme="minorHAnsi"/>
          <w:color w:val="000000" w:themeColor="text1"/>
          <w:sz w:val="24"/>
          <w:szCs w:val="24"/>
          <w:lang w:val="ro-MD"/>
        </w:rPr>
        <w:footnoteReference w:id="23"/>
      </w:r>
      <w:r w:rsidRPr="00381DA2">
        <w:rPr>
          <w:rFonts w:asciiTheme="majorHAnsi" w:hAnsiTheme="majorHAnsi" w:cstheme="minorHAnsi"/>
          <w:color w:val="000000" w:themeColor="text1"/>
          <w:sz w:val="24"/>
          <w:szCs w:val="24"/>
          <w:lang w:val="ro-MD"/>
        </w:rPr>
        <w:t>. Observațiile de audit relevă și faptul că nu există o asigurare pentru OT a</w:t>
      </w:r>
      <w:r w:rsidR="000C747E">
        <w:rPr>
          <w:rFonts w:asciiTheme="majorHAnsi" w:hAnsiTheme="majorHAnsi" w:cstheme="minorHAnsi"/>
          <w:color w:val="000000" w:themeColor="text1"/>
          <w:sz w:val="24"/>
          <w:szCs w:val="24"/>
          <w:lang w:val="ro-MD"/>
        </w:rPr>
        <w:t>le</w:t>
      </w:r>
      <w:r w:rsidRPr="00381DA2">
        <w:rPr>
          <w:rFonts w:asciiTheme="majorHAnsi" w:hAnsiTheme="majorHAnsi" w:cstheme="minorHAnsi"/>
          <w:color w:val="000000" w:themeColor="text1"/>
          <w:sz w:val="24"/>
          <w:szCs w:val="24"/>
          <w:lang w:val="ro-MD"/>
        </w:rPr>
        <w:t xml:space="preserve"> CNAJGS referitor la respectarea întocmai a spețelor art. </w:t>
      </w:r>
      <w:r w:rsidRPr="00381DA2">
        <w:rPr>
          <w:rFonts w:asciiTheme="majorHAnsi" w:hAnsiTheme="majorHAnsi" w:cstheme="minorHAnsi"/>
          <w:sz w:val="24"/>
          <w:szCs w:val="24"/>
          <w:lang w:val="ro-MD"/>
        </w:rPr>
        <w:t xml:space="preserve">521 din CPP, care statuează că: </w:t>
      </w:r>
    </w:p>
    <w:p w14:paraId="6718CB54" w14:textId="55C71C57" w:rsidR="00FD339F" w:rsidRPr="00381DA2" w:rsidRDefault="002A3F8D" w:rsidP="003A66EF">
      <w:pPr>
        <w:pStyle w:val="ListParagraph"/>
        <w:numPr>
          <w:ilvl w:val="0"/>
          <w:numId w:val="10"/>
        </w:numPr>
        <w:shd w:val="clear" w:color="auto" w:fill="FFFFFF"/>
        <w:spacing w:line="276" w:lineRule="auto"/>
        <w:jc w:val="both"/>
        <w:rPr>
          <w:rFonts w:asciiTheme="majorHAnsi" w:hAnsiTheme="majorHAnsi" w:cstheme="minorHAnsi"/>
          <w:b/>
          <w:sz w:val="24"/>
          <w:szCs w:val="24"/>
          <w:lang w:val="ro-MD"/>
        </w:rPr>
      </w:pPr>
      <w:r>
        <w:rPr>
          <w:rFonts w:asciiTheme="majorHAnsi" w:hAnsiTheme="majorHAnsi" w:cstheme="minorHAnsi"/>
          <w:color w:val="333333"/>
          <w:sz w:val="24"/>
          <w:szCs w:val="24"/>
          <w:shd w:val="clear" w:color="auto" w:fill="FFFFFF"/>
          <w:lang w:val="ro-MD"/>
        </w:rPr>
        <w:t>î</w:t>
      </w:r>
      <w:r w:rsidR="00FD339F" w:rsidRPr="00381DA2">
        <w:rPr>
          <w:rFonts w:asciiTheme="majorHAnsi" w:hAnsiTheme="majorHAnsi" w:cstheme="minorHAnsi"/>
          <w:color w:val="333333"/>
          <w:sz w:val="24"/>
          <w:szCs w:val="24"/>
          <w:shd w:val="clear" w:color="auto" w:fill="FFFFFF"/>
          <w:lang w:val="ro-MD"/>
        </w:rPr>
        <w:t xml:space="preserve">n cazul în care urmărirea penală sau judecarea cauzei împotriva persoanei juridice se efectuează pentru aceeași faptă ori pentru fapte conexe </w:t>
      </w:r>
      <w:r w:rsidR="0082226F" w:rsidRPr="00381DA2">
        <w:rPr>
          <w:rFonts w:asciiTheme="majorHAnsi" w:hAnsiTheme="majorHAnsi" w:cstheme="minorHAnsi"/>
          <w:color w:val="333333"/>
          <w:sz w:val="24"/>
          <w:szCs w:val="24"/>
          <w:shd w:val="clear" w:color="auto" w:fill="FFFFFF"/>
          <w:lang w:val="ro-MD"/>
        </w:rPr>
        <w:t>și</w:t>
      </w:r>
      <w:r w:rsidR="00FD339F" w:rsidRPr="00381DA2">
        <w:rPr>
          <w:rFonts w:asciiTheme="majorHAnsi" w:hAnsiTheme="majorHAnsi" w:cstheme="minorHAnsi"/>
          <w:color w:val="333333"/>
          <w:sz w:val="24"/>
          <w:szCs w:val="24"/>
          <w:shd w:val="clear" w:color="auto" w:fill="FFFFFF"/>
          <w:lang w:val="ro-MD"/>
        </w:rPr>
        <w:t xml:space="preserve"> în privința reprezentantului legal al acesteia, </w:t>
      </w:r>
      <w:r w:rsidR="00FD339F" w:rsidRPr="00381DA2">
        <w:rPr>
          <w:rFonts w:asciiTheme="majorHAnsi" w:hAnsiTheme="majorHAnsi" w:cstheme="minorHAnsi"/>
          <w:i/>
          <w:color w:val="333333"/>
          <w:sz w:val="24"/>
          <w:szCs w:val="24"/>
          <w:shd w:val="clear" w:color="auto" w:fill="FFFFFF"/>
          <w:lang w:val="ro-MD"/>
        </w:rPr>
        <w:t>persoana juridică își desemnează un alt reprezentant legal</w:t>
      </w:r>
      <w:r w:rsidR="00FD339F" w:rsidRPr="00381DA2">
        <w:rPr>
          <w:rFonts w:asciiTheme="majorHAnsi" w:hAnsiTheme="majorHAnsi" w:cstheme="minorHAnsi"/>
          <w:color w:val="333333"/>
          <w:sz w:val="24"/>
          <w:szCs w:val="24"/>
          <w:shd w:val="clear" w:color="auto" w:fill="FFFFFF"/>
          <w:lang w:val="ro-MD"/>
        </w:rPr>
        <w:t xml:space="preserve"> în anumite condiții prestabilite</w:t>
      </w:r>
      <w:r w:rsidR="00FD339F" w:rsidRPr="00381DA2">
        <w:rPr>
          <w:rStyle w:val="FootnoteReference"/>
          <w:rFonts w:asciiTheme="majorHAnsi" w:hAnsiTheme="majorHAnsi" w:cstheme="minorHAnsi"/>
          <w:color w:val="333333"/>
          <w:sz w:val="24"/>
          <w:szCs w:val="24"/>
          <w:shd w:val="clear" w:color="auto" w:fill="FFFFFF"/>
          <w:lang w:val="ro-MD"/>
        </w:rPr>
        <w:footnoteReference w:id="24"/>
      </w:r>
      <w:r w:rsidR="00FD339F" w:rsidRPr="00381DA2">
        <w:rPr>
          <w:rFonts w:asciiTheme="majorHAnsi" w:hAnsiTheme="majorHAnsi" w:cstheme="minorHAnsi"/>
          <w:color w:val="333333"/>
          <w:sz w:val="24"/>
          <w:szCs w:val="24"/>
          <w:shd w:val="clear" w:color="auto" w:fill="FFFFFF"/>
          <w:lang w:val="ro-MD"/>
        </w:rPr>
        <w:t xml:space="preserve">; </w:t>
      </w:r>
    </w:p>
    <w:p w14:paraId="3D3D4A1B" w14:textId="0A7A2018" w:rsidR="00FD339F" w:rsidRPr="00381DA2" w:rsidRDefault="002A3F8D" w:rsidP="003A66EF">
      <w:pPr>
        <w:pStyle w:val="ListParagraph"/>
        <w:numPr>
          <w:ilvl w:val="0"/>
          <w:numId w:val="10"/>
        </w:numPr>
        <w:shd w:val="clear" w:color="auto" w:fill="FFFFFF"/>
        <w:spacing w:line="276" w:lineRule="auto"/>
        <w:jc w:val="both"/>
        <w:rPr>
          <w:rFonts w:asciiTheme="majorHAnsi" w:eastAsia="Times New Roman" w:hAnsiTheme="majorHAnsi" w:cstheme="minorHAnsi"/>
          <w:color w:val="333333"/>
          <w:sz w:val="24"/>
          <w:szCs w:val="24"/>
          <w:lang w:val="ro-MD"/>
        </w:rPr>
      </w:pPr>
      <w:r>
        <w:rPr>
          <w:rFonts w:asciiTheme="majorHAnsi" w:eastAsia="Times New Roman" w:hAnsiTheme="majorHAnsi" w:cstheme="minorHAnsi"/>
          <w:color w:val="262626"/>
          <w:sz w:val="24"/>
          <w:szCs w:val="24"/>
          <w:lang w:val="ro-MD"/>
        </w:rPr>
        <w:t>d</w:t>
      </w:r>
      <w:r w:rsidR="00FD339F" w:rsidRPr="00381DA2">
        <w:rPr>
          <w:rFonts w:asciiTheme="majorHAnsi" w:eastAsia="Times New Roman" w:hAnsiTheme="majorHAnsi" w:cstheme="minorHAnsi"/>
          <w:color w:val="262626"/>
          <w:sz w:val="24"/>
          <w:szCs w:val="24"/>
          <w:lang w:val="ro-MD"/>
        </w:rPr>
        <w:t>acă persoana juridică nu și-a desemnat un reprezentant conform alin. (2), la demersul procurorului, judecătorul de instrucție sau, după caz, i</w:t>
      </w:r>
      <w:r w:rsidR="00FD339F" w:rsidRPr="00381DA2">
        <w:rPr>
          <w:rFonts w:asciiTheme="majorHAnsi" w:eastAsia="Times New Roman" w:hAnsiTheme="majorHAnsi" w:cstheme="minorHAnsi"/>
          <w:i/>
          <w:color w:val="262626"/>
          <w:sz w:val="24"/>
          <w:szCs w:val="24"/>
          <w:lang w:val="ro-MD"/>
        </w:rPr>
        <w:t xml:space="preserve">nstanța de judecată desemnează un </w:t>
      </w:r>
      <w:r w:rsidR="00FD339F" w:rsidRPr="00381DA2">
        <w:rPr>
          <w:rFonts w:asciiTheme="majorHAnsi" w:eastAsia="Times New Roman" w:hAnsiTheme="majorHAnsi" w:cstheme="minorHAnsi"/>
          <w:i/>
          <w:color w:val="262626"/>
          <w:sz w:val="24"/>
          <w:szCs w:val="24"/>
          <w:lang w:val="ro-MD"/>
        </w:rPr>
        <w:lastRenderedPageBreak/>
        <w:t xml:space="preserve">reprezentant al persoanei juridice </w:t>
      </w:r>
      <w:r w:rsidR="00FD339F" w:rsidRPr="00381DA2">
        <w:rPr>
          <w:rFonts w:asciiTheme="majorHAnsi" w:eastAsia="Times New Roman" w:hAnsiTheme="majorHAnsi" w:cstheme="minorHAnsi"/>
          <w:color w:val="262626"/>
          <w:sz w:val="24"/>
          <w:szCs w:val="24"/>
          <w:lang w:val="ro-MD"/>
        </w:rPr>
        <w:t>din rândul persoanelor care gestionează persoana juridică, în privința căruia nu se desfășoară un proces penal</w:t>
      </w:r>
      <w:r>
        <w:rPr>
          <w:rFonts w:asciiTheme="majorHAnsi" w:eastAsia="Times New Roman" w:hAnsiTheme="majorHAnsi" w:cstheme="minorHAnsi"/>
          <w:color w:val="262626"/>
          <w:sz w:val="24"/>
          <w:szCs w:val="24"/>
          <w:lang w:val="ro-MD"/>
        </w:rPr>
        <w:t>;</w:t>
      </w:r>
    </w:p>
    <w:p w14:paraId="7350B98F" w14:textId="7760B2CD" w:rsidR="00FD339F" w:rsidRPr="00381DA2" w:rsidRDefault="002A3F8D" w:rsidP="003A66EF">
      <w:pPr>
        <w:pStyle w:val="ListParagraph"/>
        <w:numPr>
          <w:ilvl w:val="0"/>
          <w:numId w:val="10"/>
        </w:numPr>
        <w:shd w:val="clear" w:color="auto" w:fill="FFFFFF"/>
        <w:spacing w:after="120" w:line="276" w:lineRule="auto"/>
        <w:contextualSpacing w:val="0"/>
        <w:jc w:val="both"/>
        <w:rPr>
          <w:rFonts w:asciiTheme="majorHAnsi" w:hAnsiTheme="majorHAnsi" w:cstheme="minorHAnsi"/>
          <w:b/>
          <w:sz w:val="24"/>
          <w:szCs w:val="24"/>
          <w:lang w:val="ro-MD"/>
        </w:rPr>
      </w:pPr>
      <w:r w:rsidRPr="003F7196">
        <w:rPr>
          <w:rFonts w:asciiTheme="majorHAnsi" w:eastAsia="Times New Roman" w:hAnsiTheme="majorHAnsi" w:cstheme="minorHAnsi"/>
          <w:i/>
          <w:color w:val="262626"/>
          <w:sz w:val="24"/>
          <w:szCs w:val="24"/>
          <w:lang w:val="ro-MD"/>
        </w:rPr>
        <w:t>î</w:t>
      </w:r>
      <w:r w:rsidR="00FD339F" w:rsidRPr="003F7196">
        <w:rPr>
          <w:rFonts w:asciiTheme="majorHAnsi" w:eastAsia="Times New Roman" w:hAnsiTheme="majorHAnsi" w:cstheme="minorHAnsi"/>
          <w:i/>
          <w:color w:val="262626"/>
          <w:sz w:val="24"/>
          <w:szCs w:val="24"/>
          <w:lang w:val="ro-MD"/>
        </w:rPr>
        <w:t>n</w:t>
      </w:r>
      <w:r w:rsidR="00FD339F" w:rsidRPr="00381DA2">
        <w:rPr>
          <w:rFonts w:asciiTheme="majorHAnsi" w:eastAsia="Times New Roman" w:hAnsiTheme="majorHAnsi" w:cstheme="minorHAnsi"/>
          <w:color w:val="262626"/>
          <w:sz w:val="24"/>
          <w:szCs w:val="24"/>
          <w:lang w:val="ro-MD"/>
        </w:rPr>
        <w:t xml:space="preserve"> </w:t>
      </w:r>
      <w:r w:rsidR="00FD339F" w:rsidRPr="00381DA2">
        <w:rPr>
          <w:rFonts w:asciiTheme="majorHAnsi" w:eastAsia="Times New Roman" w:hAnsiTheme="majorHAnsi" w:cstheme="minorHAnsi"/>
          <w:i/>
          <w:color w:val="262626"/>
          <w:sz w:val="24"/>
          <w:szCs w:val="24"/>
          <w:lang w:val="ro-MD"/>
        </w:rPr>
        <w:t>lipsa persoanelor care gestionează persoana juridică,</w:t>
      </w:r>
      <w:r w:rsidR="00FD339F" w:rsidRPr="00381DA2">
        <w:rPr>
          <w:rFonts w:asciiTheme="majorHAnsi" w:eastAsia="Times New Roman" w:hAnsiTheme="majorHAnsi" w:cstheme="minorHAnsi"/>
          <w:color w:val="262626"/>
          <w:sz w:val="24"/>
          <w:szCs w:val="24"/>
          <w:lang w:val="ro-MD"/>
        </w:rPr>
        <w:t xml:space="preserve"> procurorul sau instanța de judecată solicită coordonatorului oficiului teritorial al CNAJGS desemnarea unui avocat care să acorde asistență juridică garantată de stat.</w:t>
      </w:r>
    </w:p>
    <w:p w14:paraId="7AEB9549" w14:textId="01B97429" w:rsidR="00FD339F" w:rsidRPr="00381DA2" w:rsidRDefault="00FD339F" w:rsidP="003A66EF">
      <w:pPr>
        <w:pStyle w:val="NormalWeb"/>
        <w:shd w:val="clear" w:color="auto" w:fill="FFFFFF"/>
        <w:spacing w:after="120" w:line="276" w:lineRule="auto"/>
        <w:ind w:firstLine="0"/>
        <w:rPr>
          <w:rFonts w:asciiTheme="majorHAnsi" w:hAnsiTheme="majorHAnsi" w:cstheme="minorHAnsi"/>
          <w:lang w:val="ro-MD"/>
        </w:rPr>
      </w:pPr>
      <w:r w:rsidRPr="00381DA2">
        <w:rPr>
          <w:rFonts w:asciiTheme="majorHAnsi" w:hAnsiTheme="majorHAnsi" w:cstheme="minorHAnsi"/>
          <w:lang w:val="ro-MD"/>
        </w:rPr>
        <w:t xml:space="preserve">În  concluzie, se menționează că </w:t>
      </w:r>
      <w:r w:rsidR="007311A4" w:rsidRPr="00381DA2">
        <w:rPr>
          <w:rFonts w:asciiTheme="majorHAnsi" w:hAnsiTheme="majorHAnsi" w:cstheme="minorHAnsi"/>
          <w:lang w:val="ro-MD"/>
        </w:rPr>
        <w:t xml:space="preserve">OT nu dețin </w:t>
      </w:r>
      <w:r w:rsidRPr="00381DA2">
        <w:rPr>
          <w:rFonts w:asciiTheme="majorHAnsi" w:hAnsiTheme="majorHAnsi" w:cstheme="minorHAnsi"/>
          <w:lang w:val="ro-MD"/>
        </w:rPr>
        <w:t>informații precum că au fost aplicate</w:t>
      </w:r>
      <w:r w:rsidR="001465E2">
        <w:rPr>
          <w:rFonts w:asciiTheme="majorHAnsi" w:hAnsiTheme="majorHAnsi" w:cstheme="minorHAnsi"/>
          <w:lang w:val="ro-MD"/>
        </w:rPr>
        <w:t xml:space="preserve"> </w:t>
      </w:r>
      <w:r w:rsidR="001465E2" w:rsidRPr="00381DA2">
        <w:rPr>
          <w:rFonts w:asciiTheme="majorHAnsi" w:hAnsiTheme="majorHAnsi" w:cstheme="minorHAnsi"/>
          <w:lang w:val="ro-MD"/>
        </w:rPr>
        <w:t>consecvent</w:t>
      </w:r>
      <w:r w:rsidRPr="00381DA2">
        <w:rPr>
          <w:rFonts w:asciiTheme="majorHAnsi" w:hAnsiTheme="majorHAnsi" w:cstheme="minorHAnsi"/>
          <w:lang w:val="ro-MD"/>
        </w:rPr>
        <w:t xml:space="preserve"> măsurile legal prestabilite privind desemnarea reprezentantului legal, fapt ce denotă existența unor </w:t>
      </w:r>
      <w:r w:rsidR="001465E2">
        <w:rPr>
          <w:rFonts w:asciiTheme="majorHAnsi" w:hAnsiTheme="majorHAnsi" w:cstheme="minorHAnsi"/>
          <w:lang w:val="ro-MD"/>
        </w:rPr>
        <w:t>viduri</w:t>
      </w:r>
      <w:r w:rsidR="001465E2" w:rsidRPr="00381DA2">
        <w:rPr>
          <w:rFonts w:asciiTheme="majorHAnsi" w:hAnsiTheme="majorHAnsi" w:cstheme="minorHAnsi"/>
          <w:lang w:val="ro-MD"/>
        </w:rPr>
        <w:t xml:space="preserve"> </w:t>
      </w:r>
      <w:r w:rsidRPr="00381DA2">
        <w:rPr>
          <w:rFonts w:asciiTheme="majorHAnsi" w:hAnsiTheme="majorHAnsi" w:cstheme="minorHAnsi"/>
          <w:lang w:val="ro-MD"/>
        </w:rPr>
        <w:t xml:space="preserve">în buna funcționare a procesului de </w:t>
      </w:r>
      <w:r w:rsidR="007311A4" w:rsidRPr="00381DA2">
        <w:rPr>
          <w:rFonts w:asciiTheme="majorHAnsi" w:hAnsiTheme="majorHAnsi" w:cstheme="minorHAnsi"/>
          <w:lang w:val="ro-MD"/>
        </w:rPr>
        <w:t>solicitare și acordare</w:t>
      </w:r>
      <w:r w:rsidRPr="00381DA2">
        <w:rPr>
          <w:rFonts w:asciiTheme="majorHAnsi" w:hAnsiTheme="majorHAnsi" w:cstheme="minorHAnsi"/>
          <w:lang w:val="ro-MD"/>
        </w:rPr>
        <w:t xml:space="preserve"> a asistenței juridice de stat agenților economici, precum și lipsind componenta de asigurare că mijloacele bugetare sunt valorificate justificat. Or</w:t>
      </w:r>
      <w:r w:rsidR="001465E2">
        <w:rPr>
          <w:rFonts w:asciiTheme="majorHAnsi" w:hAnsiTheme="majorHAnsi" w:cstheme="minorHAnsi"/>
          <w:lang w:val="ro-MD"/>
        </w:rPr>
        <w:t>,</w:t>
      </w:r>
      <w:r w:rsidRPr="00381DA2">
        <w:rPr>
          <w:rFonts w:asciiTheme="majorHAnsi" w:hAnsiTheme="majorHAnsi" w:cstheme="minorHAnsi"/>
          <w:lang w:val="ro-MD"/>
        </w:rPr>
        <w:t xml:space="preserve"> auditul exemplifică cazul </w:t>
      </w:r>
      <w:r w:rsidR="001465E2">
        <w:rPr>
          <w:rFonts w:asciiTheme="majorHAnsi" w:hAnsiTheme="majorHAnsi" w:cstheme="minorHAnsi"/>
          <w:lang w:val="ro-MD"/>
        </w:rPr>
        <w:t>în care</w:t>
      </w:r>
      <w:r w:rsidRPr="00381DA2">
        <w:rPr>
          <w:rFonts w:asciiTheme="majorHAnsi" w:hAnsiTheme="majorHAnsi" w:cstheme="minorHAnsi"/>
          <w:lang w:val="ro-MD"/>
        </w:rPr>
        <w:t xml:space="preserve"> persoana juridică </w:t>
      </w:r>
      <w:r w:rsidR="001465E2">
        <w:rPr>
          <w:rFonts w:asciiTheme="majorHAnsi" w:hAnsiTheme="majorHAnsi" w:cstheme="minorHAnsi"/>
          <w:lang w:val="ro-MD"/>
        </w:rPr>
        <w:t xml:space="preserve">deși </w:t>
      </w:r>
      <w:r w:rsidRPr="00381DA2">
        <w:rPr>
          <w:rFonts w:asciiTheme="majorHAnsi" w:hAnsiTheme="majorHAnsi" w:cstheme="minorHAnsi"/>
          <w:lang w:val="ro-MD"/>
        </w:rPr>
        <w:t>avea desemnat reprezentanți legali</w:t>
      </w:r>
      <w:r w:rsidRPr="00381DA2">
        <w:rPr>
          <w:rStyle w:val="FootnoteReference"/>
          <w:rFonts w:asciiTheme="majorHAnsi" w:hAnsiTheme="majorHAnsi" w:cstheme="minorHAnsi"/>
          <w:lang w:val="ro-MD"/>
        </w:rPr>
        <w:footnoteReference w:id="25"/>
      </w:r>
      <w:r w:rsidRPr="00381DA2">
        <w:rPr>
          <w:rFonts w:asciiTheme="majorHAnsi" w:hAnsiTheme="majorHAnsi" w:cstheme="minorHAnsi"/>
          <w:lang w:val="ro-MD"/>
        </w:rPr>
        <w:t>, organele de urmărire penală și instanțele judecătorești au solicita</w:t>
      </w:r>
      <w:r w:rsidR="001465E2">
        <w:rPr>
          <w:rFonts w:asciiTheme="majorHAnsi" w:hAnsiTheme="majorHAnsi" w:cstheme="minorHAnsi"/>
          <w:lang w:val="ro-MD"/>
        </w:rPr>
        <w:t>t</w:t>
      </w:r>
      <w:r w:rsidRPr="00381DA2">
        <w:rPr>
          <w:rFonts w:asciiTheme="majorHAnsi" w:hAnsiTheme="majorHAnsi" w:cstheme="minorHAnsi"/>
          <w:lang w:val="ro-MD"/>
        </w:rPr>
        <w:t xml:space="preserve"> apărători de stat, fapt ce contravine speței expuse mai sus. În sensul dat, exemplificăm situația identificată la „</w:t>
      </w:r>
      <w:proofErr w:type="spellStart"/>
      <w:r w:rsidRPr="00381DA2">
        <w:rPr>
          <w:rFonts w:asciiTheme="majorHAnsi" w:hAnsiTheme="majorHAnsi" w:cstheme="minorHAnsi"/>
          <w:lang w:val="ro-MD"/>
        </w:rPr>
        <w:t>Valtrans</w:t>
      </w:r>
      <w:proofErr w:type="spellEnd"/>
      <w:r w:rsidRPr="00381DA2">
        <w:rPr>
          <w:rFonts w:asciiTheme="majorHAnsi" w:hAnsiTheme="majorHAnsi" w:cstheme="minorHAnsi"/>
          <w:lang w:val="ro-MD"/>
        </w:rPr>
        <w:t xml:space="preserve"> Grup” SRL (cod fiscal 1003600119254), contribuabil constatat ca insolvabil</w:t>
      </w:r>
      <w:r w:rsidRPr="00381DA2">
        <w:rPr>
          <w:rStyle w:val="FootnoteReference"/>
          <w:rFonts w:asciiTheme="majorHAnsi" w:hAnsiTheme="majorHAnsi" w:cstheme="minorHAnsi"/>
          <w:lang w:val="ro-MD"/>
        </w:rPr>
        <w:footnoteReference w:id="26"/>
      </w:r>
      <w:r w:rsidRPr="00381DA2">
        <w:rPr>
          <w:rFonts w:asciiTheme="majorHAnsi" w:hAnsiTheme="majorHAnsi" w:cstheme="minorHAnsi"/>
          <w:lang w:val="ro-MD"/>
        </w:rPr>
        <w:t xml:space="preserve"> și reprezentat de către administratorul de insolvabilitate desemnat de către instanța de judecată. În pofida acestui fapt, la data de 07.03.2022 ace</w:t>
      </w:r>
      <w:r w:rsidR="001465E2">
        <w:rPr>
          <w:rFonts w:asciiTheme="majorHAnsi" w:hAnsiTheme="majorHAnsi" w:cstheme="minorHAnsi"/>
          <w:lang w:val="ro-MD"/>
        </w:rPr>
        <w:t>e</w:t>
      </w:r>
      <w:r w:rsidRPr="00381DA2">
        <w:rPr>
          <w:rFonts w:asciiTheme="majorHAnsi" w:hAnsiTheme="majorHAnsi" w:cstheme="minorHAnsi"/>
          <w:lang w:val="ro-MD"/>
        </w:rPr>
        <w:t xml:space="preserve">ași instanță a solicitat asistență juridică de stat acestui agent economic </w:t>
      </w:r>
      <w:r w:rsidR="001465E2">
        <w:rPr>
          <w:rFonts w:asciiTheme="majorHAnsi" w:hAnsiTheme="majorHAnsi" w:cstheme="minorHAnsi"/>
          <w:lang w:val="ro-MD"/>
        </w:rPr>
        <w:t>,</w:t>
      </w:r>
      <w:r w:rsidRPr="00381DA2">
        <w:rPr>
          <w:rFonts w:asciiTheme="majorHAnsi" w:hAnsiTheme="majorHAnsi" w:cstheme="minorHAnsi"/>
          <w:lang w:val="ro-MD"/>
        </w:rPr>
        <w:t xml:space="preserve"> căruia i se imputa infracțiunile prevăzute la art. 244  din Codul penal</w:t>
      </w:r>
      <w:r w:rsidR="001465E2">
        <w:rPr>
          <w:rFonts w:asciiTheme="majorHAnsi" w:hAnsiTheme="majorHAnsi" w:cstheme="minorHAnsi"/>
          <w:lang w:val="ro-MD"/>
        </w:rPr>
        <w:t>:</w:t>
      </w:r>
      <w:r w:rsidRPr="00381DA2">
        <w:rPr>
          <w:rFonts w:asciiTheme="majorHAnsi" w:hAnsiTheme="majorHAnsi" w:cstheme="minorHAnsi"/>
          <w:lang w:val="ro-MD"/>
        </w:rPr>
        <w:t xml:space="preserve"> „Evaziunea fiscală a întreprinderilor, instituțiilor și organizațiilor”. Deși persoana juridică nu se încadra în criteriile </w:t>
      </w:r>
      <w:r w:rsidR="001465E2">
        <w:rPr>
          <w:rFonts w:asciiTheme="majorHAnsi" w:hAnsiTheme="majorHAnsi" w:cstheme="minorHAnsi"/>
          <w:lang w:val="ro-MD"/>
        </w:rPr>
        <w:t>privind</w:t>
      </w:r>
      <w:r w:rsidRPr="00381DA2">
        <w:rPr>
          <w:rFonts w:asciiTheme="majorHAnsi" w:hAnsiTheme="majorHAnsi" w:cstheme="minorHAnsi"/>
          <w:lang w:val="ro-MD"/>
        </w:rPr>
        <w:t xml:space="preserve"> beneficiere</w:t>
      </w:r>
      <w:r w:rsidR="001465E2">
        <w:rPr>
          <w:rFonts w:asciiTheme="majorHAnsi" w:hAnsiTheme="majorHAnsi" w:cstheme="minorHAnsi"/>
          <w:lang w:val="ro-MD"/>
        </w:rPr>
        <w:t>a</w:t>
      </w:r>
      <w:r w:rsidRPr="00381DA2">
        <w:rPr>
          <w:rFonts w:asciiTheme="majorHAnsi" w:hAnsiTheme="majorHAnsi" w:cstheme="minorHAnsi"/>
          <w:lang w:val="ro-MD"/>
        </w:rPr>
        <w:t xml:space="preserve"> de AJGS, OT Chișinău a dat curs solicitării și a desemnat apărător de stat, întrucât la etapa examinării din oficiu a cererii</w:t>
      </w:r>
      <w:r w:rsidR="001465E2">
        <w:rPr>
          <w:rFonts w:asciiTheme="majorHAnsi" w:hAnsiTheme="majorHAnsi" w:cstheme="minorHAnsi"/>
          <w:lang w:val="ro-MD"/>
        </w:rPr>
        <w:t>,</w:t>
      </w:r>
      <w:r w:rsidRPr="00381DA2">
        <w:rPr>
          <w:rFonts w:asciiTheme="majorHAnsi" w:hAnsiTheme="majorHAnsi" w:cstheme="minorHAnsi"/>
          <w:lang w:val="ro-MD"/>
        </w:rPr>
        <w:t xml:space="preserve"> angajații oficiului nu dețin</w:t>
      </w:r>
      <w:r w:rsidR="001465E2">
        <w:rPr>
          <w:rFonts w:asciiTheme="majorHAnsi" w:hAnsiTheme="majorHAnsi" w:cstheme="minorHAnsi"/>
          <w:lang w:val="ro-MD"/>
        </w:rPr>
        <w:t>eau</w:t>
      </w:r>
      <w:r w:rsidRPr="00381DA2">
        <w:rPr>
          <w:rFonts w:asciiTheme="majorHAnsi" w:hAnsiTheme="majorHAnsi" w:cstheme="minorHAnsi"/>
          <w:lang w:val="ro-MD"/>
        </w:rPr>
        <w:t xml:space="preserve"> date despre existența sau lipsa desemnării reprezentatului legal al agentului economic și se ghid</w:t>
      </w:r>
      <w:r w:rsidR="001465E2">
        <w:rPr>
          <w:rFonts w:asciiTheme="majorHAnsi" w:hAnsiTheme="majorHAnsi" w:cstheme="minorHAnsi"/>
          <w:lang w:val="ro-MD"/>
        </w:rPr>
        <w:t>au</w:t>
      </w:r>
      <w:r w:rsidRPr="00381DA2">
        <w:rPr>
          <w:rFonts w:asciiTheme="majorHAnsi" w:hAnsiTheme="majorHAnsi" w:cstheme="minorHAnsi"/>
          <w:lang w:val="ro-MD"/>
        </w:rPr>
        <w:t xml:space="preserve"> de regulile și bunele practici existente. </w:t>
      </w:r>
    </w:p>
    <w:p w14:paraId="3ACB18EA" w14:textId="1F04D5B5" w:rsidR="00FD339F" w:rsidRPr="00381DA2" w:rsidRDefault="00FD339F" w:rsidP="00A02682">
      <w:pPr>
        <w:pStyle w:val="Heading3"/>
        <w:numPr>
          <w:ilvl w:val="2"/>
          <w:numId w:val="48"/>
        </w:numPr>
        <w:tabs>
          <w:tab w:val="left" w:pos="360"/>
          <w:tab w:val="left" w:pos="540"/>
          <w:tab w:val="left" w:pos="630"/>
        </w:tabs>
        <w:spacing w:before="240" w:after="120" w:line="276" w:lineRule="auto"/>
        <w:ind w:left="0" w:firstLine="0"/>
        <w:jc w:val="both"/>
        <w:rPr>
          <w:rFonts w:cstheme="minorHAnsi"/>
          <w:b/>
          <w:color w:val="0070C0"/>
        </w:rPr>
      </w:pPr>
      <w:bookmarkStart w:id="28" w:name="_Toc125368186"/>
      <w:bookmarkStart w:id="29" w:name="_Toc128640812"/>
      <w:r w:rsidRPr="00381DA2">
        <w:rPr>
          <w:rFonts w:cstheme="minorHAnsi"/>
          <w:b/>
          <w:i/>
          <w:color w:val="0070C0"/>
        </w:rPr>
        <w:t>Se atestă neaplicabilitatea</w:t>
      </w:r>
      <w:r w:rsidR="001465E2">
        <w:rPr>
          <w:rFonts w:cstheme="minorHAnsi"/>
          <w:b/>
          <w:i/>
          <w:color w:val="0070C0"/>
        </w:rPr>
        <w:t>,</w:t>
      </w:r>
      <w:r w:rsidRPr="00381DA2">
        <w:rPr>
          <w:rFonts w:cstheme="minorHAnsi"/>
          <w:b/>
          <w:i/>
          <w:color w:val="0070C0"/>
        </w:rPr>
        <w:t xml:space="preserve"> cât și caracterul desuet al unor norme ale Regulamentului la determinarea venitului solicitantului de AJGS</w:t>
      </w:r>
      <w:bookmarkEnd w:id="28"/>
      <w:r w:rsidR="001465E2">
        <w:rPr>
          <w:rFonts w:cstheme="minorHAnsi"/>
          <w:b/>
          <w:i/>
          <w:color w:val="0070C0"/>
        </w:rPr>
        <w:t>.</w:t>
      </w:r>
      <w:bookmarkEnd w:id="29"/>
    </w:p>
    <w:p w14:paraId="1C87AB8A" w14:textId="4BC8EE84" w:rsidR="000E7C1E" w:rsidRPr="00381DA2" w:rsidRDefault="001465E2" w:rsidP="000E7C1E">
      <w:pPr>
        <w:shd w:val="clear" w:color="auto" w:fill="FFFFFF"/>
        <w:spacing w:after="120" w:line="276" w:lineRule="auto"/>
        <w:jc w:val="both"/>
        <w:rPr>
          <w:rFonts w:asciiTheme="majorHAnsi" w:eastAsia="Times New Roman" w:hAnsiTheme="majorHAnsi" w:cstheme="minorHAnsi"/>
          <w:color w:val="000000"/>
          <w:sz w:val="24"/>
          <w:szCs w:val="24"/>
        </w:rPr>
      </w:pPr>
      <w:r>
        <w:rPr>
          <w:rFonts w:asciiTheme="majorHAnsi" w:hAnsiTheme="majorHAnsi" w:cstheme="minorHAnsi"/>
          <w:sz w:val="24"/>
          <w:szCs w:val="24"/>
        </w:rPr>
        <w:t>Pe</w:t>
      </w:r>
      <w:r w:rsidR="000E7C1E" w:rsidRPr="00381DA2">
        <w:rPr>
          <w:rFonts w:asciiTheme="majorHAnsi" w:hAnsiTheme="majorHAnsi" w:cstheme="minorHAnsi"/>
          <w:sz w:val="24"/>
          <w:szCs w:val="24"/>
        </w:rPr>
        <w:t>ntru asigurarea accesului liber la justiție</w:t>
      </w:r>
      <w:r>
        <w:rPr>
          <w:rFonts w:asciiTheme="majorHAnsi" w:hAnsiTheme="majorHAnsi" w:cstheme="minorHAnsi"/>
          <w:sz w:val="24"/>
          <w:szCs w:val="24"/>
        </w:rPr>
        <w:t>,</w:t>
      </w:r>
      <w:r w:rsidR="000E7C1E" w:rsidRPr="00381DA2">
        <w:rPr>
          <w:rFonts w:asciiTheme="majorHAnsi" w:hAnsiTheme="majorHAnsi" w:cstheme="minorHAnsi"/>
          <w:sz w:val="24"/>
          <w:szCs w:val="24"/>
        </w:rPr>
        <w:t xml:space="preserve"> </w:t>
      </w:r>
      <w:r w:rsidR="000E7C1E" w:rsidRPr="00381DA2">
        <w:rPr>
          <w:rFonts w:asciiTheme="majorHAnsi" w:eastAsia="Times New Roman" w:hAnsiTheme="majorHAnsi" w:cstheme="minorHAnsi"/>
          <w:color w:val="000000"/>
          <w:sz w:val="24"/>
          <w:szCs w:val="24"/>
        </w:rPr>
        <w:t>statul are obligația de a garanta asistența juridică persoanelor care nu dispun de mijloace financiare suficiente pentru a plăti serviciile juridice. Dreptul de a beneficia de asisten</w:t>
      </w:r>
      <w:r>
        <w:rPr>
          <w:rFonts w:asciiTheme="majorHAnsi" w:eastAsia="Times New Roman" w:hAnsiTheme="majorHAnsi" w:cstheme="minorHAnsi"/>
          <w:color w:val="000000"/>
          <w:sz w:val="24"/>
          <w:szCs w:val="24"/>
        </w:rPr>
        <w:t>ță</w:t>
      </w:r>
      <w:r w:rsidR="000E7C1E" w:rsidRPr="00381DA2">
        <w:rPr>
          <w:rFonts w:asciiTheme="majorHAnsi" w:eastAsia="Times New Roman" w:hAnsiTheme="majorHAnsi" w:cstheme="minorHAnsi"/>
          <w:color w:val="000000"/>
          <w:sz w:val="24"/>
          <w:szCs w:val="24"/>
        </w:rPr>
        <w:t xml:space="preserve"> juridică, în funcție de nivelul veniturilor, este statuat în art.19 alin.(1) lit. a) și lit. e) din Legea </w:t>
      </w:r>
      <w:r>
        <w:rPr>
          <w:rFonts w:asciiTheme="majorHAnsi" w:eastAsia="Times New Roman" w:hAnsiTheme="majorHAnsi" w:cstheme="minorHAnsi"/>
          <w:color w:val="000000"/>
          <w:sz w:val="24"/>
          <w:szCs w:val="24"/>
        </w:rPr>
        <w:t>nr.</w:t>
      </w:r>
      <w:r w:rsidR="000E7C1E" w:rsidRPr="00381DA2">
        <w:rPr>
          <w:rFonts w:asciiTheme="majorHAnsi" w:eastAsia="Times New Roman" w:hAnsiTheme="majorHAnsi" w:cstheme="minorHAnsi"/>
          <w:color w:val="000000"/>
          <w:sz w:val="24"/>
          <w:szCs w:val="24"/>
        </w:rPr>
        <w:t>198/2007, fiind eligibile persoanele care:</w:t>
      </w:r>
    </w:p>
    <w:p w14:paraId="1BCCA181" w14:textId="14F7234A" w:rsidR="000E7C1E" w:rsidRPr="00381DA2" w:rsidRDefault="000E7C1E" w:rsidP="000E7C1E">
      <w:pPr>
        <w:numPr>
          <w:ilvl w:val="0"/>
          <w:numId w:val="8"/>
        </w:numPr>
        <w:shd w:val="clear" w:color="auto" w:fill="FFFFFF"/>
        <w:spacing w:after="0" w:line="276" w:lineRule="auto"/>
        <w:contextualSpacing/>
        <w:jc w:val="both"/>
        <w:rPr>
          <w:rFonts w:asciiTheme="majorHAnsi" w:eastAsia="Times New Roman" w:hAnsiTheme="majorHAnsi" w:cstheme="minorHAnsi"/>
          <w:color w:val="000000"/>
          <w:sz w:val="24"/>
          <w:szCs w:val="24"/>
        </w:rPr>
      </w:pPr>
      <w:r w:rsidRPr="00381DA2">
        <w:rPr>
          <w:rFonts w:asciiTheme="majorHAnsi" w:eastAsia="Times New Roman" w:hAnsiTheme="majorHAnsi" w:cstheme="minorHAnsi"/>
          <w:color w:val="000000"/>
          <w:sz w:val="24"/>
          <w:szCs w:val="24"/>
        </w:rPr>
        <w:t>au nevoie de asistență juridică pe cauze penale, și interesele justiției o cer, însă nu dispun de suficiente mijloace pentru a plăti acest serviciu;</w:t>
      </w:r>
    </w:p>
    <w:p w14:paraId="145C9993" w14:textId="77777777" w:rsidR="000E7C1E" w:rsidRPr="00381DA2" w:rsidRDefault="000E7C1E" w:rsidP="000E7C1E">
      <w:pPr>
        <w:numPr>
          <w:ilvl w:val="0"/>
          <w:numId w:val="8"/>
        </w:numPr>
        <w:shd w:val="clear" w:color="auto" w:fill="FFFFFF"/>
        <w:spacing w:after="120" w:line="276" w:lineRule="auto"/>
        <w:jc w:val="both"/>
        <w:rPr>
          <w:rFonts w:asciiTheme="majorHAnsi" w:eastAsia="Times New Roman" w:hAnsiTheme="majorHAnsi" w:cstheme="minorHAnsi"/>
          <w:color w:val="000000"/>
          <w:sz w:val="24"/>
          <w:szCs w:val="24"/>
        </w:rPr>
      </w:pPr>
      <w:r w:rsidRPr="00381DA2">
        <w:rPr>
          <w:rFonts w:asciiTheme="majorHAnsi" w:eastAsia="Times New Roman" w:hAnsiTheme="majorHAnsi" w:cstheme="minorHAnsi"/>
          <w:color w:val="000000"/>
          <w:sz w:val="24"/>
          <w:szCs w:val="24"/>
        </w:rPr>
        <w:t>au nevoie de asistență juridică în cauze contravenționale, civile și de contencios administrativ, însă nu dispun de suficiente mijloace pentru a plăti aceste servicii, cauzele fiind complexe din punct de vedere juridic sau procesual.</w:t>
      </w:r>
    </w:p>
    <w:p w14:paraId="3F7C495C" w14:textId="5FE78F28" w:rsidR="000E7C1E" w:rsidRPr="00381DA2" w:rsidRDefault="000E7C1E" w:rsidP="000E7C1E">
      <w:pPr>
        <w:spacing w:line="276" w:lineRule="auto"/>
        <w:jc w:val="both"/>
        <w:rPr>
          <w:rFonts w:asciiTheme="majorHAnsi" w:eastAsia="Times New Roman" w:hAnsiTheme="majorHAnsi" w:cstheme="minorHAnsi"/>
          <w:color w:val="000000"/>
          <w:sz w:val="24"/>
          <w:szCs w:val="24"/>
        </w:rPr>
      </w:pPr>
      <w:r w:rsidRPr="00381DA2">
        <w:rPr>
          <w:rFonts w:asciiTheme="majorHAnsi" w:eastAsia="Times New Roman" w:hAnsiTheme="majorHAnsi" w:cstheme="minorHAnsi"/>
          <w:color w:val="000000"/>
          <w:sz w:val="24"/>
          <w:szCs w:val="24"/>
        </w:rPr>
        <w:t>C</w:t>
      </w:r>
      <w:r>
        <w:rPr>
          <w:rFonts w:asciiTheme="majorHAnsi" w:eastAsia="Times New Roman" w:hAnsiTheme="majorHAnsi" w:cstheme="minorHAnsi"/>
          <w:color w:val="000000"/>
          <w:sz w:val="24"/>
          <w:szCs w:val="24"/>
        </w:rPr>
        <w:t>oncomitent, art.21 alin.(1) din</w:t>
      </w:r>
      <w:r w:rsidRPr="00381DA2">
        <w:rPr>
          <w:rFonts w:asciiTheme="majorHAnsi" w:eastAsia="Times New Roman" w:hAnsiTheme="majorHAnsi" w:cstheme="minorHAnsi"/>
          <w:color w:val="000000"/>
          <w:sz w:val="24"/>
          <w:szCs w:val="24"/>
        </w:rPr>
        <w:t xml:space="preserve"> Legea </w:t>
      </w:r>
      <w:r w:rsidR="00C8408A">
        <w:rPr>
          <w:rFonts w:asciiTheme="majorHAnsi" w:eastAsia="Times New Roman" w:hAnsiTheme="majorHAnsi" w:cstheme="minorHAnsi"/>
          <w:color w:val="000000"/>
          <w:sz w:val="24"/>
          <w:szCs w:val="24"/>
        </w:rPr>
        <w:t>nr.</w:t>
      </w:r>
      <w:r w:rsidRPr="00381DA2">
        <w:rPr>
          <w:rFonts w:asciiTheme="majorHAnsi" w:eastAsia="Times New Roman" w:hAnsiTheme="majorHAnsi" w:cstheme="minorHAnsi"/>
          <w:color w:val="000000"/>
          <w:sz w:val="24"/>
          <w:szCs w:val="24"/>
        </w:rPr>
        <w:t>198/2007 prevede că Guvernul stabilește nivelul de venit care permite acordarea a</w:t>
      </w:r>
      <w:r>
        <w:rPr>
          <w:rFonts w:asciiTheme="majorHAnsi" w:eastAsia="Times New Roman" w:hAnsiTheme="majorHAnsi" w:cstheme="minorHAnsi"/>
          <w:color w:val="000000"/>
          <w:sz w:val="24"/>
          <w:szCs w:val="24"/>
        </w:rPr>
        <w:t xml:space="preserve">sistenței juridice calificate, </w:t>
      </w:r>
      <w:r w:rsidRPr="00381DA2">
        <w:rPr>
          <w:rFonts w:asciiTheme="majorHAnsi" w:eastAsia="Times New Roman" w:hAnsiTheme="majorHAnsi" w:cstheme="minorHAnsi"/>
          <w:color w:val="000000"/>
          <w:sz w:val="24"/>
          <w:szCs w:val="24"/>
        </w:rPr>
        <w:t>metodologia de calcul al venitului, precum și forma declarației cu privire la venit</w:t>
      </w:r>
      <w:r>
        <w:rPr>
          <w:rFonts w:asciiTheme="majorHAnsi" w:eastAsia="Times New Roman" w:hAnsiTheme="majorHAnsi" w:cstheme="minorHAnsi"/>
          <w:color w:val="000000"/>
          <w:sz w:val="24"/>
          <w:szCs w:val="24"/>
        </w:rPr>
        <w:t xml:space="preserve">. </w:t>
      </w:r>
      <w:r w:rsidRPr="00381DA2">
        <w:rPr>
          <w:rFonts w:asciiTheme="majorHAnsi" w:eastAsia="Times New Roman" w:hAnsiTheme="majorHAnsi" w:cstheme="minorHAnsi"/>
          <w:color w:val="000000"/>
          <w:sz w:val="24"/>
          <w:szCs w:val="24"/>
        </w:rPr>
        <w:t>În acest sens, prin HG nr.1016/2008 a fost aprobat Regulamentul privind metodologia de calcul al venitului în scopul acordării asistenței juridice calificate garantate de stat. Potrivit prevederilor Regulamentului</w:t>
      </w:r>
      <w:r w:rsidR="00C8408A">
        <w:rPr>
          <w:rFonts w:asciiTheme="majorHAnsi" w:eastAsia="Times New Roman" w:hAnsiTheme="majorHAnsi" w:cstheme="minorHAnsi"/>
          <w:color w:val="000000"/>
          <w:sz w:val="24"/>
          <w:szCs w:val="24"/>
        </w:rPr>
        <w:t>,</w:t>
      </w:r>
      <w:r w:rsidRPr="00381DA2">
        <w:rPr>
          <w:rFonts w:asciiTheme="majorHAnsi" w:eastAsia="Times New Roman" w:hAnsiTheme="majorHAnsi" w:cstheme="minorHAnsi"/>
          <w:color w:val="000000"/>
          <w:sz w:val="24"/>
          <w:szCs w:val="24"/>
        </w:rPr>
        <w:t xml:space="preserve"> sunt eligibile persoanele a</w:t>
      </w:r>
      <w:r w:rsidR="003D08E0">
        <w:rPr>
          <w:rFonts w:asciiTheme="majorHAnsi" w:eastAsia="Times New Roman" w:hAnsiTheme="majorHAnsi" w:cstheme="minorHAnsi"/>
          <w:color w:val="000000"/>
          <w:sz w:val="24"/>
          <w:szCs w:val="24"/>
        </w:rPr>
        <w:t>l</w:t>
      </w:r>
      <w:r w:rsidRPr="00381DA2">
        <w:rPr>
          <w:rFonts w:asciiTheme="majorHAnsi" w:eastAsia="Times New Roman" w:hAnsiTheme="majorHAnsi" w:cstheme="minorHAnsi"/>
          <w:color w:val="000000"/>
          <w:sz w:val="24"/>
          <w:szCs w:val="24"/>
        </w:rPr>
        <w:t xml:space="preserve"> căror venit mediu lunar este mai mic decât nivelul minim de existență pe cap de locuitor din țară</w:t>
      </w:r>
      <w:r w:rsidR="00AF7503">
        <w:rPr>
          <w:rStyle w:val="FootnoteReference"/>
          <w:rFonts w:asciiTheme="majorHAnsi" w:eastAsia="Times New Roman" w:hAnsiTheme="majorHAnsi" w:cstheme="minorHAnsi"/>
          <w:color w:val="000000"/>
          <w:sz w:val="24"/>
          <w:szCs w:val="24"/>
        </w:rPr>
        <w:footnoteReference w:id="27"/>
      </w:r>
      <w:r w:rsidRPr="00381DA2">
        <w:rPr>
          <w:rFonts w:asciiTheme="majorHAnsi" w:eastAsia="Times New Roman" w:hAnsiTheme="majorHAnsi" w:cstheme="minorHAnsi"/>
          <w:color w:val="000000"/>
          <w:sz w:val="24"/>
          <w:szCs w:val="24"/>
        </w:rPr>
        <w:t xml:space="preserve">, </w:t>
      </w:r>
      <w:r w:rsidRPr="00381DA2">
        <w:rPr>
          <w:rFonts w:asciiTheme="majorHAnsi" w:eastAsia="Times New Roman" w:hAnsiTheme="majorHAnsi" w:cstheme="minorHAnsi"/>
          <w:color w:val="000000"/>
          <w:sz w:val="24"/>
          <w:szCs w:val="24"/>
        </w:rPr>
        <w:lastRenderedPageBreak/>
        <w:t>valoarea căruia se determină în baza calculelor efectuate de către Biroul Național de Statistică, în conformitate cu cadrul normativ în vigoare</w:t>
      </w:r>
      <w:r w:rsidRPr="00381DA2">
        <w:rPr>
          <w:rStyle w:val="FootnoteReference"/>
          <w:rFonts w:asciiTheme="majorHAnsi" w:eastAsia="Times New Roman" w:hAnsiTheme="majorHAnsi" w:cstheme="minorHAnsi"/>
          <w:color w:val="000000"/>
          <w:sz w:val="24"/>
          <w:szCs w:val="24"/>
        </w:rPr>
        <w:footnoteReference w:id="28"/>
      </w:r>
      <w:r w:rsidRPr="00381DA2">
        <w:rPr>
          <w:rFonts w:asciiTheme="majorHAnsi" w:eastAsia="Times New Roman" w:hAnsiTheme="majorHAnsi" w:cstheme="minorHAnsi"/>
          <w:color w:val="000000"/>
          <w:sz w:val="24"/>
          <w:szCs w:val="24"/>
        </w:rPr>
        <w:t xml:space="preserve">.  </w:t>
      </w:r>
    </w:p>
    <w:p w14:paraId="1E1727AA" w14:textId="4F3F1F92" w:rsidR="000E7C1E" w:rsidRDefault="000E7C1E" w:rsidP="000E7C1E">
      <w:pPr>
        <w:shd w:val="clear" w:color="auto" w:fill="FFFFFF"/>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Observațiile de audit atestă că</w:t>
      </w:r>
      <w:r w:rsidR="003D08E0">
        <w:rPr>
          <w:rFonts w:asciiTheme="majorHAnsi" w:hAnsiTheme="majorHAnsi" w:cstheme="minorHAnsi"/>
          <w:sz w:val="24"/>
          <w:szCs w:val="24"/>
        </w:rPr>
        <w:t>,</w:t>
      </w:r>
      <w:r w:rsidRPr="00381DA2">
        <w:rPr>
          <w:rFonts w:asciiTheme="majorHAnsi" w:hAnsiTheme="majorHAnsi" w:cstheme="minorHAnsi"/>
          <w:sz w:val="24"/>
          <w:szCs w:val="24"/>
        </w:rPr>
        <w:t xml:space="preserve"> la </w:t>
      </w:r>
      <w:r w:rsidRPr="00381DA2">
        <w:rPr>
          <w:rFonts w:asciiTheme="majorHAnsi" w:hAnsiTheme="majorHAnsi" w:cstheme="minorHAnsi"/>
          <w:color w:val="000000"/>
          <w:sz w:val="24"/>
          <w:szCs w:val="24"/>
        </w:rPr>
        <w:t xml:space="preserve">acordarea asistenței juridice în </w:t>
      </w:r>
      <w:r w:rsidR="003D08E0">
        <w:rPr>
          <w:rFonts w:asciiTheme="majorHAnsi" w:hAnsiTheme="majorHAnsi" w:cstheme="minorHAnsi"/>
          <w:color w:val="000000"/>
          <w:sz w:val="24"/>
          <w:szCs w:val="24"/>
        </w:rPr>
        <w:t>funcție</w:t>
      </w:r>
      <w:r w:rsidRPr="00381DA2">
        <w:rPr>
          <w:rFonts w:asciiTheme="majorHAnsi" w:hAnsiTheme="majorHAnsi" w:cstheme="minorHAnsi"/>
          <w:color w:val="000000"/>
          <w:sz w:val="24"/>
          <w:szCs w:val="24"/>
        </w:rPr>
        <w:t> de nivelul veniturilor</w:t>
      </w:r>
      <w:r w:rsidR="003D08E0">
        <w:rPr>
          <w:rFonts w:asciiTheme="majorHAnsi" w:hAnsiTheme="majorHAnsi" w:cstheme="minorHAnsi"/>
          <w:color w:val="000000"/>
          <w:sz w:val="24"/>
          <w:szCs w:val="24"/>
        </w:rPr>
        <w:t>,</w:t>
      </w:r>
      <w:r w:rsidRPr="00381DA2">
        <w:rPr>
          <w:rFonts w:asciiTheme="majorHAnsi" w:hAnsiTheme="majorHAnsi" w:cstheme="minorHAnsi"/>
          <w:color w:val="000000"/>
          <w:sz w:val="24"/>
          <w:szCs w:val="24"/>
        </w:rPr>
        <w:t xml:space="preserve"> OT ale CNAJGS nu au respectat în totalitate </w:t>
      </w:r>
      <w:r w:rsidRPr="00381DA2">
        <w:rPr>
          <w:rFonts w:asciiTheme="majorHAnsi" w:hAnsiTheme="majorHAnsi" w:cstheme="minorHAnsi"/>
          <w:sz w:val="24"/>
          <w:szCs w:val="24"/>
        </w:rPr>
        <w:t>prevederile Regulamentului aprobat prin</w:t>
      </w:r>
      <w:r w:rsidRPr="00381DA2">
        <w:rPr>
          <w:rFonts w:asciiTheme="majorHAnsi" w:eastAsia="Times New Roman" w:hAnsiTheme="majorHAnsi" w:cstheme="minorHAnsi"/>
          <w:color w:val="000000"/>
          <w:sz w:val="24"/>
          <w:szCs w:val="24"/>
        </w:rPr>
        <w:t xml:space="preserve"> HG nr.1016/2008</w:t>
      </w:r>
      <w:r w:rsidRPr="009B56B4">
        <w:rPr>
          <w:rFonts w:asciiTheme="majorHAnsi" w:hAnsiTheme="majorHAnsi" w:cstheme="minorHAnsi"/>
          <w:sz w:val="24"/>
          <w:szCs w:val="24"/>
        </w:rPr>
        <w:t xml:space="preserve">, inclusiv, în unele cazuri, nefiind solicitat setul de documente necesar determinării corecte a  acestuia. Cele menționate au fost cauzate atât </w:t>
      </w:r>
      <w:r w:rsidR="003D08E0">
        <w:rPr>
          <w:rFonts w:asciiTheme="majorHAnsi" w:hAnsiTheme="majorHAnsi" w:cstheme="minorHAnsi"/>
          <w:sz w:val="24"/>
          <w:szCs w:val="24"/>
        </w:rPr>
        <w:t xml:space="preserve">ca </w:t>
      </w:r>
      <w:r w:rsidRPr="009B56B4">
        <w:rPr>
          <w:rFonts w:asciiTheme="majorHAnsi" w:hAnsiTheme="majorHAnsi" w:cstheme="minorHAnsi"/>
          <w:sz w:val="24"/>
          <w:szCs w:val="24"/>
        </w:rPr>
        <w:t xml:space="preserve">urmare </w:t>
      </w:r>
      <w:r w:rsidR="003D08E0">
        <w:rPr>
          <w:rFonts w:asciiTheme="majorHAnsi" w:hAnsiTheme="majorHAnsi" w:cstheme="minorHAnsi"/>
          <w:sz w:val="24"/>
          <w:szCs w:val="24"/>
        </w:rPr>
        <w:t xml:space="preserve">a </w:t>
      </w:r>
      <w:r w:rsidRPr="009B56B4">
        <w:rPr>
          <w:rFonts w:asciiTheme="majorHAnsi" w:hAnsiTheme="majorHAnsi" w:cstheme="minorHAnsi"/>
          <w:sz w:val="24"/>
          <w:szCs w:val="24"/>
        </w:rPr>
        <w:t>existenței unor abordări diferite a</w:t>
      </w:r>
      <w:r w:rsidR="003D08E0">
        <w:rPr>
          <w:rFonts w:asciiTheme="majorHAnsi" w:hAnsiTheme="majorHAnsi" w:cstheme="minorHAnsi"/>
          <w:sz w:val="24"/>
          <w:szCs w:val="24"/>
        </w:rPr>
        <w:t>le</w:t>
      </w:r>
      <w:r w:rsidRPr="009B56B4">
        <w:rPr>
          <w:rFonts w:asciiTheme="majorHAnsi" w:hAnsiTheme="majorHAnsi" w:cstheme="minorHAnsi"/>
          <w:sz w:val="24"/>
          <w:szCs w:val="24"/>
        </w:rPr>
        <w:t xml:space="preserve"> responsabililor la</w:t>
      </w:r>
      <w:r>
        <w:rPr>
          <w:rFonts w:asciiTheme="majorHAnsi" w:hAnsiTheme="majorHAnsi" w:cstheme="minorHAnsi"/>
          <w:sz w:val="24"/>
          <w:szCs w:val="24"/>
        </w:rPr>
        <w:t xml:space="preserve"> estimarea plenitudinii </w:t>
      </w:r>
      <w:r w:rsidRPr="00381DA2">
        <w:rPr>
          <w:rFonts w:asciiTheme="majorHAnsi" w:hAnsiTheme="majorHAnsi" w:cstheme="minorHAnsi"/>
          <w:sz w:val="24"/>
          <w:szCs w:val="24"/>
        </w:rPr>
        <w:t>venitului</w:t>
      </w:r>
      <w:r>
        <w:rPr>
          <w:rFonts w:asciiTheme="majorHAnsi" w:hAnsiTheme="majorHAnsi" w:cstheme="minorHAnsi"/>
          <w:sz w:val="24"/>
          <w:szCs w:val="24"/>
        </w:rPr>
        <w:t xml:space="preserve"> solicitantului de AJGS, cât </w:t>
      </w:r>
      <w:r w:rsidR="001E7F9E">
        <w:rPr>
          <w:rFonts w:asciiTheme="majorHAnsi" w:hAnsiTheme="majorHAnsi" w:cstheme="minorHAnsi"/>
          <w:sz w:val="24"/>
          <w:szCs w:val="24"/>
        </w:rPr>
        <w:t xml:space="preserve">și </w:t>
      </w:r>
      <w:r w:rsidR="003D08E0">
        <w:rPr>
          <w:rFonts w:asciiTheme="majorHAnsi" w:hAnsiTheme="majorHAnsi" w:cstheme="minorHAnsi"/>
          <w:sz w:val="24"/>
          <w:szCs w:val="24"/>
        </w:rPr>
        <w:t xml:space="preserve">ca </w:t>
      </w:r>
      <w:r>
        <w:rPr>
          <w:rFonts w:asciiTheme="majorHAnsi" w:hAnsiTheme="majorHAnsi" w:cstheme="minorHAnsi"/>
          <w:sz w:val="24"/>
          <w:szCs w:val="24"/>
        </w:rPr>
        <w:t xml:space="preserve">urmare </w:t>
      </w:r>
      <w:r w:rsidR="003D08E0">
        <w:rPr>
          <w:rFonts w:asciiTheme="majorHAnsi" w:hAnsiTheme="majorHAnsi" w:cstheme="minorHAnsi"/>
          <w:sz w:val="24"/>
          <w:szCs w:val="24"/>
        </w:rPr>
        <w:t xml:space="preserve">a </w:t>
      </w:r>
      <w:r>
        <w:rPr>
          <w:rFonts w:asciiTheme="majorHAnsi" w:hAnsiTheme="majorHAnsi" w:cstheme="minorHAnsi"/>
          <w:sz w:val="24"/>
          <w:szCs w:val="24"/>
        </w:rPr>
        <w:t>neaplicabilității unor norme</w:t>
      </w:r>
      <w:r w:rsidRPr="00381DA2">
        <w:rPr>
          <w:rFonts w:asciiTheme="majorHAnsi" w:hAnsiTheme="majorHAnsi" w:cstheme="minorHAnsi"/>
          <w:sz w:val="24"/>
          <w:szCs w:val="24"/>
        </w:rPr>
        <w:t>,</w:t>
      </w:r>
      <w:r>
        <w:rPr>
          <w:rFonts w:asciiTheme="majorHAnsi" w:hAnsiTheme="majorHAnsi" w:cstheme="minorHAnsi"/>
          <w:sz w:val="24"/>
          <w:szCs w:val="24"/>
        </w:rPr>
        <w:t xml:space="preserve"> în acest sens </w:t>
      </w:r>
      <w:r w:rsidRPr="00381DA2">
        <w:rPr>
          <w:rFonts w:asciiTheme="majorHAnsi" w:hAnsiTheme="majorHAnsi" w:cstheme="minorHAnsi"/>
          <w:sz w:val="24"/>
          <w:szCs w:val="24"/>
        </w:rPr>
        <w:t xml:space="preserve">necesitându-se o revizuire a actului normativ. </w:t>
      </w:r>
      <w:r w:rsidR="003D08E0">
        <w:rPr>
          <w:rFonts w:asciiTheme="majorHAnsi" w:hAnsiTheme="majorHAnsi" w:cstheme="minorHAnsi"/>
          <w:sz w:val="24"/>
          <w:szCs w:val="24"/>
        </w:rPr>
        <w:t>Pe</w:t>
      </w:r>
      <w:r w:rsidRPr="00381DA2">
        <w:rPr>
          <w:rFonts w:asciiTheme="majorHAnsi" w:hAnsiTheme="majorHAnsi" w:cstheme="minorHAnsi"/>
          <w:sz w:val="24"/>
          <w:szCs w:val="24"/>
        </w:rPr>
        <w:t>ntru argumentarea celor menționate</w:t>
      </w:r>
      <w:r w:rsidR="003D08E0">
        <w:rPr>
          <w:rFonts w:asciiTheme="majorHAnsi" w:hAnsiTheme="majorHAnsi" w:cstheme="minorHAnsi"/>
          <w:sz w:val="24"/>
          <w:szCs w:val="24"/>
        </w:rPr>
        <w:t>,</w:t>
      </w:r>
      <w:r w:rsidRPr="00381DA2">
        <w:rPr>
          <w:rFonts w:asciiTheme="majorHAnsi" w:hAnsiTheme="majorHAnsi" w:cstheme="minorHAnsi"/>
          <w:sz w:val="24"/>
          <w:szCs w:val="24"/>
        </w:rPr>
        <w:t xml:space="preserve"> se exemplifică următoarele. </w:t>
      </w:r>
    </w:p>
    <w:p w14:paraId="7959650B" w14:textId="17CC9125" w:rsidR="000E7C1E" w:rsidRPr="00381DA2" w:rsidRDefault="000E7C1E" w:rsidP="000E7C1E">
      <w:pPr>
        <w:shd w:val="clear" w:color="auto" w:fill="FFFFFF"/>
        <w:spacing w:after="0" w:line="276" w:lineRule="auto"/>
        <w:jc w:val="both"/>
        <w:rPr>
          <w:rFonts w:asciiTheme="majorHAnsi" w:hAnsiTheme="majorHAnsi" w:cstheme="minorHAnsi"/>
          <w:sz w:val="24"/>
          <w:szCs w:val="24"/>
        </w:rPr>
      </w:pPr>
      <w:r w:rsidRPr="00381DA2">
        <w:rPr>
          <w:rFonts w:asciiTheme="majorHAnsi" w:hAnsiTheme="majorHAnsi" w:cstheme="minorHAnsi"/>
          <w:b/>
          <w:sz w:val="24"/>
          <w:szCs w:val="24"/>
          <w:lang w:val="ro-RO"/>
        </w:rPr>
        <w:t>(i)</w:t>
      </w:r>
      <w:r>
        <w:rPr>
          <w:rFonts w:asciiTheme="majorHAnsi" w:hAnsiTheme="majorHAnsi" w:cstheme="minorHAnsi"/>
          <w:sz w:val="24"/>
          <w:szCs w:val="24"/>
          <w:lang w:val="ro-RO"/>
        </w:rPr>
        <w:t xml:space="preserve"> </w:t>
      </w:r>
      <w:r w:rsidRPr="00381DA2">
        <w:rPr>
          <w:rFonts w:asciiTheme="majorHAnsi" w:hAnsiTheme="majorHAnsi" w:cstheme="minorHAnsi"/>
          <w:sz w:val="24"/>
          <w:szCs w:val="24"/>
          <w:lang w:val="ro-RO"/>
        </w:rPr>
        <w:t>Potrivit pct.1 din Regulamentul aprobat prin</w:t>
      </w:r>
      <w:r>
        <w:rPr>
          <w:rFonts w:asciiTheme="majorHAnsi" w:hAnsiTheme="majorHAnsi" w:cstheme="minorHAnsi"/>
          <w:sz w:val="24"/>
          <w:szCs w:val="24"/>
          <w:lang w:val="ro-RO"/>
        </w:rPr>
        <w:t xml:space="preserve"> HG nr.1016/2008</w:t>
      </w:r>
      <w:r w:rsidR="003D08E0">
        <w:rPr>
          <w:rFonts w:asciiTheme="majorHAnsi" w:hAnsiTheme="majorHAnsi" w:cstheme="minorHAnsi"/>
          <w:sz w:val="24"/>
          <w:szCs w:val="24"/>
          <w:lang w:val="ro-RO"/>
        </w:rPr>
        <w:t>,</w:t>
      </w:r>
      <w:r>
        <w:rPr>
          <w:rFonts w:asciiTheme="majorHAnsi" w:hAnsiTheme="majorHAnsi" w:cstheme="minorHAnsi"/>
          <w:sz w:val="24"/>
          <w:szCs w:val="24"/>
          <w:lang w:val="ro-RO"/>
        </w:rPr>
        <w:t xml:space="preserve"> se prevede că </w:t>
      </w:r>
      <w:r w:rsidRPr="00381DA2">
        <w:rPr>
          <w:rFonts w:asciiTheme="majorHAnsi" w:hAnsiTheme="majorHAnsi" w:cstheme="minorHAnsi"/>
          <w:sz w:val="24"/>
          <w:szCs w:val="24"/>
        </w:rPr>
        <w:t>venitul mediu lunar</w:t>
      </w:r>
      <w:r w:rsidR="003D08E0">
        <w:rPr>
          <w:rFonts w:asciiTheme="majorHAnsi" w:hAnsiTheme="majorHAnsi" w:cstheme="minorHAnsi"/>
          <w:sz w:val="24"/>
          <w:szCs w:val="24"/>
        </w:rPr>
        <w:t>,</w:t>
      </w:r>
      <w:r w:rsidRPr="00381DA2">
        <w:rPr>
          <w:rFonts w:asciiTheme="majorHAnsi" w:hAnsiTheme="majorHAnsi" w:cstheme="minorHAnsi"/>
          <w:sz w:val="24"/>
          <w:szCs w:val="24"/>
        </w:rPr>
        <w:t xml:space="preserve"> care permite acordarea asistenței juridice calificate garan</w:t>
      </w:r>
      <w:r>
        <w:rPr>
          <w:rFonts w:asciiTheme="majorHAnsi" w:hAnsiTheme="majorHAnsi" w:cstheme="minorHAnsi"/>
          <w:sz w:val="24"/>
          <w:szCs w:val="24"/>
        </w:rPr>
        <w:t xml:space="preserve">tate de stat, reprezintă suma </w:t>
      </w:r>
      <w:r w:rsidRPr="00381DA2">
        <w:rPr>
          <w:rFonts w:asciiTheme="majorHAnsi" w:hAnsiTheme="majorHAnsi" w:cstheme="minorHAnsi"/>
          <w:sz w:val="24"/>
          <w:szCs w:val="24"/>
        </w:rPr>
        <w:t>mijloacelor obținute sub formă:</w:t>
      </w:r>
    </w:p>
    <w:p w14:paraId="7586515A" w14:textId="77777777" w:rsidR="000E7C1E" w:rsidRPr="00381DA2" w:rsidRDefault="000E7C1E" w:rsidP="000E7C1E">
      <w:pPr>
        <w:numPr>
          <w:ilvl w:val="0"/>
          <w:numId w:val="9"/>
        </w:numPr>
        <w:shd w:val="clear" w:color="auto" w:fill="FFFFFF"/>
        <w:spacing w:after="0" w:line="276" w:lineRule="auto"/>
        <w:contextualSpacing/>
        <w:jc w:val="both"/>
        <w:rPr>
          <w:rFonts w:asciiTheme="majorHAnsi" w:hAnsiTheme="majorHAnsi" w:cstheme="minorHAnsi"/>
          <w:sz w:val="24"/>
          <w:szCs w:val="24"/>
        </w:rPr>
      </w:pPr>
      <w:r w:rsidRPr="00381DA2">
        <w:rPr>
          <w:rFonts w:asciiTheme="majorHAnsi" w:hAnsiTheme="majorHAnsi" w:cstheme="minorHAnsi"/>
          <w:i/>
          <w:sz w:val="24"/>
          <w:szCs w:val="24"/>
        </w:rPr>
        <w:t>bănească</w:t>
      </w:r>
      <w:r>
        <w:rPr>
          <w:rFonts w:asciiTheme="majorHAnsi" w:hAnsiTheme="majorHAnsi" w:cstheme="minorHAnsi"/>
          <w:sz w:val="24"/>
          <w:szCs w:val="24"/>
        </w:rPr>
        <w:t xml:space="preserve"> </w:t>
      </w:r>
      <w:r w:rsidRPr="00381DA2">
        <w:rPr>
          <w:rFonts w:asciiTheme="majorHAnsi" w:hAnsiTheme="majorHAnsi" w:cstheme="minorHAnsi"/>
          <w:sz w:val="24"/>
          <w:szCs w:val="24"/>
        </w:rPr>
        <w:t>(munca retribuită, din toate tipurile de activitate antreprenorială, din veniturile de la închirierea bunurilor mobile și imobile, prestațiile sociale, bursele de învățământ achitate membrilor familiei, altele);</w:t>
      </w:r>
    </w:p>
    <w:p w14:paraId="3CEBDB5D" w14:textId="77777777" w:rsidR="000E7C1E" w:rsidRPr="00381DA2" w:rsidRDefault="000E7C1E" w:rsidP="000E7C1E">
      <w:pPr>
        <w:numPr>
          <w:ilvl w:val="0"/>
          <w:numId w:val="9"/>
        </w:numPr>
        <w:shd w:val="clear" w:color="auto" w:fill="FFFFFF"/>
        <w:spacing w:after="120" w:line="276" w:lineRule="auto"/>
        <w:jc w:val="both"/>
        <w:rPr>
          <w:rFonts w:asciiTheme="majorHAnsi" w:hAnsiTheme="majorHAnsi" w:cstheme="minorHAnsi"/>
          <w:i/>
          <w:sz w:val="24"/>
          <w:szCs w:val="24"/>
        </w:rPr>
      </w:pPr>
      <w:r w:rsidRPr="00381DA2">
        <w:rPr>
          <w:rFonts w:asciiTheme="majorHAnsi" w:hAnsiTheme="majorHAnsi" w:cstheme="minorHAnsi"/>
          <w:i/>
          <w:sz w:val="24"/>
          <w:szCs w:val="24"/>
        </w:rPr>
        <w:t>în natură (</w:t>
      </w:r>
      <w:r w:rsidRPr="00381DA2">
        <w:rPr>
          <w:rFonts w:asciiTheme="majorHAnsi" w:hAnsiTheme="majorHAnsi" w:cstheme="minorHAnsi"/>
          <w:sz w:val="24"/>
          <w:szCs w:val="24"/>
        </w:rPr>
        <w:t>veniturile obținute din producția agricolă sau zootehnică a gospodăriilor țărănești (de fermier) și gospodăriei casnice auxiliare).</w:t>
      </w:r>
    </w:p>
    <w:p w14:paraId="3F4B4764" w14:textId="6CFF8C31" w:rsidR="000E7C1E" w:rsidRPr="00243978" w:rsidRDefault="000E7C1E" w:rsidP="000E7C1E">
      <w:pPr>
        <w:shd w:val="clear" w:color="auto" w:fill="FFFFFF"/>
        <w:spacing w:after="120" w:line="276" w:lineRule="auto"/>
        <w:jc w:val="both"/>
        <w:rPr>
          <w:rFonts w:asciiTheme="majorHAnsi" w:hAnsiTheme="majorHAnsi" w:cstheme="minorHAnsi"/>
          <w:sz w:val="24"/>
          <w:szCs w:val="24"/>
        </w:rPr>
      </w:pPr>
      <w:r w:rsidRPr="00243978">
        <w:rPr>
          <w:rFonts w:asciiTheme="majorHAnsi" w:hAnsiTheme="majorHAnsi" w:cstheme="minorHAnsi"/>
          <w:sz w:val="24"/>
          <w:szCs w:val="24"/>
        </w:rPr>
        <w:t xml:space="preserve">Concomitent, </w:t>
      </w:r>
      <w:r w:rsidRPr="00243978">
        <w:rPr>
          <w:rFonts w:asciiTheme="majorHAnsi" w:hAnsiTheme="majorHAnsi" w:cstheme="minorHAnsi"/>
          <w:sz w:val="24"/>
          <w:szCs w:val="24"/>
          <w:lang w:val="ro-RO"/>
        </w:rPr>
        <w:t>pct.11 din</w:t>
      </w:r>
      <w:r w:rsidRPr="00243978">
        <w:rPr>
          <w:rFonts w:asciiTheme="majorHAnsi" w:hAnsiTheme="majorHAnsi" w:cstheme="minorHAnsi"/>
          <w:sz w:val="24"/>
          <w:szCs w:val="24"/>
        </w:rPr>
        <w:t xml:space="preserve"> Regulament</w:t>
      </w:r>
      <w:r w:rsidRPr="00243978">
        <w:rPr>
          <w:rFonts w:asciiTheme="majorHAnsi" w:eastAsia="Times New Roman" w:hAnsiTheme="majorHAnsi" w:cstheme="minorHAnsi"/>
          <w:color w:val="000000"/>
          <w:sz w:val="24"/>
          <w:szCs w:val="24"/>
        </w:rPr>
        <w:t xml:space="preserve"> prevede că</w:t>
      </w:r>
      <w:r w:rsidR="003D08E0">
        <w:rPr>
          <w:rFonts w:asciiTheme="majorHAnsi" w:eastAsia="Times New Roman" w:hAnsiTheme="majorHAnsi" w:cstheme="minorHAnsi"/>
          <w:color w:val="000000"/>
          <w:sz w:val="24"/>
          <w:szCs w:val="24"/>
        </w:rPr>
        <w:t>,</w:t>
      </w:r>
      <w:r w:rsidRPr="00243978">
        <w:rPr>
          <w:rFonts w:asciiTheme="majorHAnsi" w:hAnsiTheme="majorHAnsi" w:cstheme="minorHAnsi"/>
          <w:sz w:val="24"/>
          <w:szCs w:val="24"/>
          <w:lang w:val="ro-RO"/>
        </w:rPr>
        <w:t xml:space="preserve"> la calcularea venitului mediu lunar al persoanei</w:t>
      </w:r>
      <w:r w:rsidR="003D08E0">
        <w:rPr>
          <w:rFonts w:asciiTheme="majorHAnsi" w:hAnsiTheme="majorHAnsi" w:cstheme="minorHAnsi"/>
          <w:sz w:val="24"/>
          <w:szCs w:val="24"/>
          <w:lang w:val="ro-RO"/>
        </w:rPr>
        <w:t>,</w:t>
      </w:r>
      <w:r w:rsidRPr="00243978">
        <w:rPr>
          <w:rFonts w:asciiTheme="majorHAnsi" w:hAnsiTheme="majorHAnsi" w:cstheme="minorHAnsi"/>
          <w:sz w:val="24"/>
          <w:szCs w:val="24"/>
          <w:lang w:val="ro-RO"/>
        </w:rPr>
        <w:t xml:space="preserve"> se iau în considerare veniturile obținute din producția agricolă sau zootehnică a gospodăriei casnice auxiliare,</w:t>
      </w:r>
      <w:r w:rsidRPr="00243978">
        <w:rPr>
          <w:rFonts w:asciiTheme="majorHAnsi" w:hAnsiTheme="majorHAnsi" w:cstheme="minorHAnsi"/>
          <w:sz w:val="24"/>
          <w:szCs w:val="24"/>
        </w:rPr>
        <w:t xml:space="preserve"> venit ce se confirmă prin certificatul eliberat de către Primăria din localitatea dislocării fiecărei gospodării a solicitantului, în baza extrasului din Registrul de evidență a gospodăriilor populației. </w:t>
      </w:r>
    </w:p>
    <w:p w14:paraId="45FEA18B" w14:textId="19976FC6" w:rsidR="000E7C1E" w:rsidRPr="00243978" w:rsidRDefault="000E7C1E" w:rsidP="000E7C1E">
      <w:pPr>
        <w:shd w:val="clear" w:color="auto" w:fill="FFFFFF"/>
        <w:spacing w:after="120" w:line="276" w:lineRule="auto"/>
        <w:jc w:val="both"/>
        <w:rPr>
          <w:rFonts w:asciiTheme="majorHAnsi" w:hAnsiTheme="majorHAnsi" w:cstheme="minorHAnsi"/>
          <w:sz w:val="24"/>
          <w:szCs w:val="24"/>
          <w:lang w:val="ro-RO"/>
        </w:rPr>
      </w:pPr>
      <w:r w:rsidRPr="00243978">
        <w:rPr>
          <w:rFonts w:asciiTheme="majorHAnsi" w:hAnsiTheme="majorHAnsi" w:cstheme="minorHAnsi"/>
          <w:sz w:val="24"/>
          <w:szCs w:val="24"/>
          <w:lang w:val="ro-RO"/>
        </w:rPr>
        <w:t>Verificările selective efectuate au identificat 32 de cazuri</w:t>
      </w:r>
      <w:r>
        <w:rPr>
          <w:rFonts w:asciiTheme="majorHAnsi" w:hAnsiTheme="majorHAnsi" w:cstheme="minorHAnsi"/>
          <w:sz w:val="24"/>
          <w:szCs w:val="24"/>
          <w:lang w:val="ro-RO"/>
        </w:rPr>
        <w:t xml:space="preserve"> în care</w:t>
      </w:r>
      <w:r w:rsidR="003D08E0">
        <w:rPr>
          <w:rFonts w:asciiTheme="majorHAnsi" w:hAnsiTheme="majorHAnsi" w:cstheme="minorHAnsi"/>
          <w:sz w:val="24"/>
          <w:szCs w:val="24"/>
          <w:lang w:val="ro-RO"/>
        </w:rPr>
        <w:t>,</w:t>
      </w:r>
      <w:r w:rsidRPr="00243978">
        <w:rPr>
          <w:rFonts w:asciiTheme="majorHAnsi" w:hAnsiTheme="majorHAnsi" w:cstheme="minorHAnsi"/>
          <w:sz w:val="24"/>
          <w:szCs w:val="24"/>
          <w:lang w:val="ro-RO"/>
        </w:rPr>
        <w:t xml:space="preserve"> deși beneficiarii dețineau în proprietate de le 1 pâ</w:t>
      </w:r>
      <w:r w:rsidR="001E7F9E">
        <w:rPr>
          <w:rFonts w:asciiTheme="majorHAnsi" w:hAnsiTheme="majorHAnsi" w:cstheme="minorHAnsi"/>
          <w:sz w:val="24"/>
          <w:szCs w:val="24"/>
          <w:lang w:val="ro-RO"/>
        </w:rPr>
        <w:t>nă la 12 terenuri, la Declarația</w:t>
      </w:r>
      <w:r w:rsidRPr="00243978">
        <w:rPr>
          <w:rFonts w:asciiTheme="majorHAnsi" w:hAnsiTheme="majorHAnsi" w:cstheme="minorHAnsi"/>
          <w:sz w:val="24"/>
          <w:szCs w:val="24"/>
          <w:lang w:val="ro-RO"/>
        </w:rPr>
        <w:t xml:space="preserve"> cu privire la venituri depuse de către aceștia nu au fost indicate venituri</w:t>
      </w:r>
      <w:r w:rsidR="003D08E0">
        <w:rPr>
          <w:rFonts w:asciiTheme="majorHAnsi" w:hAnsiTheme="majorHAnsi" w:cstheme="minorHAnsi"/>
          <w:sz w:val="24"/>
          <w:szCs w:val="24"/>
          <w:lang w:val="ro-RO"/>
        </w:rPr>
        <w:t>le</w:t>
      </w:r>
      <w:r w:rsidRPr="00243978">
        <w:rPr>
          <w:rFonts w:asciiTheme="majorHAnsi" w:hAnsiTheme="majorHAnsi" w:cstheme="minorHAnsi"/>
          <w:sz w:val="24"/>
          <w:szCs w:val="24"/>
          <w:lang w:val="ro-RO"/>
        </w:rPr>
        <w:t xml:space="preserve"> obținute din folosirea loturilor de pământ respective, lipsind și certificatul eliberat de organul local, după cum prevede norma juridică. Pe de o parte, calcularea și declararea acest</w:t>
      </w:r>
      <w:r w:rsidR="003D08E0">
        <w:rPr>
          <w:rFonts w:asciiTheme="majorHAnsi" w:hAnsiTheme="majorHAnsi" w:cstheme="minorHAnsi"/>
          <w:sz w:val="24"/>
          <w:szCs w:val="24"/>
          <w:lang w:val="ro-RO"/>
        </w:rPr>
        <w:t>or</w:t>
      </w:r>
      <w:r w:rsidRPr="00243978">
        <w:rPr>
          <w:rFonts w:asciiTheme="majorHAnsi" w:hAnsiTheme="majorHAnsi" w:cstheme="minorHAnsi"/>
          <w:sz w:val="24"/>
          <w:szCs w:val="24"/>
          <w:lang w:val="ro-RO"/>
        </w:rPr>
        <w:t xml:space="preserve"> venit</w:t>
      </w:r>
      <w:r w:rsidR="003D08E0">
        <w:rPr>
          <w:rFonts w:asciiTheme="majorHAnsi" w:hAnsiTheme="majorHAnsi" w:cstheme="minorHAnsi"/>
          <w:sz w:val="24"/>
          <w:szCs w:val="24"/>
          <w:lang w:val="ro-RO"/>
        </w:rPr>
        <w:t>uri</w:t>
      </w:r>
      <w:r w:rsidRPr="00243978">
        <w:rPr>
          <w:rFonts w:asciiTheme="majorHAnsi" w:hAnsiTheme="majorHAnsi" w:cstheme="minorHAnsi"/>
          <w:sz w:val="24"/>
          <w:szCs w:val="24"/>
          <w:lang w:val="ro-RO"/>
        </w:rPr>
        <w:t xml:space="preserve"> de către solicitant reprezintă o procedură anevoioasă, iar pe de altă parte</w:t>
      </w:r>
      <w:r w:rsidR="003D08E0">
        <w:rPr>
          <w:rFonts w:asciiTheme="majorHAnsi" w:hAnsiTheme="majorHAnsi" w:cstheme="minorHAnsi"/>
          <w:sz w:val="24"/>
          <w:szCs w:val="24"/>
          <w:lang w:val="ro-RO"/>
        </w:rPr>
        <w:t>,</w:t>
      </w:r>
      <w:r w:rsidRPr="00243978">
        <w:rPr>
          <w:rFonts w:asciiTheme="majorHAnsi" w:hAnsiTheme="majorHAnsi" w:cstheme="minorHAnsi"/>
          <w:sz w:val="24"/>
          <w:szCs w:val="24"/>
          <w:lang w:val="ro-RO"/>
        </w:rPr>
        <w:t xml:space="preserve"> angajații OT nu dețin atribuții și instrumente să le identifice și să </w:t>
      </w:r>
      <w:r w:rsidR="003D08E0">
        <w:rPr>
          <w:rFonts w:asciiTheme="majorHAnsi" w:hAnsiTheme="majorHAnsi" w:cstheme="minorHAnsi"/>
          <w:sz w:val="24"/>
          <w:szCs w:val="24"/>
          <w:lang w:val="ro-RO"/>
        </w:rPr>
        <w:t xml:space="preserve">le </w:t>
      </w:r>
      <w:r w:rsidRPr="00243978">
        <w:rPr>
          <w:rFonts w:asciiTheme="majorHAnsi" w:hAnsiTheme="majorHAnsi" w:cstheme="minorHAnsi"/>
          <w:sz w:val="24"/>
          <w:szCs w:val="24"/>
          <w:lang w:val="ro-RO"/>
        </w:rPr>
        <w:t xml:space="preserve">recalculeze. Mai mult </w:t>
      </w:r>
      <w:r w:rsidR="003D08E0">
        <w:rPr>
          <w:rFonts w:asciiTheme="majorHAnsi" w:hAnsiTheme="majorHAnsi" w:cstheme="minorHAnsi"/>
          <w:sz w:val="24"/>
          <w:szCs w:val="24"/>
          <w:lang w:val="ro-RO"/>
        </w:rPr>
        <w:t>decât</w:t>
      </w:r>
      <w:r w:rsidRPr="00243978">
        <w:rPr>
          <w:rFonts w:asciiTheme="majorHAnsi" w:hAnsiTheme="majorHAnsi" w:cstheme="minorHAnsi"/>
          <w:sz w:val="24"/>
          <w:szCs w:val="24"/>
          <w:lang w:val="ro-RO"/>
        </w:rPr>
        <w:t xml:space="preserve"> atât, se atestă lipsa unor modele</w:t>
      </w:r>
      <w:r w:rsidR="003D08E0">
        <w:rPr>
          <w:rFonts w:asciiTheme="majorHAnsi" w:hAnsiTheme="majorHAnsi" w:cstheme="minorHAnsi"/>
          <w:sz w:val="24"/>
          <w:szCs w:val="24"/>
          <w:lang w:val="ro-RO"/>
        </w:rPr>
        <w:t>,</w:t>
      </w:r>
      <w:r w:rsidRPr="00243978">
        <w:rPr>
          <w:rFonts w:asciiTheme="majorHAnsi" w:hAnsiTheme="majorHAnsi" w:cstheme="minorHAnsi"/>
          <w:sz w:val="24"/>
          <w:szCs w:val="24"/>
          <w:lang w:val="ro-RO"/>
        </w:rPr>
        <w:t xml:space="preserve"> prevăzute de actul normativ menționat</w:t>
      </w:r>
      <w:r w:rsidR="003D08E0">
        <w:rPr>
          <w:rFonts w:asciiTheme="majorHAnsi" w:hAnsiTheme="majorHAnsi" w:cstheme="minorHAnsi"/>
          <w:sz w:val="24"/>
          <w:szCs w:val="24"/>
          <w:lang w:val="ro-RO"/>
        </w:rPr>
        <w:t>, de</w:t>
      </w:r>
      <w:r w:rsidRPr="00243978">
        <w:rPr>
          <w:rFonts w:asciiTheme="majorHAnsi" w:hAnsiTheme="majorHAnsi" w:cstheme="minorHAnsi"/>
          <w:sz w:val="24"/>
          <w:szCs w:val="24"/>
          <w:lang w:val="ro-RO"/>
        </w:rPr>
        <w:t xml:space="preserve"> certificate eliberate de APL, a confirmării burselor membrilor familiei achitate de către instituțiile de învățământ superior și mediu de specialitate (colegii), elevilor din școlile profesionale, organizațiile obștești și din alte surse.</w:t>
      </w:r>
    </w:p>
    <w:p w14:paraId="54881FA5" w14:textId="5FA3142B" w:rsidR="000E7C1E" w:rsidRPr="00243978" w:rsidRDefault="000E7C1E" w:rsidP="000E7C1E">
      <w:pPr>
        <w:spacing w:line="276" w:lineRule="auto"/>
        <w:jc w:val="both"/>
        <w:rPr>
          <w:rFonts w:asciiTheme="majorHAnsi" w:eastAsia="Times New Roman" w:hAnsiTheme="majorHAnsi" w:cstheme="minorHAnsi"/>
          <w:sz w:val="24"/>
          <w:szCs w:val="24"/>
        </w:rPr>
      </w:pPr>
      <w:r w:rsidRPr="00243978">
        <w:rPr>
          <w:rFonts w:asciiTheme="majorHAnsi" w:hAnsiTheme="majorHAnsi" w:cstheme="minorHAnsi"/>
          <w:b/>
          <w:sz w:val="24"/>
          <w:szCs w:val="24"/>
          <w:lang w:val="ro-RO"/>
        </w:rPr>
        <w:t>(ii)</w:t>
      </w:r>
      <w:r w:rsidRPr="00243978">
        <w:rPr>
          <w:rFonts w:asciiTheme="majorHAnsi" w:hAnsiTheme="majorHAnsi" w:cstheme="minorHAnsi"/>
          <w:sz w:val="24"/>
          <w:szCs w:val="24"/>
          <w:lang w:val="ro-RO"/>
        </w:rPr>
        <w:t xml:space="preserve"> </w:t>
      </w:r>
      <w:r w:rsidRPr="00243978">
        <w:rPr>
          <w:rFonts w:asciiTheme="majorHAnsi" w:hAnsiTheme="majorHAnsi" w:cstheme="minorHAnsi"/>
          <w:sz w:val="24"/>
          <w:szCs w:val="24"/>
        </w:rPr>
        <w:t xml:space="preserve">Prevederile </w:t>
      </w:r>
      <w:r w:rsidRPr="00243978">
        <w:rPr>
          <w:rFonts w:asciiTheme="majorHAnsi" w:eastAsia="Times New Roman" w:hAnsiTheme="majorHAnsi" w:cstheme="minorHAnsi"/>
          <w:color w:val="000000"/>
          <w:sz w:val="24"/>
          <w:szCs w:val="24"/>
        </w:rPr>
        <w:t>Regulamentului aprobat prin HG nr.1016/2008</w:t>
      </w:r>
      <w:r w:rsidRPr="00243978">
        <w:rPr>
          <w:rFonts w:asciiTheme="majorHAnsi" w:eastAsia="Times New Roman" w:hAnsiTheme="majorHAnsi" w:cstheme="minorHAnsi"/>
          <w:color w:val="000000"/>
          <w:sz w:val="24"/>
          <w:szCs w:val="24"/>
          <w:vertAlign w:val="superscript"/>
        </w:rPr>
        <w:footnoteReference w:id="29"/>
      </w:r>
      <w:r w:rsidRPr="00243978">
        <w:rPr>
          <w:rFonts w:asciiTheme="majorHAnsi" w:eastAsia="Times New Roman" w:hAnsiTheme="majorHAnsi" w:cstheme="minorHAnsi"/>
          <w:color w:val="000000"/>
          <w:sz w:val="24"/>
          <w:szCs w:val="24"/>
        </w:rPr>
        <w:t xml:space="preserve"> stabilesc că, pentru a beneficia</w:t>
      </w:r>
      <w:r>
        <w:rPr>
          <w:rFonts w:asciiTheme="majorHAnsi" w:eastAsia="Times New Roman" w:hAnsiTheme="majorHAnsi" w:cstheme="minorHAnsi"/>
          <w:color w:val="000000"/>
          <w:sz w:val="24"/>
          <w:szCs w:val="24"/>
        </w:rPr>
        <w:t xml:space="preserve"> de servicii juridice garantate de stat,</w:t>
      </w:r>
      <w:r w:rsidRPr="00381DA2">
        <w:rPr>
          <w:rFonts w:asciiTheme="majorHAnsi" w:eastAsia="Times New Roman" w:hAnsiTheme="majorHAnsi" w:cstheme="minorHAnsi"/>
          <w:color w:val="000000"/>
          <w:sz w:val="24"/>
          <w:szCs w:val="24"/>
        </w:rPr>
        <w:t xml:space="preserve"> so</w:t>
      </w:r>
      <w:r>
        <w:rPr>
          <w:rFonts w:asciiTheme="majorHAnsi" w:eastAsia="Times New Roman" w:hAnsiTheme="majorHAnsi" w:cstheme="minorHAnsi"/>
          <w:color w:val="000000"/>
          <w:sz w:val="24"/>
          <w:szCs w:val="24"/>
        </w:rPr>
        <w:t>licitanții adresează OT</w:t>
      </w:r>
      <w:r w:rsidRPr="00381DA2">
        <w:rPr>
          <w:rFonts w:asciiTheme="majorHAnsi" w:eastAsia="Times New Roman" w:hAnsiTheme="majorHAnsi" w:cstheme="minorHAnsi"/>
          <w:color w:val="000000"/>
          <w:sz w:val="24"/>
          <w:szCs w:val="24"/>
        </w:rPr>
        <w:t xml:space="preserve"> cererea </w:t>
      </w:r>
      <w:r>
        <w:rPr>
          <w:rFonts w:asciiTheme="majorHAnsi" w:eastAsia="Times New Roman" w:hAnsiTheme="majorHAnsi" w:cstheme="minorHAnsi"/>
          <w:color w:val="000000"/>
          <w:sz w:val="24"/>
          <w:szCs w:val="24"/>
        </w:rPr>
        <w:t>la care se anexează Declarația</w:t>
      </w:r>
      <w:r w:rsidRPr="00381DA2">
        <w:rPr>
          <w:rFonts w:asciiTheme="majorHAnsi" w:eastAsia="Times New Roman" w:hAnsiTheme="majorHAnsi" w:cstheme="minorHAnsi"/>
          <w:color w:val="000000"/>
          <w:sz w:val="24"/>
          <w:szCs w:val="24"/>
        </w:rPr>
        <w:t xml:space="preserve"> </w:t>
      </w:r>
      <w:r>
        <w:rPr>
          <w:rFonts w:asciiTheme="majorHAnsi" w:eastAsia="Times New Roman" w:hAnsiTheme="majorHAnsi" w:cstheme="minorHAnsi"/>
          <w:color w:val="000000"/>
          <w:sz w:val="24"/>
          <w:szCs w:val="24"/>
        </w:rPr>
        <w:t>cu privire la venituri</w:t>
      </w:r>
      <w:r w:rsidR="00777B54">
        <w:rPr>
          <w:rFonts w:asciiTheme="majorHAnsi" w:eastAsia="Times New Roman" w:hAnsiTheme="majorHAnsi" w:cstheme="minorHAnsi"/>
          <w:color w:val="000000"/>
          <w:sz w:val="24"/>
          <w:szCs w:val="24"/>
        </w:rPr>
        <w:t>,</w:t>
      </w:r>
      <w:r>
        <w:rPr>
          <w:rFonts w:asciiTheme="majorHAnsi" w:eastAsia="Times New Roman" w:hAnsiTheme="majorHAnsi" w:cstheme="minorHAnsi"/>
          <w:color w:val="000000"/>
          <w:sz w:val="24"/>
          <w:szCs w:val="24"/>
        </w:rPr>
        <w:t xml:space="preserve"> la care</w:t>
      </w:r>
      <w:r w:rsidRPr="00381DA2">
        <w:rPr>
          <w:rFonts w:asciiTheme="majorHAnsi" w:eastAsia="Times New Roman" w:hAnsiTheme="majorHAnsi" w:cstheme="minorHAnsi"/>
          <w:color w:val="000000"/>
          <w:sz w:val="24"/>
          <w:szCs w:val="24"/>
        </w:rPr>
        <w:t xml:space="preserve"> persoana fizică ar</w:t>
      </w:r>
      <w:r>
        <w:rPr>
          <w:rFonts w:asciiTheme="majorHAnsi" w:eastAsia="Times New Roman" w:hAnsiTheme="majorHAnsi" w:cstheme="minorHAnsi"/>
          <w:color w:val="000000"/>
          <w:sz w:val="24"/>
          <w:szCs w:val="24"/>
        </w:rPr>
        <w:t>e obligativitatea să depună și:</w:t>
      </w:r>
      <w:r w:rsidRPr="00381DA2">
        <w:rPr>
          <w:rFonts w:asciiTheme="majorHAnsi" w:eastAsia="Times New Roman" w:hAnsiTheme="majorHAnsi" w:cstheme="minorHAnsi"/>
          <w:color w:val="000000"/>
          <w:sz w:val="24"/>
          <w:szCs w:val="24"/>
        </w:rPr>
        <w:t xml:space="preserve"> a</w:t>
      </w:r>
      <w:r w:rsidRPr="00381DA2">
        <w:rPr>
          <w:rFonts w:asciiTheme="majorHAnsi" w:eastAsia="Times New Roman" w:hAnsiTheme="majorHAnsi" w:cstheme="minorHAnsi"/>
          <w:i/>
          <w:color w:val="000000"/>
          <w:sz w:val="24"/>
          <w:szCs w:val="24"/>
        </w:rPr>
        <w:t>)</w:t>
      </w:r>
      <w:r w:rsidR="00777B54">
        <w:rPr>
          <w:rFonts w:asciiTheme="majorHAnsi" w:eastAsia="Times New Roman" w:hAnsiTheme="majorHAnsi" w:cstheme="minorHAnsi"/>
          <w:i/>
          <w:color w:val="000000"/>
          <w:sz w:val="24"/>
          <w:szCs w:val="24"/>
        </w:rPr>
        <w:t xml:space="preserve"> </w:t>
      </w:r>
      <w:r w:rsidRPr="00381DA2">
        <w:rPr>
          <w:rFonts w:asciiTheme="majorHAnsi" w:eastAsia="Times New Roman" w:hAnsiTheme="majorHAnsi" w:cstheme="minorHAnsi"/>
          <w:i/>
          <w:sz w:val="24"/>
          <w:szCs w:val="24"/>
        </w:rPr>
        <w:t>Certificatul privind componența familiei; b) Certificatul de la locul/ locurile de muncă cu privire la veniturile lunare, obținute în ultimele 6 luni;</w:t>
      </w:r>
      <w:r w:rsidRPr="00381DA2">
        <w:rPr>
          <w:rFonts w:asciiTheme="majorHAnsi" w:eastAsia="Times New Roman" w:hAnsiTheme="majorHAnsi" w:cstheme="minorHAnsi"/>
          <w:i/>
          <w:color w:val="000000"/>
          <w:sz w:val="24"/>
          <w:szCs w:val="24"/>
        </w:rPr>
        <w:t xml:space="preserve"> c) </w:t>
      </w:r>
      <w:r w:rsidRPr="00381DA2">
        <w:rPr>
          <w:rFonts w:asciiTheme="majorHAnsi" w:eastAsia="Times New Roman" w:hAnsiTheme="majorHAnsi" w:cstheme="minorHAnsi"/>
          <w:i/>
          <w:sz w:val="24"/>
          <w:szCs w:val="24"/>
        </w:rPr>
        <w:t xml:space="preserve">Certificatul de la Casa Națională de Asigurări Sociale cu privire la </w:t>
      </w:r>
      <w:r w:rsidRPr="00243978">
        <w:rPr>
          <w:rFonts w:asciiTheme="majorHAnsi" w:eastAsia="Times New Roman" w:hAnsiTheme="majorHAnsi" w:cstheme="minorHAnsi"/>
          <w:i/>
          <w:sz w:val="24"/>
          <w:szCs w:val="24"/>
        </w:rPr>
        <w:t>indemnizațiile sociale lunare</w:t>
      </w:r>
      <w:r w:rsidRPr="00243978">
        <w:rPr>
          <w:rFonts w:asciiTheme="majorHAnsi" w:eastAsia="Times New Roman" w:hAnsiTheme="majorHAnsi" w:cstheme="minorHAnsi"/>
          <w:sz w:val="24"/>
          <w:szCs w:val="24"/>
        </w:rPr>
        <w:t xml:space="preserve">. </w:t>
      </w:r>
    </w:p>
    <w:p w14:paraId="0532E818" w14:textId="3C3B9A90" w:rsidR="000E7C1E" w:rsidRPr="00243978" w:rsidRDefault="009A58D3" w:rsidP="000E7C1E">
      <w:pPr>
        <w:spacing w:line="276" w:lineRule="auto"/>
        <w:jc w:val="both"/>
        <w:rPr>
          <w:rFonts w:asciiTheme="majorHAnsi" w:eastAsia="Times New Roman" w:hAnsiTheme="majorHAnsi" w:cstheme="minorHAnsi"/>
          <w:sz w:val="24"/>
          <w:szCs w:val="24"/>
        </w:rPr>
      </w:pPr>
      <w:r w:rsidRPr="00243978">
        <w:rPr>
          <w:rFonts w:asciiTheme="majorHAnsi" w:eastAsia="Times New Roman" w:hAnsiTheme="majorHAnsi" w:cstheme="minorHAnsi"/>
          <w:sz w:val="24"/>
          <w:szCs w:val="24"/>
        </w:rPr>
        <w:lastRenderedPageBreak/>
        <w:t>Verificările de audit, privind conformitate</w:t>
      </w:r>
      <w:r>
        <w:rPr>
          <w:rFonts w:asciiTheme="majorHAnsi" w:eastAsia="Times New Roman" w:hAnsiTheme="majorHAnsi" w:cstheme="minorHAnsi"/>
          <w:sz w:val="24"/>
          <w:szCs w:val="24"/>
        </w:rPr>
        <w:t>a</w:t>
      </w:r>
      <w:r w:rsidRPr="00243978">
        <w:rPr>
          <w:rFonts w:asciiTheme="majorHAnsi" w:eastAsia="Times New Roman" w:hAnsiTheme="majorHAnsi" w:cstheme="minorHAnsi"/>
          <w:sz w:val="24"/>
          <w:szCs w:val="24"/>
        </w:rPr>
        <w:t xml:space="preserve"> recepționării setului de acte necesar determinării eligibilității beneficiarilor de AJGS în baza testului la venit relevă că</w:t>
      </w:r>
      <w:r>
        <w:rPr>
          <w:rFonts w:asciiTheme="majorHAnsi" w:eastAsia="Times New Roman" w:hAnsiTheme="majorHAnsi" w:cstheme="minorHAnsi"/>
          <w:sz w:val="24"/>
          <w:szCs w:val="24"/>
        </w:rPr>
        <w:t xml:space="preserve">, </w:t>
      </w:r>
      <w:r w:rsidRPr="00243978">
        <w:rPr>
          <w:rFonts w:asciiTheme="majorHAnsi" w:eastAsia="Times New Roman" w:hAnsiTheme="majorHAnsi" w:cstheme="minorHAnsi"/>
          <w:sz w:val="24"/>
          <w:szCs w:val="24"/>
        </w:rPr>
        <w:t xml:space="preserve">într-o multitudine de cazuri, responsabilii din cadrul OT nu </w:t>
      </w:r>
      <w:r w:rsidRPr="009A58D3">
        <w:rPr>
          <w:rFonts w:asciiTheme="majorHAnsi" w:eastAsia="Times New Roman" w:hAnsiTheme="majorHAnsi" w:cstheme="minorHAnsi"/>
          <w:sz w:val="24"/>
          <w:szCs w:val="24"/>
        </w:rPr>
        <w:t>solicită și respectiv nu anexează atât Declarația cu privire la venituri cât și certificatele</w:t>
      </w:r>
      <w:r w:rsidRPr="009A58D3">
        <w:rPr>
          <w:rStyle w:val="FootnoteReference"/>
          <w:rFonts w:asciiTheme="majorHAnsi" w:eastAsia="Times New Roman" w:hAnsiTheme="majorHAnsi" w:cstheme="minorHAnsi"/>
          <w:sz w:val="24"/>
          <w:szCs w:val="24"/>
        </w:rPr>
        <w:footnoteReference w:id="30"/>
      </w:r>
      <w:r w:rsidRPr="009A58D3">
        <w:rPr>
          <w:rFonts w:asciiTheme="majorHAnsi" w:eastAsia="Times New Roman" w:hAnsiTheme="majorHAnsi" w:cstheme="minorHAnsi"/>
          <w:sz w:val="24"/>
          <w:szCs w:val="24"/>
        </w:rPr>
        <w:t xml:space="preserve"> privind componența familiei, care sânt acte obligatorii.</w:t>
      </w:r>
      <w:r w:rsidR="000E7C1E" w:rsidRPr="00243978">
        <w:rPr>
          <w:rFonts w:asciiTheme="majorHAnsi" w:eastAsia="Times New Roman" w:hAnsiTheme="majorHAnsi" w:cstheme="minorHAnsi"/>
          <w:sz w:val="24"/>
          <w:szCs w:val="24"/>
        </w:rPr>
        <w:t xml:space="preserve"> Or, acest fapt denotă nerespectarea procedurii prestabilite, și anume</w:t>
      </w:r>
      <w:r w:rsidR="008720A5">
        <w:rPr>
          <w:rFonts w:asciiTheme="majorHAnsi" w:eastAsia="Times New Roman" w:hAnsiTheme="majorHAnsi" w:cstheme="minorHAnsi"/>
          <w:sz w:val="24"/>
          <w:szCs w:val="24"/>
        </w:rPr>
        <w:t>,</w:t>
      </w:r>
      <w:r w:rsidR="000E7C1E" w:rsidRPr="00243978">
        <w:rPr>
          <w:rFonts w:asciiTheme="majorHAnsi" w:eastAsia="Times New Roman" w:hAnsiTheme="majorHAnsi" w:cstheme="minorHAnsi"/>
          <w:sz w:val="24"/>
          <w:szCs w:val="24"/>
        </w:rPr>
        <w:t xml:space="preserve"> privind</w:t>
      </w:r>
      <w:r w:rsidR="000E7C1E" w:rsidRPr="00243978">
        <w:rPr>
          <w:rFonts w:asciiTheme="majorHAnsi" w:eastAsia="Times New Roman" w:hAnsiTheme="majorHAnsi" w:cstheme="minorHAnsi"/>
          <w:sz w:val="24"/>
          <w:szCs w:val="24"/>
          <w:lang w:val="ro-RO"/>
        </w:rPr>
        <w:t xml:space="preserve"> identificarea corectă a numărului membrilor</w:t>
      </w:r>
      <w:r w:rsidR="000E7C1E" w:rsidRPr="00243978">
        <w:rPr>
          <w:rStyle w:val="FootnoteReference"/>
          <w:rFonts w:asciiTheme="majorHAnsi" w:eastAsia="Times New Roman" w:hAnsiTheme="majorHAnsi" w:cstheme="minorHAnsi"/>
          <w:sz w:val="24"/>
          <w:szCs w:val="24"/>
          <w:lang w:val="ro-RO"/>
        </w:rPr>
        <w:footnoteReference w:id="31"/>
      </w:r>
      <w:r w:rsidR="000E7C1E" w:rsidRPr="00243978">
        <w:rPr>
          <w:rFonts w:asciiTheme="majorHAnsi" w:eastAsia="Times New Roman" w:hAnsiTheme="majorHAnsi" w:cstheme="minorHAnsi"/>
          <w:sz w:val="24"/>
          <w:szCs w:val="24"/>
          <w:lang w:val="ro-RO"/>
        </w:rPr>
        <w:t xml:space="preserve"> </w:t>
      </w:r>
      <w:r w:rsidR="008720A5">
        <w:rPr>
          <w:rFonts w:asciiTheme="majorHAnsi" w:eastAsia="Times New Roman" w:hAnsiTheme="majorHAnsi" w:cstheme="minorHAnsi"/>
          <w:sz w:val="24"/>
          <w:szCs w:val="24"/>
          <w:lang w:val="ro-RO"/>
        </w:rPr>
        <w:t xml:space="preserve">de </w:t>
      </w:r>
      <w:r w:rsidR="000E7C1E" w:rsidRPr="00243978">
        <w:rPr>
          <w:rFonts w:asciiTheme="majorHAnsi" w:eastAsia="Times New Roman" w:hAnsiTheme="majorHAnsi" w:cstheme="minorHAnsi"/>
          <w:sz w:val="24"/>
          <w:szCs w:val="24"/>
          <w:lang w:val="ro-RO"/>
        </w:rPr>
        <w:t>familie</w:t>
      </w:r>
      <w:r w:rsidR="008720A5">
        <w:rPr>
          <w:rFonts w:asciiTheme="majorHAnsi" w:eastAsia="Times New Roman" w:hAnsiTheme="majorHAnsi" w:cstheme="minorHAnsi"/>
          <w:sz w:val="24"/>
          <w:szCs w:val="24"/>
          <w:lang w:val="ro-RO"/>
        </w:rPr>
        <w:t xml:space="preserve"> a</w:t>
      </w:r>
      <w:r w:rsidR="000E7C1E" w:rsidRPr="00243978">
        <w:rPr>
          <w:rFonts w:asciiTheme="majorHAnsi" w:eastAsia="Times New Roman" w:hAnsiTheme="majorHAnsi" w:cstheme="minorHAnsi"/>
          <w:sz w:val="24"/>
          <w:szCs w:val="24"/>
          <w:lang w:val="ro-RO"/>
        </w:rPr>
        <w:t xml:space="preserve">i beneficiarului, venitul global al cărora se ia în considerare la determinarea venitului mediu al beneficiarului. </w:t>
      </w:r>
    </w:p>
    <w:p w14:paraId="0CFE8A75" w14:textId="3826C0D1" w:rsidR="000E7C1E" w:rsidRPr="00381DA2" w:rsidRDefault="000E7C1E" w:rsidP="000E7C1E">
      <w:pPr>
        <w:spacing w:line="276" w:lineRule="auto"/>
        <w:jc w:val="both"/>
        <w:rPr>
          <w:rFonts w:asciiTheme="majorHAnsi" w:hAnsiTheme="majorHAnsi" w:cstheme="minorHAnsi"/>
          <w:color w:val="222222"/>
          <w:sz w:val="24"/>
          <w:szCs w:val="24"/>
          <w:shd w:val="clear" w:color="auto" w:fill="FFFFFF"/>
        </w:rPr>
      </w:pPr>
      <w:r w:rsidRPr="00243978">
        <w:rPr>
          <w:rFonts w:asciiTheme="majorHAnsi" w:hAnsiTheme="majorHAnsi" w:cstheme="minorHAnsi"/>
          <w:sz w:val="24"/>
          <w:szCs w:val="24"/>
        </w:rPr>
        <w:t>Cu privire la celelalte două tipuri de certificate menționate supra, se atestă că</w:t>
      </w:r>
      <w:r>
        <w:rPr>
          <w:rFonts w:asciiTheme="majorHAnsi" w:hAnsiTheme="majorHAnsi" w:cstheme="minorHAnsi"/>
          <w:sz w:val="24"/>
          <w:szCs w:val="24"/>
        </w:rPr>
        <w:t xml:space="preserve"> angajații </w:t>
      </w:r>
      <w:r w:rsidRPr="00381DA2">
        <w:rPr>
          <w:rFonts w:asciiTheme="majorHAnsi" w:hAnsiTheme="majorHAnsi" w:cstheme="minorHAnsi"/>
          <w:sz w:val="24"/>
          <w:szCs w:val="24"/>
        </w:rPr>
        <w:t xml:space="preserve">OT, începând cu anul 2020, la recepționarea </w:t>
      </w:r>
      <w:r>
        <w:rPr>
          <w:rFonts w:asciiTheme="majorHAnsi" w:hAnsiTheme="majorHAnsi" w:cstheme="minorHAnsi"/>
          <w:sz w:val="24"/>
          <w:szCs w:val="24"/>
        </w:rPr>
        <w:t>acestora</w:t>
      </w:r>
      <w:r w:rsidRPr="00381DA2">
        <w:rPr>
          <w:rFonts w:asciiTheme="majorHAnsi" w:hAnsiTheme="majorHAnsi" w:cstheme="minorHAnsi"/>
          <w:sz w:val="24"/>
          <w:szCs w:val="24"/>
        </w:rPr>
        <w:t xml:space="preserve"> au </w:t>
      </w:r>
      <w:r w:rsidRPr="00381DA2">
        <w:rPr>
          <w:rFonts w:asciiTheme="majorHAnsi" w:hAnsiTheme="majorHAnsi" w:cstheme="minorHAnsi"/>
          <w:color w:val="222222"/>
          <w:sz w:val="24"/>
          <w:szCs w:val="24"/>
          <w:shd w:val="clear" w:color="auto" w:fill="FFFFFF"/>
        </w:rPr>
        <w:t>posibilitatea legală să acceseze anumite baze de date cu privire la venit</w:t>
      </w:r>
      <w:r>
        <w:rPr>
          <w:rFonts w:asciiTheme="majorHAnsi" w:hAnsiTheme="majorHAnsi" w:cstheme="minorHAnsi"/>
          <w:color w:val="222222"/>
          <w:sz w:val="24"/>
          <w:szCs w:val="24"/>
          <w:shd w:val="clear" w:color="auto" w:fill="FFFFFF"/>
        </w:rPr>
        <w:t>urile persoanelor și</w:t>
      </w:r>
      <w:r w:rsidR="001E7F9E">
        <w:rPr>
          <w:rFonts w:asciiTheme="majorHAnsi" w:hAnsiTheme="majorHAnsi" w:cstheme="minorHAnsi"/>
          <w:color w:val="222222"/>
          <w:sz w:val="24"/>
          <w:szCs w:val="24"/>
          <w:shd w:val="clear" w:color="auto" w:fill="FFFFFF"/>
        </w:rPr>
        <w:t xml:space="preserve"> să calculeze</w:t>
      </w:r>
      <w:r>
        <w:rPr>
          <w:rFonts w:asciiTheme="majorHAnsi" w:hAnsiTheme="majorHAnsi" w:cstheme="minorHAnsi"/>
          <w:color w:val="222222"/>
          <w:sz w:val="24"/>
          <w:szCs w:val="24"/>
          <w:shd w:val="clear" w:color="auto" w:fill="FFFFFF"/>
        </w:rPr>
        <w:t xml:space="preserve"> </w:t>
      </w:r>
      <w:r w:rsidRPr="00381DA2">
        <w:rPr>
          <w:rFonts w:asciiTheme="majorHAnsi" w:hAnsiTheme="majorHAnsi" w:cstheme="minorHAnsi"/>
          <w:color w:val="222222"/>
          <w:sz w:val="24"/>
          <w:szCs w:val="24"/>
          <w:shd w:val="clear" w:color="auto" w:fill="FFFFFF"/>
        </w:rPr>
        <w:t>în mod individual venitul mediu lunar conform datelor oficiale deținute de autoritățile statului (SFS, CNAS etc.). Cele menționate confirmă necesitatea ajustării actului normativ prenotat și racordat la etapele procesului aplicat efectiv de către OT ale CNAJGS.</w:t>
      </w:r>
    </w:p>
    <w:p w14:paraId="1C1264A7" w14:textId="77777777" w:rsidR="000E7C1E" w:rsidRPr="00381DA2" w:rsidRDefault="000E7C1E" w:rsidP="000E7C1E">
      <w:pPr>
        <w:spacing w:line="276" w:lineRule="auto"/>
        <w:jc w:val="both"/>
        <w:rPr>
          <w:rFonts w:asciiTheme="majorHAnsi" w:hAnsiTheme="majorHAnsi" w:cstheme="minorHAnsi"/>
          <w:color w:val="222222"/>
          <w:sz w:val="24"/>
          <w:szCs w:val="24"/>
          <w:shd w:val="clear" w:color="auto" w:fill="FFFFFF"/>
        </w:rPr>
      </w:pPr>
      <w:r w:rsidRPr="00381DA2">
        <w:rPr>
          <w:rFonts w:asciiTheme="majorHAnsi" w:hAnsiTheme="majorHAnsi" w:cstheme="minorHAnsi"/>
          <w:b/>
          <w:sz w:val="24"/>
          <w:szCs w:val="24"/>
        </w:rPr>
        <w:t xml:space="preserve"> </w:t>
      </w:r>
      <w:r w:rsidRPr="00381DA2">
        <w:rPr>
          <w:rFonts w:asciiTheme="majorHAnsi" w:hAnsiTheme="majorHAnsi" w:cstheme="minorHAnsi"/>
          <w:b/>
          <w:color w:val="222222"/>
          <w:sz w:val="24"/>
          <w:szCs w:val="24"/>
          <w:shd w:val="clear" w:color="auto" w:fill="FFFFFF"/>
        </w:rPr>
        <w:t xml:space="preserve"> iii) </w:t>
      </w:r>
      <w:r w:rsidRPr="00381DA2">
        <w:rPr>
          <w:rFonts w:asciiTheme="majorHAnsi" w:hAnsiTheme="majorHAnsi" w:cstheme="minorHAnsi"/>
          <w:color w:val="222222"/>
          <w:sz w:val="24"/>
          <w:szCs w:val="24"/>
          <w:shd w:val="clear" w:color="auto" w:fill="FFFFFF"/>
        </w:rPr>
        <w:t>Nu au fost elaborate proceduri clare și la nivel de CNA</w:t>
      </w:r>
      <w:r>
        <w:rPr>
          <w:rFonts w:asciiTheme="majorHAnsi" w:hAnsiTheme="majorHAnsi" w:cstheme="minorHAnsi"/>
          <w:color w:val="222222"/>
          <w:sz w:val="24"/>
          <w:szCs w:val="24"/>
          <w:shd w:val="clear" w:color="auto" w:fill="FFFFFF"/>
        </w:rPr>
        <w:t xml:space="preserve">JGS care să reglementeze </w:t>
      </w:r>
      <w:r w:rsidRPr="00381DA2">
        <w:rPr>
          <w:rFonts w:asciiTheme="majorHAnsi" w:hAnsiTheme="majorHAnsi" w:cstheme="minorHAnsi"/>
          <w:color w:val="222222"/>
          <w:sz w:val="24"/>
          <w:szCs w:val="24"/>
          <w:shd w:val="clear" w:color="auto" w:fill="FFFFFF"/>
        </w:rPr>
        <w:t>procesul de calculare a</w:t>
      </w:r>
      <w:r w:rsidRPr="00381DA2">
        <w:rPr>
          <w:rFonts w:asciiTheme="majorHAnsi" w:hAnsiTheme="majorHAnsi" w:cstheme="minorHAnsi"/>
          <w:b/>
          <w:color w:val="222222"/>
          <w:sz w:val="24"/>
          <w:szCs w:val="24"/>
          <w:shd w:val="clear" w:color="auto" w:fill="FFFFFF"/>
        </w:rPr>
        <w:t xml:space="preserve"> </w:t>
      </w:r>
      <w:r w:rsidRPr="00381DA2">
        <w:rPr>
          <w:rFonts w:asciiTheme="majorHAnsi" w:hAnsiTheme="majorHAnsi" w:cstheme="minorHAnsi"/>
          <w:color w:val="222222"/>
          <w:sz w:val="24"/>
          <w:szCs w:val="24"/>
          <w:shd w:val="clear" w:color="auto" w:fill="FFFFFF"/>
        </w:rPr>
        <w:t>nivelului venitului mediu lunar al solicitantului/b</w:t>
      </w:r>
      <w:r>
        <w:rPr>
          <w:rFonts w:asciiTheme="majorHAnsi" w:hAnsiTheme="majorHAnsi" w:cstheme="minorHAnsi"/>
          <w:color w:val="222222"/>
          <w:sz w:val="24"/>
          <w:szCs w:val="24"/>
          <w:shd w:val="clear" w:color="auto" w:fill="FFFFFF"/>
        </w:rPr>
        <w:t xml:space="preserve">eneficiarului de AJGS, aplicat </w:t>
      </w:r>
      <w:r w:rsidRPr="00381DA2">
        <w:rPr>
          <w:rFonts w:asciiTheme="majorHAnsi" w:hAnsiTheme="majorHAnsi" w:cstheme="minorHAnsi"/>
          <w:color w:val="222222"/>
          <w:sz w:val="24"/>
          <w:szCs w:val="24"/>
          <w:shd w:val="clear" w:color="auto" w:fill="FFFFFF"/>
        </w:rPr>
        <w:t>de către oficiile teritoriale ale Consiliului Național.</w:t>
      </w:r>
    </w:p>
    <w:p w14:paraId="08AC0C59" w14:textId="41B0A87C" w:rsidR="000E7C1E" w:rsidRPr="00381DA2" w:rsidRDefault="000E7C1E" w:rsidP="000E7C1E">
      <w:pPr>
        <w:pStyle w:val="ListParagraph"/>
        <w:numPr>
          <w:ilvl w:val="0"/>
          <w:numId w:val="14"/>
        </w:numPr>
        <w:spacing w:line="276" w:lineRule="auto"/>
        <w:jc w:val="both"/>
        <w:rPr>
          <w:rFonts w:asciiTheme="majorHAnsi" w:hAnsiTheme="majorHAnsi" w:cstheme="minorHAnsi"/>
          <w:b/>
          <w:color w:val="222222"/>
          <w:sz w:val="24"/>
          <w:szCs w:val="24"/>
          <w:shd w:val="clear" w:color="auto" w:fill="FFFFFF"/>
        </w:rPr>
      </w:pPr>
      <w:r w:rsidRPr="00381DA2">
        <w:rPr>
          <w:rFonts w:asciiTheme="majorHAnsi" w:hAnsiTheme="majorHAnsi" w:cstheme="minorHAnsi"/>
          <w:color w:val="222222"/>
          <w:sz w:val="24"/>
          <w:szCs w:val="24"/>
          <w:shd w:val="clear" w:color="auto" w:fill="FFFFFF"/>
        </w:rPr>
        <w:t>Pornind de la cele enunțate mai sus, asistența juridică calificată garantată de stat se acordă persoanelor a</w:t>
      </w:r>
      <w:r w:rsidR="008720A5">
        <w:rPr>
          <w:rFonts w:asciiTheme="majorHAnsi" w:hAnsiTheme="majorHAnsi" w:cstheme="minorHAnsi"/>
          <w:color w:val="222222"/>
          <w:sz w:val="24"/>
          <w:szCs w:val="24"/>
          <w:shd w:val="clear" w:color="auto" w:fill="FFFFFF"/>
        </w:rPr>
        <w:t>l</w:t>
      </w:r>
      <w:r w:rsidRPr="00381DA2">
        <w:rPr>
          <w:rFonts w:asciiTheme="majorHAnsi" w:hAnsiTheme="majorHAnsi" w:cstheme="minorHAnsi"/>
          <w:color w:val="222222"/>
          <w:sz w:val="24"/>
          <w:szCs w:val="24"/>
          <w:shd w:val="clear" w:color="auto" w:fill="FFFFFF"/>
        </w:rPr>
        <w:t xml:space="preserve"> căror venit mediu lunar este mai mic decât nivelul minim de existență pe cap de locuitor din țară. Acest indicator se calculează de către Biroul Național de Statistică și se publică în edițiile sale. Observațiile de audit atestă lipsa unei proceduri clare în cadrul </w:t>
      </w:r>
      <w:r w:rsidR="000C747E">
        <w:rPr>
          <w:rFonts w:asciiTheme="majorHAnsi" w:hAnsiTheme="majorHAnsi" w:cstheme="minorHAnsi"/>
          <w:color w:val="222222"/>
          <w:sz w:val="24"/>
          <w:szCs w:val="24"/>
          <w:shd w:val="clear" w:color="auto" w:fill="FFFFFF"/>
        </w:rPr>
        <w:t xml:space="preserve">normativ al </w:t>
      </w:r>
      <w:r w:rsidRPr="00381DA2">
        <w:rPr>
          <w:rFonts w:asciiTheme="majorHAnsi" w:hAnsiTheme="majorHAnsi" w:cstheme="minorHAnsi"/>
          <w:color w:val="222222"/>
          <w:sz w:val="24"/>
          <w:szCs w:val="24"/>
          <w:shd w:val="clear" w:color="auto" w:fill="FFFFFF"/>
        </w:rPr>
        <w:t>CNAJ</w:t>
      </w:r>
      <w:r w:rsidR="000C747E">
        <w:rPr>
          <w:rFonts w:asciiTheme="majorHAnsi" w:hAnsiTheme="majorHAnsi" w:cstheme="minorHAnsi"/>
          <w:color w:val="222222"/>
          <w:sz w:val="24"/>
          <w:szCs w:val="24"/>
          <w:shd w:val="clear" w:color="auto" w:fill="FFFFFF"/>
        </w:rPr>
        <w:t>GS</w:t>
      </w:r>
      <w:r w:rsidRPr="00381DA2">
        <w:rPr>
          <w:rFonts w:asciiTheme="majorHAnsi" w:hAnsiTheme="majorHAnsi" w:cstheme="minorHAnsi"/>
          <w:color w:val="222222"/>
          <w:sz w:val="24"/>
          <w:szCs w:val="24"/>
          <w:shd w:val="clear" w:color="auto" w:fill="FFFFFF"/>
        </w:rPr>
        <w:t xml:space="preserve"> privind preluarea și punerea în aplicare de către OT a valorii nivelului minim de existență pe cap </w:t>
      </w:r>
      <w:r>
        <w:rPr>
          <w:rFonts w:asciiTheme="majorHAnsi" w:hAnsiTheme="majorHAnsi" w:cstheme="minorHAnsi"/>
          <w:color w:val="222222"/>
          <w:sz w:val="24"/>
          <w:szCs w:val="24"/>
          <w:shd w:val="clear" w:color="auto" w:fill="FFFFFF"/>
        </w:rPr>
        <w:t>de locuitor din țară, inclusiv</w:t>
      </w:r>
      <w:r w:rsidRPr="00381DA2">
        <w:rPr>
          <w:rFonts w:asciiTheme="majorHAnsi" w:hAnsiTheme="majorHAnsi" w:cstheme="minorHAnsi"/>
          <w:color w:val="222222"/>
          <w:sz w:val="24"/>
          <w:szCs w:val="24"/>
          <w:shd w:val="clear" w:color="auto" w:fill="FFFFFF"/>
        </w:rPr>
        <w:t xml:space="preserve"> aprobarea un</w:t>
      </w:r>
      <w:r w:rsidR="003E6F38">
        <w:rPr>
          <w:rFonts w:asciiTheme="majorHAnsi" w:hAnsiTheme="majorHAnsi" w:cstheme="minorHAnsi"/>
          <w:color w:val="222222"/>
          <w:sz w:val="24"/>
          <w:szCs w:val="24"/>
          <w:shd w:val="clear" w:color="auto" w:fill="FFFFFF"/>
        </w:rPr>
        <w:t>e</w:t>
      </w:r>
      <w:r w:rsidRPr="00381DA2">
        <w:rPr>
          <w:rFonts w:asciiTheme="majorHAnsi" w:hAnsiTheme="majorHAnsi" w:cstheme="minorHAnsi"/>
          <w:color w:val="222222"/>
          <w:sz w:val="24"/>
          <w:szCs w:val="24"/>
          <w:shd w:val="clear" w:color="auto" w:fill="FFFFFF"/>
        </w:rPr>
        <w:t>i proceduri intern</w:t>
      </w:r>
      <w:r w:rsidR="003E6F38">
        <w:rPr>
          <w:rFonts w:asciiTheme="majorHAnsi" w:hAnsiTheme="majorHAnsi" w:cstheme="minorHAnsi"/>
          <w:color w:val="222222"/>
          <w:sz w:val="24"/>
          <w:szCs w:val="24"/>
          <w:shd w:val="clear" w:color="auto" w:fill="FFFFFF"/>
        </w:rPr>
        <w:t>e</w:t>
      </w:r>
      <w:r w:rsidRPr="00381DA2">
        <w:rPr>
          <w:rFonts w:asciiTheme="majorHAnsi" w:hAnsiTheme="majorHAnsi" w:cstheme="minorHAnsi"/>
          <w:color w:val="222222"/>
          <w:sz w:val="24"/>
          <w:szCs w:val="24"/>
          <w:shd w:val="clear" w:color="auto" w:fill="FFFFFF"/>
        </w:rPr>
        <w:t xml:space="preserve"> clare care ar legifera și uniformiza procesul de aplicare a acestuia la determinarea eligibilității persoanei.</w:t>
      </w:r>
    </w:p>
    <w:p w14:paraId="4B627637" w14:textId="78C12904" w:rsidR="000E7C1E" w:rsidRPr="00B7356E" w:rsidRDefault="000E7C1E" w:rsidP="00B7356E">
      <w:pPr>
        <w:pStyle w:val="ListParagraph"/>
        <w:numPr>
          <w:ilvl w:val="0"/>
          <w:numId w:val="14"/>
        </w:numPr>
        <w:spacing w:line="276" w:lineRule="auto"/>
        <w:contextualSpacing w:val="0"/>
        <w:jc w:val="both"/>
        <w:rPr>
          <w:rFonts w:asciiTheme="majorHAnsi" w:hAnsiTheme="majorHAnsi" w:cstheme="minorHAnsi"/>
        </w:rPr>
      </w:pPr>
      <w:r w:rsidRPr="00B7356E">
        <w:rPr>
          <w:rFonts w:asciiTheme="majorHAnsi" w:hAnsiTheme="majorHAnsi" w:cstheme="minorHAnsi"/>
          <w:color w:val="222222"/>
          <w:sz w:val="24"/>
          <w:szCs w:val="24"/>
          <w:shd w:val="clear" w:color="auto" w:fill="FFFFFF"/>
        </w:rPr>
        <w:t>Deși OT ale CNAJGS și-au asumat responsabilitatea de colectare a informațiilor necesare calculării nivelului venitului mediu lunar al solicitantului/beneficiarului de AJGS, auditul a identificat lacune/ impedimente în derularea acestui proces. Astfel, se constată lipsa unei  proceduri instituționalizate referitor la acțiunile întreprinse de către angajații OT la colectarea informații</w:t>
      </w:r>
      <w:r w:rsidR="00676E9D">
        <w:rPr>
          <w:rFonts w:asciiTheme="majorHAnsi" w:hAnsiTheme="majorHAnsi" w:cstheme="minorHAnsi"/>
          <w:color w:val="222222"/>
          <w:sz w:val="24"/>
          <w:szCs w:val="24"/>
          <w:shd w:val="clear" w:color="auto" w:fill="FFFFFF"/>
        </w:rPr>
        <w:t>lor</w:t>
      </w:r>
      <w:r w:rsidRPr="00B7356E">
        <w:rPr>
          <w:rFonts w:asciiTheme="majorHAnsi" w:hAnsiTheme="majorHAnsi" w:cstheme="minorHAnsi"/>
          <w:color w:val="222222"/>
          <w:sz w:val="24"/>
          <w:szCs w:val="24"/>
          <w:shd w:val="clear" w:color="auto" w:fill="FFFFFF"/>
        </w:rPr>
        <w:t xml:space="preserve"> din Registrele informaționale ale instituțiilor de stat, precum </w:t>
      </w:r>
      <w:r w:rsidR="000C747E">
        <w:rPr>
          <w:rFonts w:asciiTheme="majorHAnsi" w:hAnsiTheme="majorHAnsi" w:cstheme="minorHAnsi"/>
          <w:color w:val="222222"/>
          <w:sz w:val="24"/>
          <w:szCs w:val="24"/>
          <w:shd w:val="clear" w:color="auto" w:fill="FFFFFF"/>
        </w:rPr>
        <w:t xml:space="preserve">și la </w:t>
      </w:r>
      <w:r w:rsidRPr="00B7356E">
        <w:rPr>
          <w:rFonts w:asciiTheme="majorHAnsi" w:hAnsiTheme="majorHAnsi" w:cstheme="minorHAnsi"/>
          <w:color w:val="222222"/>
          <w:sz w:val="24"/>
          <w:szCs w:val="24"/>
          <w:shd w:val="clear" w:color="auto" w:fill="FFFFFF"/>
        </w:rPr>
        <w:t>calcularea și documentarea nivelului venitului mediu lunar al persoanei beneficiare</w:t>
      </w:r>
      <w:r w:rsidR="000C747E">
        <w:rPr>
          <w:rFonts w:asciiTheme="majorHAnsi" w:hAnsiTheme="majorHAnsi" w:cstheme="minorHAnsi"/>
          <w:color w:val="222222"/>
          <w:sz w:val="24"/>
          <w:szCs w:val="24"/>
          <w:shd w:val="clear" w:color="auto" w:fill="FFFFFF"/>
        </w:rPr>
        <w:t xml:space="preserve"> de AJGS</w:t>
      </w:r>
      <w:r w:rsidRPr="00381DA2">
        <w:rPr>
          <w:rFonts w:asciiTheme="majorHAnsi" w:hAnsiTheme="majorHAnsi" w:cstheme="minorHAnsi"/>
          <w:color w:val="222222"/>
          <w:sz w:val="24"/>
          <w:szCs w:val="24"/>
          <w:shd w:val="clear" w:color="auto" w:fill="FFFFFF"/>
          <w:vertAlign w:val="superscript"/>
        </w:rPr>
        <w:footnoteReference w:id="32"/>
      </w:r>
      <w:r w:rsidRPr="00B7356E">
        <w:rPr>
          <w:rFonts w:asciiTheme="majorHAnsi" w:hAnsiTheme="majorHAnsi" w:cstheme="minorHAnsi"/>
          <w:color w:val="222222"/>
          <w:sz w:val="24"/>
          <w:szCs w:val="24"/>
          <w:shd w:val="clear" w:color="auto" w:fill="FFFFFF"/>
        </w:rPr>
        <w:t>. Nici în sistemul informațional utilizat în procesul de acordare a AJGS această procedură operațională nu a fost integrată și automatizată, or, în condițiile actuale, atât selectarea veniturilor obținute de solicitant în ultimele 6 luni anterioare depunerii cererii, formula de calcul a</w:t>
      </w:r>
      <w:r w:rsidR="00676E9D">
        <w:rPr>
          <w:rFonts w:asciiTheme="majorHAnsi" w:hAnsiTheme="majorHAnsi" w:cstheme="minorHAnsi"/>
          <w:color w:val="222222"/>
          <w:sz w:val="24"/>
          <w:szCs w:val="24"/>
          <w:shd w:val="clear" w:color="auto" w:fill="FFFFFF"/>
        </w:rPr>
        <w:t>l</w:t>
      </w:r>
      <w:r w:rsidRPr="00B7356E">
        <w:rPr>
          <w:rFonts w:asciiTheme="majorHAnsi" w:hAnsiTheme="majorHAnsi" w:cstheme="minorHAnsi"/>
          <w:color w:val="222222"/>
          <w:sz w:val="24"/>
          <w:szCs w:val="24"/>
          <w:shd w:val="clear" w:color="auto" w:fill="FFFFFF"/>
        </w:rPr>
        <w:t xml:space="preserve"> nivelului mediu al venitului beneficiarului, cât și evaluarea privind încadrarea rezultatului obținut sub nivelul minim de existență pe cap de locuitor din țară se efectuează de </w:t>
      </w:r>
      <w:r w:rsidRPr="00B7356E">
        <w:rPr>
          <w:rFonts w:asciiTheme="majorHAnsi" w:hAnsiTheme="majorHAnsi" w:cstheme="minorHAnsi"/>
          <w:sz w:val="24"/>
          <w:szCs w:val="24"/>
          <w:shd w:val="clear" w:color="auto" w:fill="FFFFFF"/>
        </w:rPr>
        <w:t>angajații OT ale</w:t>
      </w:r>
      <w:r w:rsidR="00B7356E">
        <w:rPr>
          <w:rFonts w:asciiTheme="majorHAnsi" w:hAnsiTheme="majorHAnsi" w:cstheme="minorHAnsi"/>
          <w:sz w:val="24"/>
          <w:szCs w:val="24"/>
          <w:shd w:val="clear" w:color="auto" w:fill="FFFFFF"/>
        </w:rPr>
        <w:t xml:space="preserve"> CNAJGS fără a fi documentate. </w:t>
      </w:r>
      <w:r w:rsidR="00B7356E" w:rsidRPr="00B7356E">
        <w:rPr>
          <w:rFonts w:asciiTheme="majorHAnsi" w:hAnsiTheme="majorHAnsi" w:cstheme="minorHAnsi"/>
          <w:sz w:val="24"/>
          <w:szCs w:val="24"/>
          <w:shd w:val="clear" w:color="auto" w:fill="FFFFFF"/>
          <w:lang w:val="ro-MD"/>
        </w:rPr>
        <w:t xml:space="preserve">Acest fapt condiționează </w:t>
      </w:r>
      <w:r w:rsidR="00B7356E" w:rsidRPr="00B7356E">
        <w:rPr>
          <w:rFonts w:asciiTheme="majorHAnsi" w:hAnsiTheme="majorHAnsi" w:cstheme="minorHAnsi"/>
          <w:sz w:val="24"/>
          <w:szCs w:val="24"/>
          <w:shd w:val="clear" w:color="auto" w:fill="FFFFFF"/>
          <w:lang w:val="ro-MD"/>
        </w:rPr>
        <w:lastRenderedPageBreak/>
        <w:t xml:space="preserve">existența unor abordări diferențiate aplicate de OT </w:t>
      </w:r>
      <w:r w:rsidR="00B7356E">
        <w:rPr>
          <w:rFonts w:asciiTheme="majorHAnsi" w:hAnsiTheme="majorHAnsi" w:cstheme="minorHAnsi"/>
          <w:sz w:val="24"/>
          <w:szCs w:val="24"/>
          <w:shd w:val="clear" w:color="auto" w:fill="FFFFFF"/>
          <w:lang w:val="ro-MD"/>
        </w:rPr>
        <w:t xml:space="preserve">la </w:t>
      </w:r>
      <w:r w:rsidR="00B7356E" w:rsidRPr="00B7356E">
        <w:rPr>
          <w:rFonts w:asciiTheme="majorHAnsi" w:hAnsiTheme="majorHAnsi" w:cstheme="minorHAnsi"/>
          <w:sz w:val="24"/>
          <w:szCs w:val="24"/>
          <w:shd w:val="clear" w:color="auto" w:fill="FFFFFF"/>
          <w:lang w:val="ro-MD"/>
        </w:rPr>
        <w:t>efectuarea</w:t>
      </w:r>
      <w:r w:rsidR="00B7356E">
        <w:rPr>
          <w:rFonts w:asciiTheme="majorHAnsi" w:hAnsiTheme="majorHAnsi" w:cstheme="minorHAnsi"/>
          <w:sz w:val="24"/>
          <w:szCs w:val="24"/>
          <w:shd w:val="clear" w:color="auto" w:fill="FFFFFF"/>
          <w:lang w:val="ro-MD"/>
        </w:rPr>
        <w:t xml:space="preserve"> nemijlocită a</w:t>
      </w:r>
      <w:r w:rsidR="00B7356E" w:rsidRPr="00B7356E">
        <w:rPr>
          <w:rFonts w:asciiTheme="majorHAnsi" w:hAnsiTheme="majorHAnsi" w:cstheme="minorHAnsi"/>
          <w:sz w:val="24"/>
          <w:szCs w:val="24"/>
          <w:shd w:val="clear" w:color="auto" w:fill="FFFFFF"/>
          <w:lang w:val="ro-MD"/>
        </w:rPr>
        <w:t xml:space="preserve"> calculului</w:t>
      </w:r>
      <w:r w:rsidR="00B7356E">
        <w:rPr>
          <w:rFonts w:asciiTheme="majorHAnsi" w:hAnsiTheme="majorHAnsi" w:cstheme="minorHAnsi"/>
          <w:sz w:val="24"/>
          <w:szCs w:val="24"/>
          <w:shd w:val="clear" w:color="auto" w:fill="FFFFFF"/>
          <w:lang w:val="ro-MD"/>
        </w:rPr>
        <w:t xml:space="preserve"> propriu-zis</w:t>
      </w:r>
      <w:r w:rsidR="00B7356E">
        <w:rPr>
          <w:rStyle w:val="FootnoteReference"/>
          <w:rFonts w:asciiTheme="majorHAnsi" w:hAnsiTheme="majorHAnsi" w:cstheme="minorHAnsi"/>
          <w:sz w:val="24"/>
          <w:szCs w:val="24"/>
          <w:shd w:val="clear" w:color="auto" w:fill="FFFFFF"/>
          <w:lang w:val="ro-MD"/>
        </w:rPr>
        <w:footnoteReference w:id="33"/>
      </w:r>
      <w:r w:rsidR="00B7356E">
        <w:rPr>
          <w:rFonts w:asciiTheme="majorHAnsi" w:hAnsiTheme="majorHAnsi" w:cstheme="minorHAnsi"/>
          <w:sz w:val="24"/>
          <w:szCs w:val="24"/>
          <w:shd w:val="clear" w:color="auto" w:fill="FFFFFF"/>
          <w:lang w:val="ro-MD"/>
        </w:rPr>
        <w:t xml:space="preserve">. </w:t>
      </w:r>
    </w:p>
    <w:p w14:paraId="1B5E0B8D" w14:textId="4107D0A8" w:rsidR="000E7C1E" w:rsidRDefault="000E7C1E" w:rsidP="00B7356E">
      <w:pPr>
        <w:shd w:val="clear" w:color="auto" w:fill="FFFFFF"/>
        <w:spacing w:before="80" w:after="100" w:afterAutospacing="1" w:line="276" w:lineRule="auto"/>
        <w:jc w:val="both"/>
        <w:rPr>
          <w:rFonts w:asciiTheme="majorHAnsi" w:eastAsia="Times New Roman" w:hAnsiTheme="majorHAnsi" w:cstheme="minorHAnsi"/>
          <w:sz w:val="24"/>
          <w:szCs w:val="24"/>
          <w:highlight w:val="green"/>
        </w:rPr>
      </w:pPr>
      <w:r w:rsidRPr="00381DA2">
        <w:rPr>
          <w:rFonts w:asciiTheme="majorHAnsi" w:eastAsiaTheme="minorEastAsia" w:hAnsiTheme="majorHAnsi" w:cstheme="minorHAnsi"/>
          <w:sz w:val="24"/>
          <w:szCs w:val="24"/>
          <w:lang w:eastAsia="ru-RU"/>
        </w:rPr>
        <w:t>Cele menționate denotă că modalitatea aplicată de OT ale CNAJGS la calcularea venitului mediu al solicitanților de AJGS în baza criteriului financiar necesită a fi ajustată și îmbunătățită prin instituirea unor activități de control intern, în speță</w:t>
      </w:r>
      <w:r w:rsidR="00676E9D">
        <w:rPr>
          <w:rFonts w:asciiTheme="majorHAnsi" w:eastAsiaTheme="minorEastAsia" w:hAnsiTheme="majorHAnsi" w:cstheme="minorHAnsi"/>
          <w:sz w:val="24"/>
          <w:szCs w:val="24"/>
          <w:lang w:eastAsia="ru-RU"/>
        </w:rPr>
        <w:t>,</w:t>
      </w:r>
      <w:r w:rsidRPr="00381DA2">
        <w:rPr>
          <w:rFonts w:asciiTheme="majorHAnsi" w:eastAsiaTheme="minorEastAsia" w:hAnsiTheme="majorHAnsi" w:cstheme="minorHAnsi"/>
          <w:sz w:val="24"/>
          <w:szCs w:val="24"/>
          <w:lang w:eastAsia="ru-RU"/>
        </w:rPr>
        <w:t xml:space="preserve"> a unor controale ale aplicațiilor, care ar asigura coerența și consecvența în acțiuni</w:t>
      </w:r>
      <w:r w:rsidR="00676E9D">
        <w:rPr>
          <w:rFonts w:asciiTheme="majorHAnsi" w:eastAsiaTheme="minorEastAsia" w:hAnsiTheme="majorHAnsi" w:cstheme="minorHAnsi"/>
          <w:sz w:val="24"/>
          <w:szCs w:val="24"/>
          <w:lang w:eastAsia="ru-RU"/>
        </w:rPr>
        <w:t>,</w:t>
      </w:r>
      <w:r w:rsidRPr="00381DA2">
        <w:rPr>
          <w:rFonts w:asciiTheme="majorHAnsi" w:eastAsiaTheme="minorEastAsia" w:hAnsiTheme="majorHAnsi" w:cstheme="minorHAnsi"/>
          <w:sz w:val="24"/>
          <w:szCs w:val="24"/>
          <w:lang w:eastAsia="ru-RU"/>
        </w:rPr>
        <w:t xml:space="preserve"> precum și plusvaloare în luarea deciziilor de acordare a serviciilor juridice de stat.</w:t>
      </w:r>
    </w:p>
    <w:p w14:paraId="01EDE576" w14:textId="79C55F28" w:rsidR="00FD339F" w:rsidRPr="00381DA2" w:rsidRDefault="00FD339F" w:rsidP="00A02682">
      <w:pPr>
        <w:pStyle w:val="Heading3"/>
        <w:numPr>
          <w:ilvl w:val="2"/>
          <w:numId w:val="48"/>
        </w:numPr>
        <w:tabs>
          <w:tab w:val="left" w:pos="360"/>
          <w:tab w:val="left" w:pos="540"/>
          <w:tab w:val="left" w:pos="630"/>
        </w:tabs>
        <w:spacing w:before="240" w:after="120" w:line="276" w:lineRule="auto"/>
        <w:ind w:left="0" w:firstLine="0"/>
        <w:jc w:val="both"/>
        <w:rPr>
          <w:rFonts w:eastAsia="Times New Roman" w:cstheme="minorHAnsi"/>
          <w:b/>
          <w:i/>
          <w:color w:val="0070C0"/>
        </w:rPr>
      </w:pPr>
      <w:bookmarkStart w:id="30" w:name="_Toc125368187"/>
      <w:bookmarkStart w:id="31" w:name="_Toc128640813"/>
      <w:r w:rsidRPr="00381DA2">
        <w:rPr>
          <w:rFonts w:eastAsia="Times New Roman" w:cstheme="minorHAnsi"/>
          <w:b/>
          <w:i/>
          <w:color w:val="0070C0"/>
        </w:rPr>
        <w:t>Lipsește un mecanism fiabil care ar oferi un echilibru între coraportul dintre multiplele solicitări a</w:t>
      </w:r>
      <w:r w:rsidR="00676E9D">
        <w:rPr>
          <w:rFonts w:eastAsia="Times New Roman" w:cstheme="minorHAnsi"/>
          <w:b/>
          <w:i/>
          <w:color w:val="0070C0"/>
        </w:rPr>
        <w:t>le</w:t>
      </w:r>
      <w:r w:rsidRPr="00381DA2">
        <w:rPr>
          <w:rFonts w:eastAsia="Times New Roman" w:cstheme="minorHAnsi"/>
          <w:b/>
          <w:i/>
          <w:color w:val="0070C0"/>
        </w:rPr>
        <w:t xml:space="preserve"> asistenței juridice garantate de stat și raționalizarea utilizării banilor publici</w:t>
      </w:r>
      <w:bookmarkEnd w:id="30"/>
      <w:r w:rsidR="00676E9D">
        <w:rPr>
          <w:rFonts w:eastAsia="Times New Roman" w:cstheme="minorHAnsi"/>
          <w:b/>
          <w:i/>
          <w:color w:val="0070C0"/>
        </w:rPr>
        <w:t>.</w:t>
      </w:r>
      <w:bookmarkEnd w:id="31"/>
    </w:p>
    <w:p w14:paraId="1E888D0D" w14:textId="268893E3" w:rsidR="00FD339F" w:rsidRPr="00381DA2" w:rsidRDefault="00FD339F" w:rsidP="003F7196">
      <w:pPr>
        <w:spacing w:before="100" w:beforeAutospacing="1" w:after="100" w:afterAutospacing="1" w:line="276" w:lineRule="auto"/>
        <w:jc w:val="both"/>
        <w:rPr>
          <w:rFonts w:asciiTheme="majorHAnsi" w:eastAsia="Times New Roman" w:hAnsiTheme="majorHAnsi" w:cstheme="minorHAnsi"/>
          <w:sz w:val="24"/>
          <w:szCs w:val="24"/>
        </w:rPr>
      </w:pPr>
      <w:r w:rsidRPr="00381DA2">
        <w:rPr>
          <w:rFonts w:asciiTheme="majorHAnsi" w:eastAsia="Times New Roman" w:hAnsiTheme="majorHAnsi" w:cstheme="minorHAnsi"/>
          <w:sz w:val="24"/>
          <w:szCs w:val="24"/>
        </w:rPr>
        <w:t>Unul din principiile fundamentale care st</w:t>
      </w:r>
      <w:r w:rsidR="005D08B2">
        <w:rPr>
          <w:rFonts w:asciiTheme="majorHAnsi" w:eastAsia="Times New Roman" w:hAnsiTheme="majorHAnsi" w:cstheme="minorHAnsi"/>
          <w:sz w:val="24"/>
          <w:szCs w:val="24"/>
        </w:rPr>
        <w:t xml:space="preserve">ă la baza acordării asistenței </w:t>
      </w:r>
      <w:r w:rsidRPr="00381DA2">
        <w:rPr>
          <w:rFonts w:asciiTheme="majorHAnsi" w:eastAsia="Times New Roman" w:hAnsiTheme="majorHAnsi" w:cstheme="minorHAnsi"/>
          <w:sz w:val="24"/>
          <w:szCs w:val="24"/>
        </w:rPr>
        <w:t xml:space="preserve">juridice garantate de stat constă în </w:t>
      </w:r>
      <w:r w:rsidRPr="00D341A8">
        <w:rPr>
          <w:rFonts w:asciiTheme="majorHAnsi" w:eastAsia="Times New Roman" w:hAnsiTheme="majorHAnsi" w:cstheme="minorHAnsi"/>
          <w:sz w:val="24"/>
          <w:szCs w:val="24"/>
        </w:rPr>
        <w:t>asigurarea eficienței și economicității în prestarea a</w:t>
      </w:r>
      <w:r w:rsidR="001E7F9E" w:rsidRPr="00D341A8">
        <w:rPr>
          <w:rFonts w:asciiTheme="majorHAnsi" w:eastAsia="Times New Roman" w:hAnsiTheme="majorHAnsi" w:cstheme="minorHAnsi"/>
          <w:sz w:val="24"/>
          <w:szCs w:val="24"/>
        </w:rPr>
        <w:t>cestui serviciu</w:t>
      </w:r>
      <w:r w:rsidRPr="00D341A8">
        <w:rPr>
          <w:rFonts w:asciiTheme="majorHAnsi" w:eastAsia="Times New Roman" w:hAnsiTheme="majorHAnsi" w:cstheme="minorHAnsi"/>
          <w:sz w:val="24"/>
          <w:szCs w:val="24"/>
        </w:rPr>
        <w:t xml:space="preserve">, principiu care nu se respectă pe deplin. Or, verificările de audit atestă cazuri când </w:t>
      </w:r>
      <w:r w:rsidR="001E1D83" w:rsidRPr="00D341A8">
        <w:rPr>
          <w:rFonts w:asciiTheme="majorHAnsi" w:eastAsia="Times New Roman" w:hAnsiTheme="majorHAnsi" w:cstheme="minorHAnsi"/>
          <w:sz w:val="24"/>
          <w:szCs w:val="24"/>
        </w:rPr>
        <w:t>unele</w:t>
      </w:r>
      <w:r w:rsidR="00D341A8" w:rsidRPr="00D341A8">
        <w:rPr>
          <w:rFonts w:asciiTheme="majorHAnsi" w:eastAsia="Times New Roman" w:hAnsiTheme="majorHAnsi" w:cstheme="minorHAnsi"/>
          <w:sz w:val="24"/>
          <w:szCs w:val="24"/>
        </w:rPr>
        <w:t xml:space="preserve"> persoane fizice au</w:t>
      </w:r>
      <w:r w:rsidRPr="00D341A8">
        <w:rPr>
          <w:rFonts w:asciiTheme="majorHAnsi" w:eastAsia="Times New Roman" w:hAnsiTheme="majorHAnsi" w:cstheme="minorHAnsi"/>
          <w:sz w:val="24"/>
          <w:szCs w:val="24"/>
        </w:rPr>
        <w:t xml:space="preserve"> </w:t>
      </w:r>
      <w:r w:rsidR="001E1D83" w:rsidRPr="00D341A8">
        <w:rPr>
          <w:rFonts w:asciiTheme="majorHAnsi" w:eastAsia="Times New Roman" w:hAnsiTheme="majorHAnsi" w:cstheme="minorHAnsi"/>
          <w:sz w:val="24"/>
          <w:szCs w:val="24"/>
        </w:rPr>
        <w:t>solicitat în exces</w:t>
      </w:r>
      <w:r w:rsidRPr="00D341A8">
        <w:rPr>
          <w:rFonts w:asciiTheme="majorHAnsi" w:eastAsia="Times New Roman" w:hAnsiTheme="majorHAnsi" w:cstheme="minorHAnsi"/>
          <w:sz w:val="24"/>
          <w:szCs w:val="24"/>
        </w:rPr>
        <w:t xml:space="preserve"> AJGS, </w:t>
      </w:r>
      <w:r w:rsidR="001E1D83" w:rsidRPr="00D341A8">
        <w:rPr>
          <w:rFonts w:asciiTheme="majorHAnsi" w:eastAsia="Times New Roman" w:hAnsiTheme="majorHAnsi" w:cstheme="minorHAnsi"/>
          <w:sz w:val="24"/>
          <w:szCs w:val="24"/>
        </w:rPr>
        <w:t>profitând de faptul</w:t>
      </w:r>
      <w:r w:rsidRPr="00D341A8">
        <w:rPr>
          <w:rFonts w:asciiTheme="majorHAnsi" w:eastAsia="Times New Roman" w:hAnsiTheme="majorHAnsi" w:cstheme="minorHAnsi"/>
          <w:sz w:val="24"/>
          <w:szCs w:val="24"/>
        </w:rPr>
        <w:t xml:space="preserve"> că </w:t>
      </w:r>
      <w:r w:rsidR="001E1D83" w:rsidRPr="00D341A8">
        <w:rPr>
          <w:rFonts w:asciiTheme="majorHAnsi" w:eastAsia="Times New Roman" w:hAnsiTheme="majorHAnsi" w:cstheme="minorHAnsi"/>
          <w:sz w:val="24"/>
          <w:szCs w:val="24"/>
        </w:rPr>
        <w:t xml:space="preserve">aveau venituri mici și </w:t>
      </w:r>
      <w:r w:rsidRPr="00D341A8">
        <w:rPr>
          <w:rFonts w:asciiTheme="majorHAnsi" w:eastAsia="Times New Roman" w:hAnsiTheme="majorHAnsi" w:cstheme="minorHAnsi"/>
          <w:sz w:val="24"/>
          <w:szCs w:val="24"/>
        </w:rPr>
        <w:t>erau eligibil</w:t>
      </w:r>
      <w:r w:rsidR="001E1D83" w:rsidRPr="00D341A8">
        <w:rPr>
          <w:rFonts w:asciiTheme="majorHAnsi" w:eastAsia="Times New Roman" w:hAnsiTheme="majorHAnsi" w:cstheme="minorHAnsi"/>
          <w:sz w:val="24"/>
          <w:szCs w:val="24"/>
        </w:rPr>
        <w:t>i</w:t>
      </w:r>
      <w:r w:rsidRPr="00D341A8">
        <w:rPr>
          <w:rFonts w:asciiTheme="majorHAnsi" w:eastAsia="Times New Roman" w:hAnsiTheme="majorHAnsi" w:cstheme="minorHAnsi"/>
          <w:sz w:val="24"/>
          <w:szCs w:val="24"/>
        </w:rPr>
        <w:t xml:space="preserve"> pentru a beneficia de acest serviciu. În contextul expus se menționează</w:t>
      </w:r>
      <w:r w:rsidRPr="00381DA2">
        <w:rPr>
          <w:rFonts w:asciiTheme="majorHAnsi" w:eastAsia="Times New Roman" w:hAnsiTheme="majorHAnsi" w:cstheme="minorHAnsi"/>
          <w:sz w:val="24"/>
          <w:szCs w:val="24"/>
        </w:rPr>
        <w:t xml:space="preserve"> că</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fiind analizați cinci solicitanți de asistență juridică</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s-a constatat că</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în perioada 2020-2022, acestora li s-au acceptat</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per total</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675</w:t>
      </w:r>
      <w:r w:rsidR="001E7F9E">
        <w:rPr>
          <w:rFonts w:asciiTheme="majorHAnsi" w:eastAsia="Times New Roman" w:hAnsiTheme="majorHAnsi" w:cstheme="minorHAnsi"/>
          <w:sz w:val="24"/>
          <w:szCs w:val="24"/>
        </w:rPr>
        <w:t xml:space="preserve"> de</w:t>
      </w:r>
      <w:r w:rsidRPr="00381DA2">
        <w:rPr>
          <w:rFonts w:asciiTheme="majorHAnsi" w:eastAsia="Times New Roman" w:hAnsiTheme="majorHAnsi" w:cstheme="minorHAnsi"/>
          <w:sz w:val="24"/>
          <w:szCs w:val="24"/>
        </w:rPr>
        <w:t xml:space="preserve"> solicitări de asistență juridică garantată de stat, pentru care s-au achitat mijloace bugetare în sumă </w:t>
      </w:r>
      <w:r w:rsidR="005D08B2">
        <w:rPr>
          <w:rFonts w:asciiTheme="majorHAnsi" w:eastAsia="Times New Roman" w:hAnsiTheme="majorHAnsi" w:cstheme="minorHAnsi"/>
          <w:sz w:val="24"/>
          <w:szCs w:val="24"/>
        </w:rPr>
        <w:t xml:space="preserve">de cca 272,2 mii lei. </w:t>
      </w:r>
      <w:r w:rsidRPr="00381DA2">
        <w:rPr>
          <w:rFonts w:asciiTheme="majorHAnsi" w:eastAsia="Times New Roman" w:hAnsiTheme="majorHAnsi" w:cstheme="minorHAnsi"/>
          <w:sz w:val="24"/>
          <w:szCs w:val="24"/>
        </w:rPr>
        <w:t>Astfel, se exemplifică că</w:t>
      </w:r>
      <w:r w:rsidR="00676E9D">
        <w:rPr>
          <w:rFonts w:asciiTheme="majorHAnsi" w:eastAsia="Times New Roman" w:hAnsiTheme="majorHAnsi" w:cstheme="minorHAnsi"/>
          <w:sz w:val="24"/>
          <w:szCs w:val="24"/>
        </w:rPr>
        <w:t>,</w:t>
      </w:r>
      <w:r w:rsidRPr="00381DA2">
        <w:rPr>
          <w:rFonts w:asciiTheme="majorHAnsi" w:eastAsia="Times New Roman" w:hAnsiTheme="majorHAnsi" w:cstheme="minorHAnsi"/>
          <w:sz w:val="24"/>
          <w:szCs w:val="24"/>
        </w:rPr>
        <w:t xml:space="preserve"> doar în trei ani, o persoană fizică a avut desemnați de la 91 până la 183 </w:t>
      </w:r>
      <w:r w:rsidR="00676E9D">
        <w:rPr>
          <w:rFonts w:asciiTheme="majorHAnsi" w:eastAsia="Times New Roman" w:hAnsiTheme="majorHAnsi" w:cstheme="minorHAnsi"/>
          <w:sz w:val="24"/>
          <w:szCs w:val="24"/>
        </w:rPr>
        <w:t xml:space="preserve">de </w:t>
      </w:r>
      <w:r w:rsidRPr="00381DA2">
        <w:rPr>
          <w:rFonts w:asciiTheme="majorHAnsi" w:eastAsia="Times New Roman" w:hAnsiTheme="majorHAnsi" w:cstheme="minorHAnsi"/>
          <w:sz w:val="24"/>
          <w:szCs w:val="24"/>
        </w:rPr>
        <w:t xml:space="preserve">avocați pe cauzele civile, contravenționale și penale, în care figura ca participant. Cele menționate denotă necesitatea examinării practicilor altor state și implementării unor mecanisme care ar reduce din presiunea </w:t>
      </w:r>
      <w:r w:rsidR="001E7F9E">
        <w:rPr>
          <w:rFonts w:asciiTheme="majorHAnsi" w:eastAsia="Times New Roman" w:hAnsiTheme="majorHAnsi" w:cstheme="minorHAnsi"/>
          <w:sz w:val="24"/>
          <w:szCs w:val="24"/>
        </w:rPr>
        <w:t>unor</w:t>
      </w:r>
      <w:r w:rsidRPr="00381DA2">
        <w:rPr>
          <w:rFonts w:asciiTheme="majorHAnsi" w:eastAsia="Times New Roman" w:hAnsiTheme="majorHAnsi" w:cstheme="minorHAnsi"/>
          <w:sz w:val="24"/>
          <w:szCs w:val="24"/>
        </w:rPr>
        <w:t xml:space="preserve"> solicitanți de AJGS, care abuzează și solicită în exces asistență juridică gratuită. </w:t>
      </w:r>
    </w:p>
    <w:p w14:paraId="7797F381" w14:textId="0DE245D2" w:rsidR="00FD339F" w:rsidRPr="00B269F3" w:rsidRDefault="00FD339F" w:rsidP="00A02682">
      <w:pPr>
        <w:pStyle w:val="Heading3"/>
        <w:numPr>
          <w:ilvl w:val="2"/>
          <w:numId w:val="48"/>
        </w:numPr>
        <w:tabs>
          <w:tab w:val="left" w:pos="360"/>
          <w:tab w:val="left" w:pos="540"/>
          <w:tab w:val="left" w:pos="630"/>
        </w:tabs>
        <w:spacing w:before="240" w:after="120" w:line="276" w:lineRule="auto"/>
        <w:ind w:left="0" w:firstLine="0"/>
        <w:jc w:val="both"/>
        <w:rPr>
          <w:rFonts w:cstheme="minorHAnsi"/>
          <w:b/>
          <w:i/>
          <w:color w:val="FF0000"/>
        </w:rPr>
      </w:pPr>
      <w:bookmarkStart w:id="32" w:name="_Toc125368188"/>
      <w:bookmarkStart w:id="33" w:name="_Toc128640814"/>
      <w:r w:rsidRPr="00381DA2">
        <w:rPr>
          <w:rFonts w:cstheme="minorHAnsi"/>
          <w:b/>
          <w:i/>
          <w:color w:val="0070C0"/>
        </w:rPr>
        <w:t>Unele prevederi ale Regulamentului de funcționare a OT a</w:t>
      </w:r>
      <w:r w:rsidR="008C5BF5">
        <w:rPr>
          <w:rFonts w:cstheme="minorHAnsi"/>
          <w:b/>
          <w:i/>
          <w:color w:val="0070C0"/>
        </w:rPr>
        <w:t>le</w:t>
      </w:r>
      <w:r w:rsidRPr="00381DA2">
        <w:rPr>
          <w:rFonts w:cstheme="minorHAnsi"/>
          <w:b/>
          <w:i/>
          <w:color w:val="0070C0"/>
        </w:rPr>
        <w:t xml:space="preserve"> CNAJGS nu sunt subordonate prevederilor legale, ceea ce permite oferirea asistenței juridice unor persoane neeligibile</w:t>
      </w:r>
      <w:bookmarkEnd w:id="32"/>
      <w:r w:rsidR="008C5BF5">
        <w:rPr>
          <w:rFonts w:cstheme="minorHAnsi"/>
          <w:b/>
          <w:i/>
          <w:color w:val="0070C0"/>
        </w:rPr>
        <w:t>.</w:t>
      </w:r>
      <w:bookmarkEnd w:id="33"/>
      <w:r w:rsidR="00B269F3">
        <w:rPr>
          <w:rFonts w:cstheme="minorHAnsi"/>
          <w:b/>
          <w:i/>
          <w:color w:val="0070C0"/>
        </w:rPr>
        <w:t xml:space="preserve"> </w:t>
      </w:r>
    </w:p>
    <w:p w14:paraId="1B658D28" w14:textId="755AD274" w:rsidR="00EF4BBE" w:rsidRPr="00381DA2" w:rsidRDefault="00EF4BBE" w:rsidP="003A66EF">
      <w:pPr>
        <w:tabs>
          <w:tab w:val="left" w:pos="360"/>
        </w:tabs>
        <w:spacing w:after="120" w:line="276" w:lineRule="auto"/>
        <w:jc w:val="both"/>
        <w:rPr>
          <w:rFonts w:asciiTheme="majorHAnsi" w:hAnsiTheme="majorHAnsi" w:cstheme="minorHAnsi"/>
          <w:sz w:val="24"/>
          <w:szCs w:val="24"/>
        </w:rPr>
      </w:pPr>
      <w:bookmarkStart w:id="34" w:name="_Toc125368189"/>
      <w:r w:rsidRPr="00381DA2">
        <w:rPr>
          <w:rFonts w:asciiTheme="majorHAnsi" w:hAnsiTheme="majorHAnsi" w:cstheme="minorHAnsi"/>
          <w:sz w:val="24"/>
          <w:szCs w:val="24"/>
        </w:rPr>
        <w:t xml:space="preserve">În pofida faptului că art.20 din Legea </w:t>
      </w:r>
      <w:r w:rsidR="008C5BF5">
        <w:rPr>
          <w:rFonts w:asciiTheme="majorHAnsi" w:hAnsiTheme="majorHAnsi" w:cstheme="minorHAnsi"/>
          <w:sz w:val="24"/>
          <w:szCs w:val="24"/>
        </w:rPr>
        <w:t>nr.</w:t>
      </w:r>
      <w:r w:rsidRPr="00381DA2">
        <w:rPr>
          <w:rFonts w:asciiTheme="majorHAnsi" w:hAnsiTheme="majorHAnsi" w:cstheme="minorHAnsi"/>
          <w:sz w:val="24"/>
          <w:szCs w:val="24"/>
        </w:rPr>
        <w:t>198/2007 statuează expres anumite situații în care persoanele fizice pot beneficia de asistență juridică calificată gratuită, conform Regulamentului funcționării Oficiilor teritoriale ale Consiliului Național pentru Asistență Juridică Garantată de Stat, aprobat prin Hotărârea C</w:t>
      </w:r>
      <w:r w:rsidR="005D08B2">
        <w:rPr>
          <w:rFonts w:asciiTheme="majorHAnsi" w:hAnsiTheme="majorHAnsi" w:cstheme="minorHAnsi"/>
          <w:sz w:val="24"/>
          <w:szCs w:val="24"/>
        </w:rPr>
        <w:t>NAJGS nr.15 din 30.07.2008, s-a</w:t>
      </w:r>
      <w:r w:rsidRPr="00381DA2">
        <w:rPr>
          <w:rFonts w:asciiTheme="majorHAnsi" w:hAnsiTheme="majorHAnsi" w:cstheme="minorHAnsi"/>
          <w:sz w:val="24"/>
          <w:szCs w:val="24"/>
        </w:rPr>
        <w:t xml:space="preserve"> permis coordonatorilor oficiilor teritoriale de a oferi asistență juridică garantată de stat și în alte cazuri decât cele stabilite legal.  </w:t>
      </w:r>
    </w:p>
    <w:p w14:paraId="21E50396" w14:textId="316A6FF4" w:rsidR="00EF4BBE" w:rsidRPr="00EF4BBE" w:rsidRDefault="00EF4BBE" w:rsidP="003A66EF">
      <w:p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Astfel, pct.31 din Regulamentul menționat supra prevede că „coordonatorul Oficiului teritorial </w:t>
      </w:r>
      <w:r w:rsidRPr="00381DA2">
        <w:rPr>
          <w:rFonts w:asciiTheme="majorHAnsi" w:hAnsiTheme="majorHAnsi" w:cstheme="minorHAnsi"/>
          <w:sz w:val="24"/>
          <w:szCs w:val="24"/>
          <w:shd w:val="clear" w:color="auto" w:fill="FFFFFF"/>
        </w:rPr>
        <w:t>poate accepta acordarea asistenței juridice calificate solicitantului, care depășește nivelul venitului pentru acordarea asistenței juridice garantate de stat, dar care, reieșind din situația personală și natura cauzei, este justificat să beneficieze de asistență juridică garantată de stat”.</w:t>
      </w:r>
      <w:r w:rsidRPr="00381DA2">
        <w:rPr>
          <w:rFonts w:asciiTheme="majorHAnsi" w:hAnsiTheme="majorHAnsi" w:cstheme="minorHAnsi"/>
          <w:sz w:val="24"/>
          <w:szCs w:val="24"/>
        </w:rPr>
        <w:t xml:space="preserve"> Prescripția normei interne respective este una ambigu</w:t>
      </w:r>
      <w:r w:rsidR="008C5BF5">
        <w:rPr>
          <w:rFonts w:asciiTheme="majorHAnsi" w:hAnsiTheme="majorHAnsi" w:cstheme="minorHAnsi"/>
          <w:sz w:val="24"/>
          <w:szCs w:val="24"/>
        </w:rPr>
        <w:t>ă</w:t>
      </w:r>
      <w:r w:rsidRPr="00381DA2">
        <w:rPr>
          <w:rFonts w:asciiTheme="majorHAnsi" w:hAnsiTheme="majorHAnsi" w:cstheme="minorHAnsi"/>
          <w:sz w:val="24"/>
          <w:szCs w:val="24"/>
        </w:rPr>
        <w:t xml:space="preserve"> și neclară</w:t>
      </w:r>
      <w:r w:rsidR="008C5BF5">
        <w:rPr>
          <w:rFonts w:asciiTheme="majorHAnsi" w:hAnsiTheme="majorHAnsi" w:cstheme="minorHAnsi"/>
          <w:sz w:val="24"/>
          <w:szCs w:val="24"/>
        </w:rPr>
        <w:t>,</w:t>
      </w:r>
      <w:r w:rsidRPr="00381DA2">
        <w:rPr>
          <w:rFonts w:asciiTheme="majorHAnsi" w:hAnsiTheme="majorHAnsi" w:cstheme="minorHAnsi"/>
          <w:sz w:val="24"/>
          <w:szCs w:val="24"/>
        </w:rPr>
        <w:t xml:space="preserve"> iar sintagma „</w:t>
      </w:r>
      <w:r w:rsidRPr="00381DA2">
        <w:rPr>
          <w:rFonts w:asciiTheme="majorHAnsi" w:hAnsiTheme="majorHAnsi" w:cstheme="minorHAnsi"/>
          <w:i/>
          <w:sz w:val="24"/>
          <w:szCs w:val="24"/>
        </w:rPr>
        <w:t>reieșind din situația personală și natura cauzei</w:t>
      </w:r>
      <w:r w:rsidRPr="00381DA2">
        <w:rPr>
          <w:rFonts w:asciiTheme="majorHAnsi" w:hAnsiTheme="majorHAnsi" w:cstheme="minorHAnsi"/>
          <w:sz w:val="24"/>
          <w:szCs w:val="24"/>
        </w:rPr>
        <w:t xml:space="preserve">” poartă un context general, neexistând reglementări de interpretare și </w:t>
      </w:r>
      <w:r w:rsidRPr="00EF4BBE">
        <w:rPr>
          <w:rFonts w:asciiTheme="majorHAnsi" w:hAnsiTheme="majorHAnsi" w:cstheme="minorHAnsi"/>
          <w:sz w:val="24"/>
          <w:szCs w:val="24"/>
        </w:rPr>
        <w:t>punere în aplicare a acestei prevederi.</w:t>
      </w:r>
    </w:p>
    <w:p w14:paraId="69C752FA" w14:textId="00717ECC" w:rsidR="00EF4BBE" w:rsidRPr="00EF4BBE" w:rsidRDefault="00EF4BBE" w:rsidP="003A66EF">
      <w:pPr>
        <w:spacing w:line="276" w:lineRule="auto"/>
        <w:jc w:val="both"/>
        <w:rPr>
          <w:rFonts w:asciiTheme="majorHAnsi" w:hAnsiTheme="majorHAnsi" w:cstheme="minorHAnsi"/>
          <w:sz w:val="24"/>
          <w:szCs w:val="24"/>
        </w:rPr>
      </w:pPr>
      <w:r w:rsidRPr="00EF4BBE">
        <w:rPr>
          <w:rFonts w:asciiTheme="majorHAnsi" w:hAnsiTheme="majorHAnsi" w:cstheme="minorHAnsi"/>
          <w:sz w:val="24"/>
          <w:szCs w:val="24"/>
        </w:rPr>
        <w:lastRenderedPageBreak/>
        <w:t xml:space="preserve">Analiza efectuată de către audit asupra deciziilor de acordare a AJGS în perioada 2020- 2022 </w:t>
      </w:r>
      <w:r w:rsidR="008C5BF5">
        <w:rPr>
          <w:rFonts w:asciiTheme="majorHAnsi" w:hAnsiTheme="majorHAnsi" w:cstheme="minorHAnsi"/>
          <w:sz w:val="24"/>
          <w:szCs w:val="24"/>
        </w:rPr>
        <w:t>(9 luni) relevă</w:t>
      </w:r>
      <w:r w:rsidRPr="00EF4BBE">
        <w:rPr>
          <w:rFonts w:asciiTheme="majorHAnsi" w:hAnsiTheme="majorHAnsi" w:cstheme="minorHAnsi"/>
          <w:sz w:val="24"/>
          <w:szCs w:val="24"/>
        </w:rPr>
        <w:t xml:space="preserve"> 70 de cazuri de acordare a AJGS în baza temeiului menționat</w:t>
      </w:r>
      <w:r w:rsidRPr="00EF4BBE">
        <w:rPr>
          <w:rStyle w:val="FootnoteReference"/>
          <w:rFonts w:asciiTheme="majorHAnsi" w:hAnsiTheme="majorHAnsi" w:cstheme="minorHAnsi"/>
          <w:sz w:val="24"/>
          <w:szCs w:val="24"/>
        </w:rPr>
        <w:footnoteReference w:id="34"/>
      </w:r>
      <w:r w:rsidRPr="00EF4BBE">
        <w:rPr>
          <w:rFonts w:asciiTheme="majorHAnsi" w:hAnsiTheme="majorHAnsi" w:cstheme="minorHAnsi"/>
          <w:sz w:val="24"/>
          <w:szCs w:val="24"/>
        </w:rPr>
        <w:t>, dintre care</w:t>
      </w:r>
      <w:r w:rsidR="008C5BF5">
        <w:rPr>
          <w:rFonts w:asciiTheme="majorHAnsi" w:hAnsiTheme="majorHAnsi" w:cstheme="minorHAnsi"/>
          <w:sz w:val="24"/>
          <w:szCs w:val="24"/>
        </w:rPr>
        <w:t>,</w:t>
      </w:r>
      <w:r w:rsidRPr="00EF4BBE">
        <w:rPr>
          <w:rFonts w:asciiTheme="majorHAnsi" w:hAnsiTheme="majorHAnsi" w:cstheme="minorHAnsi"/>
          <w:sz w:val="24"/>
          <w:szCs w:val="24"/>
        </w:rPr>
        <w:t xml:space="preserve"> potrivit informații</w:t>
      </w:r>
      <w:r w:rsidR="008C5BF5">
        <w:rPr>
          <w:rFonts w:asciiTheme="majorHAnsi" w:hAnsiTheme="majorHAnsi" w:cstheme="minorHAnsi"/>
          <w:sz w:val="24"/>
          <w:szCs w:val="24"/>
        </w:rPr>
        <w:t>lor</w:t>
      </w:r>
      <w:r w:rsidRPr="00EF4BBE">
        <w:rPr>
          <w:rFonts w:asciiTheme="majorHAnsi" w:hAnsiTheme="majorHAnsi" w:cstheme="minorHAnsi"/>
          <w:sz w:val="24"/>
          <w:szCs w:val="24"/>
        </w:rPr>
        <w:t xml:space="preserve"> </w:t>
      </w:r>
      <w:r w:rsidR="005D08B2">
        <w:rPr>
          <w:rFonts w:asciiTheme="majorHAnsi" w:hAnsiTheme="majorHAnsi" w:cstheme="minorHAnsi"/>
          <w:sz w:val="24"/>
          <w:szCs w:val="24"/>
        </w:rPr>
        <w:t>prezentate de coordonatorii OT, în 32 de cazuri (46%)</w:t>
      </w:r>
      <w:r w:rsidRPr="00EF4BBE">
        <w:rPr>
          <w:rFonts w:asciiTheme="majorHAnsi" w:hAnsiTheme="majorHAnsi" w:cstheme="minorHAnsi"/>
          <w:sz w:val="24"/>
          <w:szCs w:val="24"/>
        </w:rPr>
        <w:t xml:space="preserve"> asisten</w:t>
      </w:r>
      <w:r w:rsidR="008C5BF5">
        <w:rPr>
          <w:rFonts w:asciiTheme="majorHAnsi" w:hAnsiTheme="majorHAnsi" w:cstheme="minorHAnsi"/>
          <w:sz w:val="24"/>
          <w:szCs w:val="24"/>
        </w:rPr>
        <w:t>ț</w:t>
      </w:r>
      <w:r w:rsidRPr="00EF4BBE">
        <w:rPr>
          <w:rFonts w:asciiTheme="majorHAnsi" w:hAnsiTheme="majorHAnsi" w:cstheme="minorHAnsi"/>
          <w:sz w:val="24"/>
          <w:szCs w:val="24"/>
        </w:rPr>
        <w:t xml:space="preserve">a juridică a fost oferită persoanelor cu dizabilități, persoanelor cu vârstă înaintată sau aflate în alte situații de vulnerabilitate socială. </w:t>
      </w:r>
    </w:p>
    <w:p w14:paraId="1EC73796" w14:textId="7E988D41" w:rsidR="00EF4BBE" w:rsidRPr="003A66EF" w:rsidRDefault="00EF4BBE" w:rsidP="003A66EF">
      <w:pPr>
        <w:spacing w:line="276" w:lineRule="auto"/>
        <w:jc w:val="both"/>
        <w:rPr>
          <w:rFonts w:asciiTheme="majorHAnsi" w:hAnsiTheme="majorHAnsi" w:cstheme="minorHAnsi"/>
          <w:sz w:val="24"/>
          <w:szCs w:val="24"/>
          <w:lang w:val="ro-RO"/>
        </w:rPr>
      </w:pPr>
      <w:r w:rsidRPr="003A66EF">
        <w:rPr>
          <w:rFonts w:asciiTheme="majorHAnsi" w:hAnsiTheme="majorHAnsi" w:cstheme="minorHAnsi"/>
          <w:sz w:val="24"/>
          <w:szCs w:val="24"/>
        </w:rPr>
        <w:t>Totuși, există cazuri în care, deși se afirmă că AJGS a fost oferită persoanelor vulnerabile, verificările de audit relevă o altă situație. În acest context se exemplifică situația stabilită la OT Bălți, coordonatorul acordând asistență juridică unei persoane</w:t>
      </w:r>
      <w:r w:rsidR="0016482B">
        <w:rPr>
          <w:rFonts w:asciiTheme="majorHAnsi" w:hAnsiTheme="majorHAnsi" w:cstheme="minorHAnsi"/>
          <w:sz w:val="24"/>
          <w:szCs w:val="24"/>
        </w:rPr>
        <w:t xml:space="preserve"> care ar fi avut</w:t>
      </w:r>
      <w:r w:rsidRPr="003A66EF">
        <w:rPr>
          <w:rFonts w:asciiTheme="majorHAnsi" w:hAnsiTheme="majorHAnsi" w:cstheme="minorHAnsi"/>
          <w:sz w:val="24"/>
          <w:szCs w:val="24"/>
        </w:rPr>
        <w:t xml:space="preserve"> </w:t>
      </w:r>
      <w:r w:rsidR="000C747E">
        <w:rPr>
          <w:rFonts w:asciiTheme="majorHAnsi" w:hAnsiTheme="majorHAnsi" w:cstheme="minorHAnsi"/>
          <w:sz w:val="24"/>
          <w:szCs w:val="24"/>
        </w:rPr>
        <w:t>di</w:t>
      </w:r>
      <w:r w:rsidRPr="003A66EF">
        <w:rPr>
          <w:rFonts w:asciiTheme="majorHAnsi" w:hAnsiTheme="majorHAnsi" w:cstheme="minorHAnsi"/>
          <w:sz w:val="24"/>
          <w:szCs w:val="24"/>
        </w:rPr>
        <w:t>zabilitate, iar venitul solicitant</w:t>
      </w:r>
      <w:r w:rsidR="005D08B2">
        <w:rPr>
          <w:rFonts w:asciiTheme="majorHAnsi" w:hAnsiTheme="majorHAnsi" w:cstheme="minorHAnsi"/>
          <w:sz w:val="24"/>
          <w:szCs w:val="24"/>
        </w:rPr>
        <w:t xml:space="preserve">ului </w:t>
      </w:r>
      <w:r w:rsidR="0016482B">
        <w:rPr>
          <w:rFonts w:asciiTheme="majorHAnsi" w:hAnsiTheme="majorHAnsi" w:cstheme="minorHAnsi"/>
          <w:sz w:val="24"/>
          <w:szCs w:val="24"/>
        </w:rPr>
        <w:t xml:space="preserve">ar fi </w:t>
      </w:r>
      <w:r w:rsidR="005D08B2">
        <w:rPr>
          <w:rFonts w:asciiTheme="majorHAnsi" w:hAnsiTheme="majorHAnsi" w:cstheme="minorHAnsi"/>
          <w:sz w:val="24"/>
          <w:szCs w:val="24"/>
        </w:rPr>
        <w:t>depăș</w:t>
      </w:r>
      <w:r w:rsidR="0016482B">
        <w:rPr>
          <w:rFonts w:asciiTheme="majorHAnsi" w:hAnsiTheme="majorHAnsi" w:cstheme="minorHAnsi"/>
          <w:sz w:val="24"/>
          <w:szCs w:val="24"/>
        </w:rPr>
        <w:t>it</w:t>
      </w:r>
      <w:r w:rsidR="005D08B2">
        <w:rPr>
          <w:rFonts w:asciiTheme="majorHAnsi" w:hAnsiTheme="majorHAnsi" w:cstheme="minorHAnsi"/>
          <w:sz w:val="24"/>
          <w:szCs w:val="24"/>
        </w:rPr>
        <w:t xml:space="preserve"> doar cu 340 lei </w:t>
      </w:r>
      <w:r w:rsidRPr="003A66EF">
        <w:rPr>
          <w:rFonts w:asciiTheme="majorHAnsi" w:hAnsiTheme="majorHAnsi" w:cstheme="minorHAnsi"/>
          <w:sz w:val="24"/>
          <w:szCs w:val="24"/>
        </w:rPr>
        <w:t>venitul legal stabili</w:t>
      </w:r>
      <w:r w:rsidR="005D08B2">
        <w:rPr>
          <w:rFonts w:asciiTheme="majorHAnsi" w:hAnsiTheme="majorHAnsi" w:cstheme="minorHAnsi"/>
          <w:sz w:val="24"/>
          <w:szCs w:val="24"/>
        </w:rPr>
        <w:t>t. În fapt, auditul a constatat</w:t>
      </w:r>
      <w:r w:rsidRPr="003A66EF">
        <w:rPr>
          <w:rFonts w:asciiTheme="majorHAnsi" w:hAnsiTheme="majorHAnsi" w:cstheme="minorHAnsi"/>
          <w:sz w:val="24"/>
          <w:szCs w:val="24"/>
        </w:rPr>
        <w:t xml:space="preserve"> o depășire lunară a venitului cu 1,9</w:t>
      </w:r>
      <w:r w:rsidR="001E7F9E">
        <w:rPr>
          <w:rFonts w:asciiTheme="majorHAnsi" w:hAnsiTheme="majorHAnsi" w:cstheme="minorHAnsi"/>
          <w:sz w:val="24"/>
          <w:szCs w:val="24"/>
        </w:rPr>
        <w:t xml:space="preserve"> mii lei</w:t>
      </w:r>
      <w:r w:rsidR="005D08B2">
        <w:rPr>
          <w:rFonts w:asciiTheme="majorHAnsi" w:hAnsiTheme="majorHAnsi" w:cstheme="minorHAnsi"/>
          <w:sz w:val="24"/>
          <w:szCs w:val="24"/>
        </w:rPr>
        <w:t xml:space="preserve">, </w:t>
      </w:r>
      <w:r w:rsidRPr="003A66EF">
        <w:rPr>
          <w:rFonts w:asciiTheme="majorHAnsi" w:hAnsiTheme="majorHAnsi" w:cstheme="minorHAnsi"/>
          <w:sz w:val="24"/>
          <w:szCs w:val="24"/>
        </w:rPr>
        <w:t>mai mult ca atât</w:t>
      </w:r>
      <w:r w:rsidR="0016482B">
        <w:rPr>
          <w:rFonts w:asciiTheme="majorHAnsi" w:hAnsiTheme="majorHAnsi" w:cstheme="minorHAnsi"/>
          <w:sz w:val="24"/>
          <w:szCs w:val="24"/>
        </w:rPr>
        <w:t>,</w:t>
      </w:r>
      <w:r w:rsidRPr="003A66EF">
        <w:rPr>
          <w:rFonts w:asciiTheme="majorHAnsi" w:hAnsiTheme="majorHAnsi" w:cstheme="minorHAnsi"/>
          <w:sz w:val="24"/>
          <w:szCs w:val="24"/>
        </w:rPr>
        <w:t xml:space="preserve"> persoana în cauză av</w:t>
      </w:r>
      <w:r w:rsidR="008E2FEF">
        <w:rPr>
          <w:rFonts w:asciiTheme="majorHAnsi" w:hAnsiTheme="majorHAnsi" w:cstheme="minorHAnsi"/>
          <w:sz w:val="24"/>
          <w:szCs w:val="24"/>
        </w:rPr>
        <w:t>ea</w:t>
      </w:r>
      <w:r w:rsidRPr="003A66EF">
        <w:rPr>
          <w:rFonts w:asciiTheme="majorHAnsi" w:hAnsiTheme="majorHAnsi" w:cstheme="minorHAnsi"/>
          <w:sz w:val="24"/>
          <w:szCs w:val="24"/>
        </w:rPr>
        <w:t xml:space="preserve"> în proprietate</w:t>
      </w:r>
      <w:r w:rsidR="00AA6783">
        <w:rPr>
          <w:rStyle w:val="FootnoteReference"/>
          <w:rFonts w:asciiTheme="majorHAnsi" w:hAnsiTheme="majorHAnsi" w:cstheme="minorHAnsi"/>
          <w:sz w:val="24"/>
          <w:szCs w:val="24"/>
        </w:rPr>
        <w:footnoteReference w:id="35"/>
      </w:r>
      <w:r w:rsidRPr="003A66EF">
        <w:rPr>
          <w:rFonts w:asciiTheme="majorHAnsi" w:hAnsiTheme="majorHAnsi" w:cstheme="minorHAnsi"/>
          <w:sz w:val="24"/>
          <w:szCs w:val="24"/>
        </w:rPr>
        <w:t xml:space="preserve"> 5 terenuri și 2 imobile, fapt ce denotă că nu </w:t>
      </w:r>
      <w:r w:rsidR="008E2FEF">
        <w:rPr>
          <w:rFonts w:asciiTheme="majorHAnsi" w:hAnsiTheme="majorHAnsi" w:cstheme="minorHAnsi"/>
          <w:sz w:val="24"/>
          <w:szCs w:val="24"/>
        </w:rPr>
        <w:t>făcea</w:t>
      </w:r>
      <w:r w:rsidRPr="003A66EF">
        <w:rPr>
          <w:rFonts w:asciiTheme="majorHAnsi" w:hAnsiTheme="majorHAnsi" w:cstheme="minorHAnsi"/>
          <w:sz w:val="24"/>
          <w:szCs w:val="24"/>
        </w:rPr>
        <w:t xml:space="preserve"> parte din categoria celor vulnerabil</w:t>
      </w:r>
      <w:r w:rsidR="008E2FEF">
        <w:rPr>
          <w:rFonts w:asciiTheme="majorHAnsi" w:hAnsiTheme="majorHAnsi" w:cstheme="minorHAnsi"/>
          <w:sz w:val="24"/>
          <w:szCs w:val="24"/>
        </w:rPr>
        <w:t>e</w:t>
      </w:r>
      <w:r w:rsidRPr="003A66EF">
        <w:rPr>
          <w:rFonts w:asciiTheme="majorHAnsi" w:hAnsiTheme="majorHAnsi" w:cstheme="minorHAnsi"/>
          <w:sz w:val="24"/>
          <w:szCs w:val="24"/>
        </w:rPr>
        <w:t>. Or, în aceste condiții</w:t>
      </w:r>
      <w:r w:rsidR="0016482B">
        <w:rPr>
          <w:rFonts w:asciiTheme="majorHAnsi" w:hAnsiTheme="majorHAnsi" w:cstheme="minorHAnsi"/>
          <w:sz w:val="24"/>
          <w:szCs w:val="24"/>
        </w:rPr>
        <w:t>,</w:t>
      </w:r>
      <w:r w:rsidRPr="003A66EF">
        <w:rPr>
          <w:rFonts w:asciiTheme="majorHAnsi" w:hAnsiTheme="majorHAnsi" w:cstheme="minorHAnsi"/>
          <w:sz w:val="24"/>
          <w:szCs w:val="24"/>
        </w:rPr>
        <w:t xml:space="preserve"> persoanei fizice i-a fost </w:t>
      </w:r>
      <w:r w:rsidR="003E6F38">
        <w:rPr>
          <w:rFonts w:asciiTheme="majorHAnsi" w:hAnsiTheme="majorHAnsi" w:cstheme="minorHAnsi"/>
          <w:sz w:val="24"/>
          <w:szCs w:val="24"/>
        </w:rPr>
        <w:t>o</w:t>
      </w:r>
      <w:r w:rsidRPr="003A66EF">
        <w:rPr>
          <w:rFonts w:asciiTheme="majorHAnsi" w:hAnsiTheme="majorHAnsi" w:cstheme="minorHAnsi"/>
          <w:sz w:val="24"/>
          <w:szCs w:val="24"/>
        </w:rPr>
        <w:t>ferită asistență juridică din contul statului în sumă de 6,0 mii lei</w:t>
      </w:r>
      <w:r w:rsidR="004758CD">
        <w:rPr>
          <w:rFonts w:asciiTheme="majorHAnsi" w:hAnsiTheme="majorHAnsi" w:cstheme="minorHAnsi"/>
          <w:sz w:val="24"/>
          <w:szCs w:val="24"/>
        </w:rPr>
        <w:t>,</w:t>
      </w:r>
      <w:r w:rsidRPr="003A66EF">
        <w:rPr>
          <w:rFonts w:asciiTheme="majorHAnsi" w:hAnsiTheme="majorHAnsi" w:cstheme="minorHAnsi"/>
          <w:sz w:val="24"/>
          <w:szCs w:val="24"/>
        </w:rPr>
        <w:t xml:space="preserve"> în condiții favorizante. </w:t>
      </w:r>
    </w:p>
    <w:p w14:paraId="5BAC2525" w14:textId="2CE87DF0" w:rsidR="00EF4BBE" w:rsidRPr="003A66EF" w:rsidRDefault="005D08B2" w:rsidP="003A66EF">
      <w:pPr>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La fel, auditul </w:t>
      </w:r>
      <w:r w:rsidR="00EF4BBE" w:rsidRPr="003A66EF">
        <w:rPr>
          <w:rFonts w:asciiTheme="majorHAnsi" w:hAnsiTheme="majorHAnsi" w:cstheme="minorHAnsi"/>
          <w:sz w:val="24"/>
          <w:szCs w:val="24"/>
        </w:rPr>
        <w:t>a identificat erori tehnice</w:t>
      </w:r>
      <w:r w:rsidR="00EF4BBE" w:rsidRPr="003A66EF">
        <w:rPr>
          <w:rStyle w:val="FootnoteReference"/>
          <w:rFonts w:asciiTheme="majorHAnsi" w:hAnsiTheme="majorHAnsi" w:cstheme="minorHAnsi"/>
          <w:sz w:val="24"/>
          <w:szCs w:val="24"/>
        </w:rPr>
        <w:footnoteReference w:id="36"/>
      </w:r>
      <w:r w:rsidR="00EF4BBE" w:rsidRPr="003A66EF">
        <w:rPr>
          <w:rFonts w:asciiTheme="majorHAnsi" w:hAnsiTheme="majorHAnsi" w:cstheme="minorHAnsi"/>
          <w:sz w:val="24"/>
          <w:szCs w:val="24"/>
        </w:rPr>
        <w:t xml:space="preserve"> de atribuire a temeiului prestabilit la pct.31 din Regulamentul de funcționare a OT, precum și desemnări pe marginea cărora avocații nu au raportat acțiuni și nu au solicitat achitarea serviciilor prestate.</w:t>
      </w:r>
    </w:p>
    <w:p w14:paraId="7619EA5C" w14:textId="1D56E105" w:rsidR="00EF4BBE" w:rsidRPr="00381DA2" w:rsidRDefault="00EF4BBE" w:rsidP="003A66EF">
      <w:pPr>
        <w:spacing w:line="276" w:lineRule="auto"/>
        <w:jc w:val="both"/>
        <w:rPr>
          <w:rFonts w:asciiTheme="majorHAnsi" w:hAnsiTheme="majorHAnsi" w:cstheme="minorHAnsi"/>
          <w:sz w:val="24"/>
          <w:szCs w:val="24"/>
        </w:rPr>
      </w:pPr>
      <w:r w:rsidRPr="003A66EF">
        <w:rPr>
          <w:rFonts w:asciiTheme="majorHAnsi" w:hAnsiTheme="majorHAnsi" w:cstheme="minorHAnsi"/>
          <w:sz w:val="24"/>
          <w:szCs w:val="24"/>
        </w:rPr>
        <w:t xml:space="preserve">Reieșind din cele relatate mai sus, echipa de audit conchide asupra necesității revizuirii și racordării cadrului normativ secundar la prevederile Legii </w:t>
      </w:r>
      <w:r w:rsidR="008E2FEF">
        <w:rPr>
          <w:rFonts w:asciiTheme="majorHAnsi" w:hAnsiTheme="majorHAnsi" w:cstheme="minorHAnsi"/>
          <w:sz w:val="24"/>
          <w:szCs w:val="24"/>
        </w:rPr>
        <w:t>nr.</w:t>
      </w:r>
      <w:r w:rsidRPr="003A66EF">
        <w:rPr>
          <w:rFonts w:asciiTheme="majorHAnsi" w:hAnsiTheme="majorHAnsi" w:cstheme="minorHAnsi"/>
          <w:sz w:val="24"/>
          <w:szCs w:val="24"/>
        </w:rPr>
        <w:t>198/2007</w:t>
      </w:r>
      <w:r w:rsidR="008E2FEF">
        <w:rPr>
          <w:rFonts w:asciiTheme="majorHAnsi" w:hAnsiTheme="majorHAnsi" w:cstheme="minorHAnsi"/>
          <w:sz w:val="24"/>
          <w:szCs w:val="24"/>
        </w:rPr>
        <w:t>,</w:t>
      </w:r>
      <w:r w:rsidRPr="003A66EF">
        <w:rPr>
          <w:rFonts w:asciiTheme="majorHAnsi" w:hAnsiTheme="majorHAnsi" w:cstheme="minorHAnsi"/>
          <w:sz w:val="24"/>
          <w:szCs w:val="24"/>
        </w:rPr>
        <w:t xml:space="preserve"> </w:t>
      </w:r>
      <w:r w:rsidR="001E7F9E">
        <w:rPr>
          <w:rFonts w:asciiTheme="majorHAnsi" w:hAnsiTheme="majorHAnsi" w:cstheme="minorHAnsi"/>
          <w:sz w:val="24"/>
          <w:szCs w:val="24"/>
        </w:rPr>
        <w:t>l</w:t>
      </w:r>
      <w:r w:rsidR="005D08B2">
        <w:rPr>
          <w:rFonts w:asciiTheme="majorHAnsi" w:hAnsiTheme="majorHAnsi" w:cstheme="minorHAnsi"/>
          <w:sz w:val="24"/>
          <w:szCs w:val="24"/>
        </w:rPr>
        <w:t>a aspectul atribuirii</w:t>
      </w:r>
      <w:r w:rsidRPr="003A66EF">
        <w:rPr>
          <w:rFonts w:asciiTheme="majorHAnsi" w:hAnsiTheme="majorHAnsi" w:cstheme="minorHAnsi"/>
          <w:sz w:val="24"/>
          <w:szCs w:val="24"/>
        </w:rPr>
        <w:t xml:space="preserve"> unor</w:t>
      </w:r>
      <w:r w:rsidR="000C747E">
        <w:rPr>
          <w:rFonts w:asciiTheme="majorHAnsi" w:hAnsiTheme="majorHAnsi" w:cstheme="minorHAnsi"/>
          <w:sz w:val="24"/>
          <w:szCs w:val="24"/>
        </w:rPr>
        <w:t xml:space="preserve"> responsabilități suplimentare c</w:t>
      </w:r>
      <w:r w:rsidRPr="003A66EF">
        <w:rPr>
          <w:rFonts w:asciiTheme="majorHAnsi" w:hAnsiTheme="majorHAnsi" w:cstheme="minorHAnsi"/>
          <w:sz w:val="24"/>
          <w:szCs w:val="24"/>
        </w:rPr>
        <w:t xml:space="preserve">oordonatorilor OT care </w:t>
      </w:r>
      <w:r w:rsidR="001E7F9E">
        <w:rPr>
          <w:rFonts w:asciiTheme="majorHAnsi" w:hAnsiTheme="majorHAnsi" w:cstheme="minorHAnsi"/>
          <w:sz w:val="24"/>
          <w:szCs w:val="24"/>
        </w:rPr>
        <w:t>emit decizii</w:t>
      </w:r>
      <w:r w:rsidRPr="003A66EF">
        <w:rPr>
          <w:rFonts w:asciiTheme="majorHAnsi" w:hAnsiTheme="majorHAnsi" w:cstheme="minorHAnsi"/>
          <w:sz w:val="24"/>
          <w:szCs w:val="24"/>
        </w:rPr>
        <w:t xml:space="preserve"> de acordare a AJGS în condiții incerte.</w:t>
      </w:r>
    </w:p>
    <w:p w14:paraId="5B40B72B" w14:textId="7BF56E2F" w:rsidR="00EF4BBE" w:rsidRPr="00381DA2" w:rsidRDefault="00EF4BBE"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Mai mult decât atât, persoanele ale căror venituri depășesc nesemnificativ pragul de elig</w:t>
      </w:r>
      <w:r w:rsidR="001E7F9E">
        <w:rPr>
          <w:rFonts w:asciiTheme="majorHAnsi" w:hAnsiTheme="majorHAnsi" w:cstheme="minorHAnsi"/>
          <w:sz w:val="24"/>
          <w:szCs w:val="24"/>
        </w:rPr>
        <w:t>ibilitate, urmează a fi încadrate</w:t>
      </w:r>
      <w:r w:rsidRPr="00381DA2">
        <w:rPr>
          <w:rFonts w:asciiTheme="majorHAnsi" w:hAnsiTheme="majorHAnsi" w:cstheme="minorHAnsi"/>
          <w:sz w:val="24"/>
          <w:szCs w:val="24"/>
        </w:rPr>
        <w:t xml:space="preserve"> în categoria de beneficiari ai asistenței juridice parțial gratuite, aspect reglementat în art. 22 din Legea cu privire la asistența juridică garantată de st</w:t>
      </w:r>
      <w:r w:rsidR="003E6F38">
        <w:rPr>
          <w:rFonts w:asciiTheme="majorHAnsi" w:hAnsiTheme="majorHAnsi" w:cstheme="minorHAnsi"/>
          <w:sz w:val="24"/>
          <w:szCs w:val="24"/>
        </w:rPr>
        <w:t>at. Deși esența</w:t>
      </w:r>
      <w:r w:rsidRPr="00381DA2">
        <w:rPr>
          <w:rFonts w:asciiTheme="majorHAnsi" w:hAnsiTheme="majorHAnsi" w:cstheme="minorHAnsi"/>
          <w:sz w:val="24"/>
          <w:szCs w:val="24"/>
        </w:rPr>
        <w:t xml:space="preserve"> acestui mecanism constă în stabilire</w:t>
      </w:r>
      <w:r w:rsidR="001E7F9E">
        <w:rPr>
          <w:rFonts w:asciiTheme="majorHAnsi" w:hAnsiTheme="majorHAnsi" w:cstheme="minorHAnsi"/>
          <w:sz w:val="24"/>
          <w:szCs w:val="24"/>
        </w:rPr>
        <w:t>a graduală a plafoanelor în baza</w:t>
      </w:r>
      <w:r w:rsidRPr="00381DA2">
        <w:rPr>
          <w:rFonts w:asciiTheme="majorHAnsi" w:hAnsiTheme="majorHAnsi" w:cstheme="minorHAnsi"/>
          <w:sz w:val="24"/>
          <w:szCs w:val="24"/>
        </w:rPr>
        <w:t xml:space="preserve"> cărora se determină eligibilitatea pentru acordarea AJGS, precum și contribuția graduală a statului în vederea achitării serviciilor legate de acordarea asistenței juridice calificate, se denotă că acesta nu este aplicat. Ca motiv CNAJGS invocă deficiențe în identificarea unei opțiuni viabile, care s-ar putea integra cu succes în sistemul de AJGS, precum și lipsa identificării la nivel național a resurselor umane și financiare necesare pentru punerea în aplicare a acestei prevederi legale.  </w:t>
      </w:r>
    </w:p>
    <w:p w14:paraId="5CBFCE40" w14:textId="544B9344" w:rsidR="00FD339F" w:rsidRPr="00381DA2" w:rsidRDefault="00FD339F" w:rsidP="00A02682">
      <w:pPr>
        <w:pStyle w:val="Heading3"/>
        <w:numPr>
          <w:ilvl w:val="2"/>
          <w:numId w:val="48"/>
        </w:numPr>
        <w:tabs>
          <w:tab w:val="left" w:pos="360"/>
          <w:tab w:val="left" w:pos="540"/>
          <w:tab w:val="left" w:pos="630"/>
        </w:tabs>
        <w:spacing w:before="240" w:line="276" w:lineRule="auto"/>
        <w:ind w:left="0" w:firstLine="0"/>
        <w:jc w:val="both"/>
        <w:rPr>
          <w:rFonts w:cstheme="minorHAnsi"/>
          <w:b/>
          <w:i/>
          <w:color w:val="0070C0"/>
        </w:rPr>
      </w:pPr>
      <w:bookmarkStart w:id="35" w:name="_Toc128640815"/>
      <w:r w:rsidRPr="00381DA2">
        <w:rPr>
          <w:rFonts w:cstheme="minorHAnsi"/>
          <w:b/>
          <w:i/>
          <w:color w:val="0070C0"/>
        </w:rPr>
        <w:t>CNAJGS nu a asigurat reglementarea volumului de lucru în cazul avocaților contractați la cerere</w:t>
      </w:r>
      <w:bookmarkEnd w:id="34"/>
      <w:r w:rsidR="008E2FEF">
        <w:rPr>
          <w:rFonts w:cstheme="minorHAnsi"/>
          <w:b/>
          <w:i/>
          <w:color w:val="0070C0"/>
        </w:rPr>
        <w:t>.</w:t>
      </w:r>
      <w:bookmarkEnd w:id="35"/>
      <w:r w:rsidRPr="00381DA2">
        <w:rPr>
          <w:rFonts w:cstheme="minorHAnsi"/>
          <w:b/>
          <w:i/>
          <w:color w:val="0070C0"/>
        </w:rPr>
        <w:t xml:space="preserve"> </w:t>
      </w:r>
    </w:p>
    <w:p w14:paraId="45586117" w14:textId="651B5CEC" w:rsidR="00FD339F" w:rsidRPr="00381DA2" w:rsidRDefault="00FD339F" w:rsidP="003A66EF">
      <w:pPr>
        <w:spacing w:after="120" w:line="276" w:lineRule="auto"/>
        <w:jc w:val="both"/>
        <w:rPr>
          <w:rFonts w:asciiTheme="majorHAnsi" w:hAnsiTheme="majorHAnsi" w:cstheme="minorHAnsi"/>
          <w:sz w:val="24"/>
          <w:szCs w:val="24"/>
          <w:lang w:val="ro-RO"/>
        </w:rPr>
      </w:pPr>
      <w:r w:rsidRPr="00381DA2">
        <w:rPr>
          <w:rFonts w:asciiTheme="majorHAnsi" w:hAnsiTheme="majorHAnsi" w:cstheme="minorHAnsi"/>
          <w:sz w:val="24"/>
          <w:szCs w:val="24"/>
          <w:lang w:val="ro-RO"/>
        </w:rPr>
        <w:t>Competența cu privire la stabilirea de către CNAJGS a normelor privind volumul de lucru în baz</w:t>
      </w:r>
      <w:r w:rsidR="000C747E">
        <w:rPr>
          <w:rFonts w:asciiTheme="majorHAnsi" w:hAnsiTheme="majorHAnsi" w:cstheme="minorHAnsi"/>
          <w:sz w:val="24"/>
          <w:szCs w:val="24"/>
          <w:lang w:val="ro-RO"/>
        </w:rPr>
        <w:t>a</w:t>
      </w:r>
      <w:r w:rsidRPr="00381DA2">
        <w:rPr>
          <w:rFonts w:asciiTheme="majorHAnsi" w:hAnsiTheme="majorHAnsi" w:cstheme="minorHAnsi"/>
          <w:sz w:val="24"/>
          <w:szCs w:val="24"/>
          <w:lang w:val="ro-RO"/>
        </w:rPr>
        <w:t xml:space="preserve"> cărora activează avocații care acordă asistență juridică calificată rezultă din prevederile art. 29</w:t>
      </w:r>
      <w:r w:rsidRPr="00381DA2">
        <w:rPr>
          <w:rFonts w:asciiTheme="majorHAnsi" w:hAnsiTheme="majorHAnsi" w:cstheme="minorHAnsi"/>
          <w:color w:val="FF0000"/>
          <w:sz w:val="24"/>
          <w:szCs w:val="24"/>
          <w:lang w:val="ro-RO"/>
        </w:rPr>
        <w:t xml:space="preserve"> </w:t>
      </w:r>
      <w:r w:rsidRPr="00381DA2">
        <w:rPr>
          <w:rFonts w:asciiTheme="majorHAnsi" w:hAnsiTheme="majorHAnsi" w:cstheme="minorHAnsi"/>
          <w:sz w:val="24"/>
          <w:szCs w:val="24"/>
          <w:lang w:val="ro-RO"/>
        </w:rPr>
        <w:t xml:space="preserve">alin. (7) din Legea </w:t>
      </w:r>
      <w:r w:rsidR="00457ADD">
        <w:rPr>
          <w:rFonts w:asciiTheme="majorHAnsi" w:hAnsiTheme="majorHAnsi" w:cstheme="minorHAnsi"/>
          <w:sz w:val="24"/>
          <w:szCs w:val="24"/>
          <w:lang w:val="ro-RO"/>
        </w:rPr>
        <w:t>nr.</w:t>
      </w:r>
      <w:r w:rsidRPr="00381DA2">
        <w:rPr>
          <w:rFonts w:asciiTheme="majorHAnsi" w:hAnsiTheme="majorHAnsi" w:cstheme="minorHAnsi"/>
          <w:sz w:val="24"/>
          <w:szCs w:val="24"/>
          <w:lang w:val="ro-RO"/>
        </w:rPr>
        <w:t xml:space="preserve">198/2007. </w:t>
      </w:r>
    </w:p>
    <w:p w14:paraId="6A918226" w14:textId="61C15BD3" w:rsidR="00FD339F" w:rsidRPr="00381DA2" w:rsidRDefault="00FD339F" w:rsidP="003A66EF">
      <w:pPr>
        <w:pStyle w:val="ListParagraph"/>
        <w:tabs>
          <w:tab w:val="left" w:pos="360"/>
        </w:tabs>
        <w:spacing w:after="120" w:line="276" w:lineRule="auto"/>
        <w:ind w:left="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 xml:space="preserve">Însă, se constată că până </w:t>
      </w:r>
      <w:r w:rsidR="003E6F38">
        <w:rPr>
          <w:rFonts w:asciiTheme="majorHAnsi" w:hAnsiTheme="majorHAnsi" w:cstheme="minorHAnsi"/>
          <w:sz w:val="24"/>
          <w:szCs w:val="24"/>
          <w:lang w:val="ro-MD"/>
        </w:rPr>
        <w:t xml:space="preserve">în </w:t>
      </w:r>
      <w:r w:rsidRPr="00381DA2">
        <w:rPr>
          <w:rFonts w:asciiTheme="majorHAnsi" w:hAnsiTheme="majorHAnsi" w:cstheme="minorHAnsi"/>
          <w:sz w:val="24"/>
          <w:szCs w:val="24"/>
          <w:lang w:val="ro-MD"/>
        </w:rPr>
        <w:t>prezent, CNAGS a făcut uz de norma respectivă numai în privința avocaților publici, dar nu și în privința avocaților care acordă AJGS la cerere. Astfel, dacă potrivit Hotărârii CNAJGS nr. 33 din 27.12.2017</w:t>
      </w:r>
      <w:r w:rsidRPr="00381DA2">
        <w:rPr>
          <w:rStyle w:val="FootnoteReference"/>
          <w:rFonts w:asciiTheme="majorHAnsi" w:hAnsiTheme="majorHAnsi" w:cstheme="minorHAnsi"/>
          <w:sz w:val="24"/>
          <w:szCs w:val="24"/>
          <w:lang w:val="ro-MD"/>
        </w:rPr>
        <w:footnoteReference w:id="37"/>
      </w:r>
      <w:r w:rsidRPr="00381DA2">
        <w:rPr>
          <w:rFonts w:asciiTheme="majorHAnsi" w:hAnsiTheme="majorHAnsi" w:cstheme="minorHAnsi"/>
          <w:sz w:val="24"/>
          <w:szCs w:val="24"/>
          <w:lang w:val="ro-MD"/>
        </w:rPr>
        <w:t>, s-a aprobat că</w:t>
      </w:r>
      <w:r w:rsidR="00457ADD">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pentru desfășurarea eficientă a </w:t>
      </w:r>
      <w:r w:rsidRPr="00381DA2">
        <w:rPr>
          <w:rFonts w:asciiTheme="majorHAnsi" w:hAnsiTheme="majorHAnsi" w:cstheme="minorHAnsi"/>
          <w:sz w:val="24"/>
          <w:szCs w:val="24"/>
          <w:lang w:val="ro-MD"/>
        </w:rPr>
        <w:lastRenderedPageBreak/>
        <w:t>activității, avo</w:t>
      </w:r>
      <w:r w:rsidR="00CE167D" w:rsidRPr="00381DA2">
        <w:rPr>
          <w:rFonts w:asciiTheme="majorHAnsi" w:hAnsiTheme="majorHAnsi" w:cstheme="minorHAnsi"/>
          <w:sz w:val="24"/>
          <w:szCs w:val="24"/>
          <w:lang w:val="ro-MD"/>
        </w:rPr>
        <w:t>cații publici urmează să prei</w:t>
      </w:r>
      <w:r w:rsidR="0082226F" w:rsidRPr="00381DA2">
        <w:rPr>
          <w:rFonts w:asciiTheme="majorHAnsi" w:hAnsiTheme="majorHAnsi" w:cstheme="minorHAnsi"/>
          <w:sz w:val="24"/>
          <w:szCs w:val="24"/>
          <w:lang w:val="ro-MD"/>
        </w:rPr>
        <w:t>a</w:t>
      </w:r>
      <w:r w:rsidRPr="00381DA2">
        <w:rPr>
          <w:rFonts w:asciiTheme="majorHAnsi" w:hAnsiTheme="majorHAnsi" w:cstheme="minorHAnsi"/>
          <w:sz w:val="24"/>
          <w:szCs w:val="24"/>
          <w:lang w:val="ro-MD"/>
        </w:rPr>
        <w:t xml:space="preserve"> lunar minimum 6 cauze distribuite de oficiile teritoriale, atunci în privința avocaților care acordă AJGS la cerere nu sunt stabilite plafoane minime sau maxime cu privire la numărul de cauze necesare de a fi preluate. </w:t>
      </w:r>
    </w:p>
    <w:p w14:paraId="6B3AE0FD" w14:textId="22BA6F72" w:rsidR="00FD339F" w:rsidRPr="00381DA2" w:rsidRDefault="00FD339F" w:rsidP="003A66EF">
      <w:pPr>
        <w:tabs>
          <w:tab w:val="left" w:pos="450"/>
        </w:tabs>
        <w:spacing w:after="120" w:line="276" w:lineRule="auto"/>
        <w:jc w:val="both"/>
        <w:rPr>
          <w:rFonts w:asciiTheme="majorHAnsi" w:hAnsiTheme="majorHAnsi" w:cstheme="minorHAnsi"/>
          <w:bCs/>
          <w:color w:val="000000"/>
          <w:sz w:val="24"/>
          <w:szCs w:val="24"/>
        </w:rPr>
      </w:pPr>
      <w:r w:rsidRPr="00381DA2">
        <w:rPr>
          <w:rFonts w:asciiTheme="majorHAnsi" w:hAnsiTheme="majorHAnsi" w:cstheme="minorHAnsi"/>
          <w:bCs/>
          <w:color w:val="000000"/>
          <w:sz w:val="24"/>
          <w:szCs w:val="24"/>
          <w:lang w:val="ro-RO"/>
        </w:rPr>
        <w:t xml:space="preserve">La rândul său, sarcina privind </w:t>
      </w:r>
      <w:r w:rsidRPr="00381DA2">
        <w:rPr>
          <w:rFonts w:asciiTheme="majorHAnsi" w:hAnsiTheme="majorHAnsi" w:cstheme="minorHAnsi"/>
          <w:bCs/>
          <w:color w:val="000000"/>
          <w:sz w:val="24"/>
          <w:szCs w:val="24"/>
        </w:rPr>
        <w:t>desemnarea avocaților pentru acordarea asistenței juridice calificate atât de către avocații publici</w:t>
      </w:r>
      <w:r w:rsidR="00834071">
        <w:rPr>
          <w:rFonts w:asciiTheme="majorHAnsi" w:hAnsiTheme="majorHAnsi" w:cstheme="minorHAnsi"/>
          <w:bCs/>
          <w:color w:val="000000"/>
          <w:sz w:val="24"/>
          <w:szCs w:val="24"/>
        </w:rPr>
        <w:t>,</w:t>
      </w:r>
      <w:r w:rsidRPr="00381DA2">
        <w:rPr>
          <w:rFonts w:asciiTheme="majorHAnsi" w:hAnsiTheme="majorHAnsi" w:cstheme="minorHAnsi"/>
          <w:bCs/>
          <w:color w:val="000000"/>
          <w:sz w:val="24"/>
          <w:szCs w:val="24"/>
        </w:rPr>
        <w:t xml:space="preserve"> cât și</w:t>
      </w:r>
      <w:r w:rsidR="001E7F9E">
        <w:rPr>
          <w:rFonts w:asciiTheme="majorHAnsi" w:hAnsiTheme="majorHAnsi" w:cstheme="minorHAnsi"/>
          <w:bCs/>
          <w:color w:val="000000"/>
          <w:sz w:val="24"/>
          <w:szCs w:val="24"/>
        </w:rPr>
        <w:t xml:space="preserve"> de</w:t>
      </w:r>
      <w:r w:rsidRPr="00381DA2">
        <w:rPr>
          <w:rFonts w:asciiTheme="majorHAnsi" w:hAnsiTheme="majorHAnsi" w:cstheme="minorHAnsi"/>
          <w:bCs/>
          <w:color w:val="000000"/>
          <w:sz w:val="24"/>
          <w:szCs w:val="24"/>
        </w:rPr>
        <w:t xml:space="preserve"> cei la cerere</w:t>
      </w:r>
      <w:r w:rsidR="003E6F38">
        <w:rPr>
          <w:rFonts w:asciiTheme="majorHAnsi" w:hAnsiTheme="majorHAnsi" w:cstheme="minorHAnsi"/>
          <w:bCs/>
          <w:color w:val="000000"/>
          <w:sz w:val="24"/>
          <w:szCs w:val="24"/>
        </w:rPr>
        <w:t xml:space="preserve"> revine coordonatorilor Oficiilor</w:t>
      </w:r>
      <w:r w:rsidRPr="00381DA2">
        <w:rPr>
          <w:rFonts w:asciiTheme="majorHAnsi" w:hAnsiTheme="majorHAnsi" w:cstheme="minorHAnsi"/>
          <w:bCs/>
          <w:color w:val="000000"/>
          <w:sz w:val="24"/>
          <w:szCs w:val="24"/>
        </w:rPr>
        <w:t xml:space="preserve"> teritoriale ale CNAJGS</w:t>
      </w:r>
      <w:r w:rsidRPr="00381DA2">
        <w:rPr>
          <w:rStyle w:val="FootnoteReference"/>
          <w:rFonts w:asciiTheme="majorHAnsi" w:hAnsiTheme="majorHAnsi" w:cstheme="minorHAnsi"/>
          <w:bCs/>
          <w:color w:val="000000"/>
          <w:sz w:val="24"/>
          <w:szCs w:val="24"/>
        </w:rPr>
        <w:footnoteReference w:id="38"/>
      </w:r>
      <w:r w:rsidRPr="00381DA2">
        <w:rPr>
          <w:rFonts w:asciiTheme="majorHAnsi" w:hAnsiTheme="majorHAnsi" w:cstheme="minorHAnsi"/>
          <w:bCs/>
          <w:color w:val="000000"/>
          <w:sz w:val="24"/>
          <w:szCs w:val="24"/>
        </w:rPr>
        <w:t>.</w:t>
      </w:r>
    </w:p>
    <w:p w14:paraId="4CD64D69" w14:textId="19551412" w:rsidR="00FD339F" w:rsidRPr="00381DA2" w:rsidRDefault="00FD339F" w:rsidP="003A66EF">
      <w:pPr>
        <w:spacing w:after="0" w:line="276" w:lineRule="auto"/>
        <w:jc w:val="both"/>
        <w:rPr>
          <w:rFonts w:asciiTheme="majorHAnsi" w:hAnsiTheme="majorHAnsi" w:cstheme="minorHAnsi"/>
          <w:sz w:val="24"/>
          <w:szCs w:val="24"/>
          <w:lang w:val="ro-RO"/>
        </w:rPr>
      </w:pPr>
      <w:r w:rsidRPr="00381DA2">
        <w:rPr>
          <w:rFonts w:asciiTheme="majorHAnsi" w:hAnsiTheme="majorHAnsi" w:cstheme="minorHAnsi"/>
          <w:sz w:val="24"/>
          <w:szCs w:val="24"/>
          <w:lang w:val="ro-RO"/>
        </w:rPr>
        <w:t xml:space="preserve">Analizele de audit aferente numărului total de cauze preluate de cei 549 </w:t>
      </w:r>
      <w:r w:rsidR="00834071">
        <w:rPr>
          <w:rFonts w:asciiTheme="majorHAnsi" w:hAnsiTheme="majorHAnsi" w:cstheme="minorHAnsi"/>
          <w:sz w:val="24"/>
          <w:szCs w:val="24"/>
          <w:lang w:val="ro-RO"/>
        </w:rPr>
        <w:t xml:space="preserve">de </w:t>
      </w:r>
      <w:r w:rsidRPr="00381DA2">
        <w:rPr>
          <w:rFonts w:asciiTheme="majorHAnsi" w:hAnsiTheme="majorHAnsi" w:cstheme="minorHAnsi"/>
          <w:sz w:val="24"/>
          <w:szCs w:val="24"/>
          <w:lang w:val="ro-RO"/>
        </w:rPr>
        <w:t>avocați publici și la cerere contractați de O</w:t>
      </w:r>
      <w:r w:rsidR="00834071">
        <w:rPr>
          <w:rFonts w:asciiTheme="majorHAnsi" w:hAnsiTheme="majorHAnsi" w:cstheme="minorHAnsi"/>
          <w:sz w:val="24"/>
          <w:szCs w:val="24"/>
          <w:lang w:val="ro-RO"/>
        </w:rPr>
        <w:t>T</w:t>
      </w:r>
      <w:r w:rsidRPr="00381DA2">
        <w:rPr>
          <w:rFonts w:asciiTheme="majorHAnsi" w:hAnsiTheme="majorHAnsi" w:cstheme="minorHAnsi"/>
          <w:sz w:val="24"/>
          <w:szCs w:val="24"/>
          <w:lang w:val="ro-RO"/>
        </w:rPr>
        <w:t xml:space="preserve"> ale CNAJGS în anul 2021</w:t>
      </w:r>
      <w:r w:rsidRPr="00381DA2">
        <w:rPr>
          <w:rStyle w:val="FootnoteReference"/>
          <w:rFonts w:asciiTheme="majorHAnsi" w:hAnsiTheme="majorHAnsi" w:cstheme="minorHAnsi"/>
          <w:sz w:val="24"/>
          <w:szCs w:val="24"/>
          <w:lang w:val="ro-RO"/>
        </w:rPr>
        <w:footnoteReference w:id="39"/>
      </w:r>
      <w:r w:rsidRPr="00381DA2">
        <w:rPr>
          <w:rFonts w:asciiTheme="majorHAnsi" w:hAnsiTheme="majorHAnsi" w:cstheme="minorHAnsi"/>
          <w:sz w:val="24"/>
          <w:szCs w:val="24"/>
          <w:lang w:val="ro-RO"/>
        </w:rPr>
        <w:t xml:space="preserve"> denotă discrepanțe semnificative, care se cifrează de la 0 </w:t>
      </w:r>
      <w:r w:rsidR="0082226F" w:rsidRPr="00381DA2">
        <w:rPr>
          <w:rFonts w:asciiTheme="majorHAnsi" w:hAnsiTheme="majorHAnsi" w:cstheme="minorHAnsi"/>
          <w:sz w:val="24"/>
          <w:szCs w:val="24"/>
          <w:lang w:val="ro-RO"/>
        </w:rPr>
        <w:t>până</w:t>
      </w:r>
      <w:r w:rsidRPr="00381DA2">
        <w:rPr>
          <w:rFonts w:asciiTheme="majorHAnsi" w:hAnsiTheme="majorHAnsi" w:cstheme="minorHAnsi"/>
          <w:sz w:val="24"/>
          <w:szCs w:val="24"/>
          <w:lang w:val="ro-RO"/>
        </w:rPr>
        <w:t xml:space="preserve"> la 472 </w:t>
      </w:r>
      <w:r w:rsidR="007311A4" w:rsidRPr="00381DA2">
        <w:rPr>
          <w:rFonts w:asciiTheme="majorHAnsi" w:hAnsiTheme="majorHAnsi" w:cstheme="minorHAnsi"/>
          <w:sz w:val="24"/>
          <w:szCs w:val="24"/>
          <w:lang w:val="ro-RO"/>
        </w:rPr>
        <w:t>de cauze preluate de avocați</w:t>
      </w:r>
      <w:r w:rsidR="00834071">
        <w:rPr>
          <w:rFonts w:asciiTheme="majorHAnsi" w:hAnsiTheme="majorHAnsi" w:cstheme="minorHAnsi"/>
          <w:sz w:val="24"/>
          <w:szCs w:val="24"/>
          <w:lang w:val="ro-RO"/>
        </w:rPr>
        <w:t xml:space="preserve"> pe an</w:t>
      </w:r>
      <w:r w:rsidRPr="00381DA2">
        <w:rPr>
          <w:rFonts w:asciiTheme="majorHAnsi" w:hAnsiTheme="majorHAnsi" w:cstheme="minorHAnsi"/>
          <w:sz w:val="24"/>
          <w:szCs w:val="24"/>
          <w:lang w:val="ro-RO"/>
        </w:rPr>
        <w:t>. Detaliat datele se prezintă în tabelul nr. 3 de mai jos.</w:t>
      </w:r>
    </w:p>
    <w:p w14:paraId="54648697" w14:textId="77777777" w:rsidR="00FD339F" w:rsidRPr="009761AD" w:rsidRDefault="00FD339F" w:rsidP="009761AD">
      <w:pPr>
        <w:pStyle w:val="NormalWeb"/>
        <w:spacing w:line="276" w:lineRule="auto"/>
        <w:ind w:firstLine="0"/>
        <w:jc w:val="right"/>
        <w:rPr>
          <w:rFonts w:asciiTheme="majorHAnsi" w:eastAsia="Times New Roman" w:hAnsiTheme="majorHAnsi" w:cstheme="minorHAnsi"/>
          <w:b/>
          <w:lang w:val="ro-MD"/>
        </w:rPr>
      </w:pPr>
      <w:r w:rsidRPr="009761AD">
        <w:rPr>
          <w:rFonts w:asciiTheme="majorHAnsi" w:eastAsia="Times New Roman" w:hAnsiTheme="majorHAnsi" w:cstheme="minorHAnsi"/>
          <w:b/>
          <w:lang w:val="ro-MD"/>
        </w:rPr>
        <w:t>Tabelul nr.3</w:t>
      </w:r>
    </w:p>
    <w:p w14:paraId="2F8C39B4" w14:textId="1AB88743" w:rsidR="00FD339F" w:rsidRPr="00381DA2" w:rsidRDefault="00834071" w:rsidP="00AC63C6">
      <w:pPr>
        <w:spacing w:line="240" w:lineRule="auto"/>
        <w:ind w:right="-3"/>
        <w:jc w:val="center"/>
        <w:rPr>
          <w:rFonts w:asciiTheme="majorHAnsi" w:hAnsiTheme="majorHAnsi" w:cstheme="minorHAnsi"/>
          <w:b/>
          <w:i/>
          <w:color w:val="002060"/>
          <w:sz w:val="24"/>
          <w:szCs w:val="24"/>
          <w:lang w:val="ro-RO"/>
        </w:rPr>
      </w:pPr>
      <w:r>
        <w:rPr>
          <w:rFonts w:asciiTheme="majorHAnsi" w:hAnsiTheme="majorHAnsi" w:cstheme="minorHAnsi"/>
          <w:b/>
          <w:i/>
          <w:color w:val="002060"/>
          <w:sz w:val="24"/>
          <w:szCs w:val="24"/>
          <w:lang w:val="ro-RO"/>
        </w:rPr>
        <w:t>N</w:t>
      </w:r>
      <w:r w:rsidR="001E7F9E">
        <w:rPr>
          <w:rFonts w:asciiTheme="majorHAnsi" w:hAnsiTheme="majorHAnsi" w:cstheme="minorHAnsi"/>
          <w:b/>
          <w:i/>
          <w:color w:val="002060"/>
          <w:sz w:val="24"/>
          <w:szCs w:val="24"/>
          <w:lang w:val="ro-RO"/>
        </w:rPr>
        <w:t>umărul</w:t>
      </w:r>
      <w:r w:rsidR="00FD339F" w:rsidRPr="00381DA2">
        <w:rPr>
          <w:rFonts w:asciiTheme="majorHAnsi" w:hAnsiTheme="majorHAnsi" w:cstheme="minorHAnsi"/>
          <w:b/>
          <w:i/>
          <w:color w:val="002060"/>
          <w:sz w:val="24"/>
          <w:szCs w:val="24"/>
          <w:lang w:val="ro-RO"/>
        </w:rPr>
        <w:t xml:space="preserve"> de cazuri repartizate de către OT ale CNAJGS și preluate de cei 549 </w:t>
      </w:r>
      <w:r>
        <w:rPr>
          <w:rFonts w:asciiTheme="majorHAnsi" w:hAnsiTheme="majorHAnsi" w:cstheme="minorHAnsi"/>
          <w:b/>
          <w:i/>
          <w:color w:val="002060"/>
          <w:sz w:val="24"/>
          <w:szCs w:val="24"/>
          <w:lang w:val="ro-RO"/>
        </w:rPr>
        <w:t xml:space="preserve">de </w:t>
      </w:r>
      <w:r w:rsidR="00FD339F" w:rsidRPr="00381DA2">
        <w:rPr>
          <w:rFonts w:asciiTheme="majorHAnsi" w:hAnsiTheme="majorHAnsi" w:cstheme="minorHAnsi"/>
          <w:b/>
          <w:i/>
          <w:color w:val="002060"/>
          <w:sz w:val="24"/>
          <w:szCs w:val="24"/>
          <w:lang w:val="ro-RO"/>
        </w:rPr>
        <w:t>avocați contractați de instituți</w:t>
      </w:r>
      <w:r w:rsidR="0013405A">
        <w:rPr>
          <w:rFonts w:asciiTheme="majorHAnsi" w:hAnsiTheme="majorHAnsi" w:cstheme="minorHAnsi"/>
          <w:b/>
          <w:i/>
          <w:color w:val="002060"/>
          <w:sz w:val="24"/>
          <w:szCs w:val="24"/>
          <w:lang w:val="ro-RO"/>
        </w:rPr>
        <w:t>i</w:t>
      </w:r>
      <w:r w:rsidR="00FD339F" w:rsidRPr="00381DA2">
        <w:rPr>
          <w:rFonts w:asciiTheme="majorHAnsi" w:hAnsiTheme="majorHAnsi" w:cstheme="minorHAnsi"/>
          <w:b/>
          <w:i/>
          <w:color w:val="002060"/>
          <w:sz w:val="24"/>
          <w:szCs w:val="24"/>
          <w:lang w:val="ro-RO"/>
        </w:rPr>
        <w:t xml:space="preserve"> pe parcursul anului 2021</w:t>
      </w:r>
    </w:p>
    <w:p w14:paraId="318E88FB" w14:textId="77777777" w:rsidR="00FD339F" w:rsidRPr="00381DA2" w:rsidRDefault="00FD339F" w:rsidP="003A66EF">
      <w:pPr>
        <w:spacing w:after="0" w:line="276" w:lineRule="auto"/>
        <w:ind w:left="-446"/>
        <w:jc w:val="center"/>
        <w:rPr>
          <w:rFonts w:asciiTheme="majorHAnsi" w:hAnsiTheme="majorHAnsi" w:cstheme="minorHAnsi"/>
          <w:b/>
          <w:i/>
          <w:color w:val="002060"/>
          <w:sz w:val="24"/>
          <w:szCs w:val="24"/>
          <w:lang w:val="en-US"/>
        </w:rPr>
      </w:pPr>
      <w:r w:rsidRPr="00381DA2">
        <w:rPr>
          <w:rFonts w:asciiTheme="majorHAnsi" w:hAnsiTheme="majorHAnsi" w:cstheme="minorHAnsi"/>
          <w:noProof/>
          <w:lang w:val="en-US"/>
        </w:rPr>
        <w:drawing>
          <wp:inline distT="0" distB="0" distL="0" distR="0" wp14:anchorId="63C76E89" wp14:editId="74E868FD">
            <wp:extent cx="6560820" cy="2426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5370" cy="2432086"/>
                    </a:xfrm>
                    <a:prstGeom prst="rect">
                      <a:avLst/>
                    </a:prstGeom>
                    <a:noFill/>
                    <a:ln>
                      <a:noFill/>
                    </a:ln>
                  </pic:spPr>
                </pic:pic>
              </a:graphicData>
            </a:graphic>
          </wp:inline>
        </w:drawing>
      </w:r>
    </w:p>
    <w:p w14:paraId="4429CFD0" w14:textId="77777777" w:rsidR="00FD339F" w:rsidRPr="00381DA2" w:rsidRDefault="00FD339F" w:rsidP="009F7140">
      <w:pPr>
        <w:spacing w:after="120" w:line="276" w:lineRule="auto"/>
        <w:ind w:left="-360"/>
        <w:jc w:val="both"/>
        <w:rPr>
          <w:rFonts w:asciiTheme="majorHAnsi" w:hAnsiTheme="majorHAnsi" w:cstheme="minorHAnsi"/>
          <w:sz w:val="24"/>
          <w:szCs w:val="24"/>
          <w:lang w:val="ro-RO"/>
        </w:rPr>
      </w:pPr>
      <w:r w:rsidRPr="00381DA2">
        <w:rPr>
          <w:rFonts w:asciiTheme="majorHAnsi" w:hAnsiTheme="majorHAnsi" w:cstheme="minorHAnsi"/>
          <w:b/>
          <w:bCs/>
          <w:i/>
          <w:sz w:val="20"/>
          <w:szCs w:val="20"/>
        </w:rPr>
        <w:t>Sursă:</w:t>
      </w:r>
      <w:r w:rsidRPr="00381DA2">
        <w:rPr>
          <w:rFonts w:asciiTheme="majorHAnsi" w:hAnsiTheme="majorHAnsi" w:cstheme="minorHAnsi"/>
          <w:i/>
          <w:sz w:val="20"/>
          <w:szCs w:val="20"/>
        </w:rPr>
        <w:t xml:space="preserve"> Informațiile totalizatoare prezentate de către CNAJGS</w:t>
      </w:r>
      <w:r w:rsidRPr="00381DA2">
        <w:rPr>
          <w:rFonts w:asciiTheme="majorHAnsi" w:eastAsia="Times New Roman" w:hAnsiTheme="majorHAnsi" w:cstheme="minorHAnsi"/>
          <w:i/>
          <w:sz w:val="20"/>
          <w:szCs w:val="20"/>
        </w:rPr>
        <w:t xml:space="preserve"> pentru anul 2021.</w:t>
      </w:r>
    </w:p>
    <w:p w14:paraId="1316351C" w14:textId="77B7E5F6" w:rsidR="00FD339F" w:rsidRPr="00381DA2" w:rsidRDefault="00FD339F" w:rsidP="003A66EF">
      <w:pPr>
        <w:spacing w:after="120" w:line="276" w:lineRule="auto"/>
        <w:jc w:val="both"/>
        <w:rPr>
          <w:rFonts w:asciiTheme="majorHAnsi" w:hAnsiTheme="majorHAnsi" w:cstheme="minorHAnsi"/>
          <w:sz w:val="24"/>
          <w:szCs w:val="24"/>
          <w:lang w:val="ro-RO"/>
        </w:rPr>
      </w:pPr>
      <w:r w:rsidRPr="00381DA2">
        <w:rPr>
          <w:rFonts w:asciiTheme="majorHAnsi" w:hAnsiTheme="majorHAnsi" w:cstheme="minorHAnsi"/>
          <w:sz w:val="24"/>
          <w:szCs w:val="24"/>
          <w:lang w:val="ro-RO"/>
        </w:rPr>
        <w:t>Datele sistematizate în tabel</w:t>
      </w:r>
      <w:r w:rsidR="00834071">
        <w:rPr>
          <w:rFonts w:asciiTheme="majorHAnsi" w:hAnsiTheme="majorHAnsi" w:cstheme="minorHAnsi"/>
          <w:sz w:val="24"/>
          <w:szCs w:val="24"/>
          <w:lang w:val="ro-RO"/>
        </w:rPr>
        <w:t xml:space="preserve"> relevă</w:t>
      </w:r>
      <w:r w:rsidRPr="00381DA2">
        <w:rPr>
          <w:rFonts w:asciiTheme="majorHAnsi" w:hAnsiTheme="majorHAnsi" w:cstheme="minorHAnsi"/>
          <w:sz w:val="24"/>
          <w:szCs w:val="24"/>
          <w:lang w:val="ro-RO"/>
        </w:rPr>
        <w:t xml:space="preserve"> că:</w:t>
      </w:r>
    </w:p>
    <w:p w14:paraId="56001EC7" w14:textId="3D2DFC17" w:rsidR="00FD339F" w:rsidRPr="00381DA2" w:rsidRDefault="00834071" w:rsidP="003A66EF">
      <w:pPr>
        <w:pStyle w:val="ListParagraph"/>
        <w:numPr>
          <w:ilvl w:val="0"/>
          <w:numId w:val="15"/>
        </w:numPr>
        <w:tabs>
          <w:tab w:val="left" w:pos="360"/>
        </w:tabs>
        <w:spacing w:after="120" w:line="276" w:lineRule="auto"/>
        <w:ind w:left="0" w:firstLine="0"/>
        <w:contextualSpacing w:val="0"/>
        <w:jc w:val="both"/>
        <w:rPr>
          <w:rFonts w:asciiTheme="majorHAnsi" w:hAnsiTheme="majorHAnsi" w:cstheme="minorHAnsi"/>
          <w:sz w:val="24"/>
          <w:szCs w:val="24"/>
        </w:rPr>
      </w:pPr>
      <w:r w:rsidRPr="00381DA2">
        <w:rPr>
          <w:rFonts w:asciiTheme="majorHAnsi" w:hAnsiTheme="majorHAnsi" w:cstheme="minorHAnsi"/>
          <w:sz w:val="24"/>
          <w:szCs w:val="24"/>
        </w:rPr>
        <w:t>în anul 2021</w:t>
      </w:r>
      <w:r>
        <w:rPr>
          <w:rFonts w:asciiTheme="majorHAnsi" w:hAnsiTheme="majorHAnsi" w:cstheme="minorHAnsi"/>
          <w:sz w:val="24"/>
          <w:szCs w:val="24"/>
        </w:rPr>
        <w:t xml:space="preserve">, </w:t>
      </w:r>
      <w:r w:rsidR="00FD339F" w:rsidRPr="00381DA2">
        <w:rPr>
          <w:rFonts w:asciiTheme="majorHAnsi" w:hAnsiTheme="majorHAnsi" w:cstheme="minorHAnsi"/>
          <w:sz w:val="24"/>
          <w:szCs w:val="24"/>
        </w:rPr>
        <w:t xml:space="preserve">ponderea cea mai semnificativă a cazurilor de acordare a asistenței juridice calificate de stat revine avocaților care au preluat </w:t>
      </w:r>
      <w:r w:rsidR="00FD339F" w:rsidRPr="00381DA2">
        <w:rPr>
          <w:rFonts w:asciiTheme="majorHAnsi" w:hAnsiTheme="majorHAnsi" w:cstheme="minorHAnsi"/>
          <w:b/>
          <w:i/>
          <w:sz w:val="24"/>
          <w:szCs w:val="24"/>
        </w:rPr>
        <w:t>până la 100 de cazuri</w:t>
      </w:r>
      <w:r>
        <w:rPr>
          <w:rFonts w:asciiTheme="majorHAnsi" w:hAnsiTheme="majorHAnsi" w:cstheme="minorHAnsi"/>
          <w:b/>
          <w:i/>
          <w:sz w:val="24"/>
          <w:szCs w:val="24"/>
        </w:rPr>
        <w:t>,</w:t>
      </w:r>
      <w:r w:rsidR="00FD339F" w:rsidRPr="00381DA2">
        <w:rPr>
          <w:rFonts w:asciiTheme="majorHAnsi" w:hAnsiTheme="majorHAnsi" w:cstheme="minorHAnsi"/>
          <w:sz w:val="24"/>
          <w:szCs w:val="24"/>
        </w:rPr>
        <w:t xml:space="preserve"> sau </w:t>
      </w:r>
      <w:r w:rsidR="00FD339F" w:rsidRPr="00381DA2">
        <w:rPr>
          <w:rFonts w:asciiTheme="majorHAnsi" w:hAnsiTheme="majorHAnsi" w:cstheme="minorHAnsi"/>
          <w:b/>
          <w:sz w:val="24"/>
          <w:szCs w:val="24"/>
        </w:rPr>
        <w:t>71%</w:t>
      </w:r>
      <w:r w:rsidR="00FD339F" w:rsidRPr="00381DA2">
        <w:rPr>
          <w:rFonts w:asciiTheme="majorHAnsi" w:hAnsiTheme="majorHAnsi" w:cstheme="minorHAnsi"/>
          <w:sz w:val="24"/>
          <w:szCs w:val="24"/>
        </w:rPr>
        <w:t xml:space="preserve"> (391 </w:t>
      </w:r>
      <w:r>
        <w:rPr>
          <w:rFonts w:asciiTheme="majorHAnsi" w:hAnsiTheme="majorHAnsi" w:cstheme="minorHAnsi"/>
          <w:sz w:val="24"/>
          <w:szCs w:val="24"/>
        </w:rPr>
        <w:t xml:space="preserve">de </w:t>
      </w:r>
      <w:r w:rsidR="00FD339F" w:rsidRPr="00381DA2">
        <w:rPr>
          <w:rFonts w:asciiTheme="majorHAnsi" w:hAnsiTheme="majorHAnsi" w:cstheme="minorHAnsi"/>
          <w:sz w:val="24"/>
          <w:szCs w:val="24"/>
        </w:rPr>
        <w:t xml:space="preserve">avocați). Dintre cei 391 </w:t>
      </w:r>
      <w:r>
        <w:rPr>
          <w:rFonts w:asciiTheme="majorHAnsi" w:hAnsiTheme="majorHAnsi" w:cstheme="minorHAnsi"/>
          <w:sz w:val="24"/>
          <w:szCs w:val="24"/>
        </w:rPr>
        <w:t xml:space="preserve">de </w:t>
      </w:r>
      <w:r w:rsidR="00FD339F" w:rsidRPr="00381DA2">
        <w:rPr>
          <w:rFonts w:asciiTheme="majorHAnsi" w:hAnsiTheme="majorHAnsi" w:cstheme="minorHAnsi"/>
          <w:sz w:val="24"/>
          <w:szCs w:val="24"/>
        </w:rPr>
        <w:t>apărători menționați</w:t>
      </w:r>
      <w:r>
        <w:rPr>
          <w:rFonts w:asciiTheme="majorHAnsi" w:hAnsiTheme="majorHAnsi" w:cstheme="minorHAnsi"/>
          <w:sz w:val="24"/>
          <w:szCs w:val="24"/>
        </w:rPr>
        <w:t>,</w:t>
      </w:r>
      <w:r w:rsidR="00FD339F" w:rsidRPr="00381DA2">
        <w:rPr>
          <w:rFonts w:asciiTheme="majorHAnsi" w:hAnsiTheme="majorHAnsi" w:cstheme="minorHAnsi"/>
          <w:sz w:val="24"/>
          <w:szCs w:val="24"/>
        </w:rPr>
        <w:t xml:space="preserve"> în 19 cazuri avocații nu au preluat spre gestionare niciun caz</w:t>
      </w:r>
      <w:r w:rsidR="00FD339F" w:rsidRPr="00381DA2">
        <w:rPr>
          <w:rStyle w:val="FootnoteReference"/>
          <w:rFonts w:asciiTheme="majorHAnsi" w:hAnsiTheme="majorHAnsi" w:cstheme="minorHAnsi"/>
          <w:sz w:val="24"/>
          <w:szCs w:val="24"/>
        </w:rPr>
        <w:footnoteReference w:id="40"/>
      </w:r>
      <w:r w:rsidR="00FD339F" w:rsidRPr="00381DA2">
        <w:rPr>
          <w:rFonts w:asciiTheme="majorHAnsi" w:hAnsiTheme="majorHAnsi" w:cstheme="minorHAnsi"/>
          <w:sz w:val="24"/>
          <w:szCs w:val="24"/>
        </w:rPr>
        <w:t>. Situaț</w:t>
      </w:r>
      <w:r w:rsidR="00A907E4">
        <w:rPr>
          <w:rFonts w:asciiTheme="majorHAnsi" w:hAnsiTheme="majorHAnsi" w:cstheme="minorHAnsi"/>
          <w:sz w:val="24"/>
          <w:szCs w:val="24"/>
        </w:rPr>
        <w:t>ia cea mai reprezentativă a fost</w:t>
      </w:r>
      <w:r w:rsidR="00FD339F" w:rsidRPr="00381DA2">
        <w:rPr>
          <w:rFonts w:asciiTheme="majorHAnsi" w:hAnsiTheme="majorHAnsi" w:cstheme="minorHAnsi"/>
          <w:sz w:val="24"/>
          <w:szCs w:val="24"/>
        </w:rPr>
        <w:t xml:space="preserve"> identificată la OT Comrat</w:t>
      </w:r>
      <w:r>
        <w:rPr>
          <w:rFonts w:asciiTheme="majorHAnsi" w:hAnsiTheme="majorHAnsi" w:cstheme="minorHAnsi"/>
          <w:sz w:val="24"/>
          <w:szCs w:val="24"/>
        </w:rPr>
        <w:t>,</w:t>
      </w:r>
      <w:r w:rsidR="00FD339F" w:rsidRPr="00381DA2">
        <w:rPr>
          <w:rFonts w:asciiTheme="majorHAnsi" w:hAnsiTheme="majorHAnsi" w:cstheme="minorHAnsi"/>
          <w:sz w:val="24"/>
          <w:szCs w:val="24"/>
        </w:rPr>
        <w:t xml:space="preserve"> unde din cei 39 de avocați</w:t>
      </w:r>
      <w:r w:rsidR="00235FC6" w:rsidRPr="00381DA2">
        <w:rPr>
          <w:rStyle w:val="FootnoteReference"/>
          <w:rFonts w:asciiTheme="majorHAnsi" w:hAnsiTheme="majorHAnsi" w:cstheme="minorHAnsi"/>
          <w:sz w:val="24"/>
          <w:szCs w:val="24"/>
        </w:rPr>
        <w:footnoteReference w:id="41"/>
      </w:r>
      <w:r w:rsidR="00AE227B" w:rsidRPr="00381DA2">
        <w:rPr>
          <w:rFonts w:asciiTheme="majorHAnsi" w:hAnsiTheme="majorHAnsi" w:cstheme="minorHAnsi"/>
          <w:sz w:val="24"/>
          <w:szCs w:val="24"/>
        </w:rPr>
        <w:t xml:space="preserve"> desemnați</w:t>
      </w:r>
      <w:r w:rsidR="00FD339F" w:rsidRPr="00381DA2">
        <w:rPr>
          <w:rFonts w:asciiTheme="majorHAnsi" w:hAnsiTheme="majorHAnsi" w:cstheme="minorHAnsi"/>
          <w:sz w:val="24"/>
          <w:szCs w:val="24"/>
        </w:rPr>
        <w:t xml:space="preserve"> </w:t>
      </w:r>
      <w:r>
        <w:rPr>
          <w:rFonts w:asciiTheme="majorHAnsi" w:hAnsiTheme="majorHAnsi" w:cstheme="minorHAnsi"/>
          <w:sz w:val="24"/>
          <w:szCs w:val="24"/>
        </w:rPr>
        <w:t>din</w:t>
      </w:r>
      <w:r w:rsidR="00AE227B" w:rsidRPr="00381DA2">
        <w:rPr>
          <w:rFonts w:asciiTheme="majorHAnsi" w:hAnsiTheme="majorHAnsi" w:cstheme="minorHAnsi"/>
          <w:sz w:val="24"/>
          <w:szCs w:val="24"/>
        </w:rPr>
        <w:t xml:space="preserve"> oficiu,</w:t>
      </w:r>
      <w:r w:rsidR="00A907E4">
        <w:rPr>
          <w:rFonts w:asciiTheme="majorHAnsi" w:hAnsiTheme="majorHAnsi" w:cstheme="minorHAnsi"/>
          <w:sz w:val="24"/>
          <w:szCs w:val="24"/>
        </w:rPr>
        <w:t xml:space="preserve"> la</w:t>
      </w:r>
      <w:r w:rsidR="00FD339F" w:rsidRPr="00381DA2">
        <w:rPr>
          <w:rFonts w:asciiTheme="majorHAnsi" w:hAnsiTheme="majorHAnsi" w:cstheme="minorHAnsi"/>
          <w:sz w:val="24"/>
          <w:szCs w:val="24"/>
        </w:rPr>
        <w:t xml:space="preserve"> 10 nu le-au fost repartizate și</w:t>
      </w:r>
      <w:r>
        <w:rPr>
          <w:rFonts w:asciiTheme="majorHAnsi" w:hAnsiTheme="majorHAnsi" w:cstheme="minorHAnsi"/>
          <w:sz w:val="24"/>
          <w:szCs w:val="24"/>
        </w:rPr>
        <w:t>,</w:t>
      </w:r>
      <w:r w:rsidR="00FD339F" w:rsidRPr="00381DA2">
        <w:rPr>
          <w:rFonts w:asciiTheme="majorHAnsi" w:hAnsiTheme="majorHAnsi" w:cstheme="minorHAnsi"/>
          <w:sz w:val="24"/>
          <w:szCs w:val="24"/>
        </w:rPr>
        <w:t xml:space="preserve"> respectiv</w:t>
      </w:r>
      <w:r>
        <w:rPr>
          <w:rFonts w:asciiTheme="majorHAnsi" w:hAnsiTheme="majorHAnsi" w:cstheme="minorHAnsi"/>
          <w:sz w:val="24"/>
          <w:szCs w:val="24"/>
        </w:rPr>
        <w:t>,</w:t>
      </w:r>
      <w:r w:rsidR="00FD339F" w:rsidRPr="00381DA2">
        <w:rPr>
          <w:rFonts w:asciiTheme="majorHAnsi" w:hAnsiTheme="majorHAnsi" w:cstheme="minorHAnsi"/>
          <w:sz w:val="24"/>
          <w:szCs w:val="24"/>
        </w:rPr>
        <w:t xml:space="preserve"> nu au preluat dosare</w:t>
      </w:r>
      <w:r w:rsidR="00184034">
        <w:rPr>
          <w:rFonts w:asciiTheme="majorHAnsi" w:hAnsiTheme="majorHAnsi" w:cstheme="minorHAnsi"/>
          <w:sz w:val="24"/>
          <w:szCs w:val="24"/>
        </w:rPr>
        <w:t>;</w:t>
      </w:r>
    </w:p>
    <w:p w14:paraId="5DA9AD8E" w14:textId="75926A8B" w:rsidR="00FD339F" w:rsidRPr="00381DA2" w:rsidRDefault="00FD339F" w:rsidP="003A66EF">
      <w:pPr>
        <w:pStyle w:val="ListParagraph"/>
        <w:numPr>
          <w:ilvl w:val="0"/>
          <w:numId w:val="15"/>
        </w:numPr>
        <w:tabs>
          <w:tab w:val="left" w:pos="360"/>
        </w:tabs>
        <w:spacing w:after="120" w:line="276" w:lineRule="auto"/>
        <w:ind w:left="0" w:firstLine="0"/>
        <w:contextualSpacing w:val="0"/>
        <w:jc w:val="both"/>
        <w:rPr>
          <w:rFonts w:asciiTheme="majorHAnsi" w:hAnsiTheme="majorHAnsi" w:cstheme="minorHAnsi"/>
          <w:b/>
          <w:sz w:val="24"/>
          <w:szCs w:val="24"/>
        </w:rPr>
      </w:pPr>
      <w:r w:rsidRPr="00381DA2">
        <w:rPr>
          <w:rFonts w:asciiTheme="majorHAnsi" w:hAnsiTheme="majorHAnsi" w:cstheme="minorHAnsi"/>
          <w:b/>
          <w:i/>
          <w:sz w:val="24"/>
          <w:szCs w:val="24"/>
        </w:rPr>
        <w:t xml:space="preserve">22% </w:t>
      </w:r>
      <w:r w:rsidRPr="00381DA2">
        <w:rPr>
          <w:rFonts w:asciiTheme="majorHAnsi" w:hAnsiTheme="majorHAnsi" w:cstheme="minorHAnsi"/>
          <w:sz w:val="24"/>
          <w:szCs w:val="24"/>
        </w:rPr>
        <w:t xml:space="preserve">reprezintă cei 120 </w:t>
      </w:r>
      <w:r w:rsidR="00184034">
        <w:rPr>
          <w:rFonts w:asciiTheme="majorHAnsi" w:hAnsiTheme="majorHAnsi" w:cstheme="minorHAnsi"/>
          <w:sz w:val="24"/>
          <w:szCs w:val="24"/>
        </w:rPr>
        <w:t xml:space="preserve">de </w:t>
      </w:r>
      <w:r w:rsidRPr="00381DA2">
        <w:rPr>
          <w:rFonts w:asciiTheme="majorHAnsi" w:hAnsiTheme="majorHAnsi" w:cstheme="minorHAnsi"/>
          <w:sz w:val="24"/>
          <w:szCs w:val="24"/>
        </w:rPr>
        <w:t xml:space="preserve">avocați cărora le-au fost repartizate spre gestionare de la </w:t>
      </w:r>
      <w:r w:rsidRPr="00381DA2">
        <w:rPr>
          <w:rFonts w:asciiTheme="majorHAnsi" w:hAnsiTheme="majorHAnsi" w:cstheme="minorHAnsi"/>
          <w:b/>
          <w:i/>
          <w:sz w:val="24"/>
          <w:szCs w:val="24"/>
        </w:rPr>
        <w:t xml:space="preserve">101 până la 200 </w:t>
      </w:r>
      <w:r w:rsidR="00184034">
        <w:rPr>
          <w:rFonts w:asciiTheme="majorHAnsi" w:hAnsiTheme="majorHAnsi" w:cstheme="minorHAnsi"/>
          <w:b/>
          <w:i/>
          <w:sz w:val="24"/>
          <w:szCs w:val="24"/>
        </w:rPr>
        <w:t xml:space="preserve">de </w:t>
      </w:r>
      <w:r w:rsidRPr="00381DA2">
        <w:rPr>
          <w:rFonts w:asciiTheme="majorHAnsi" w:hAnsiTheme="majorHAnsi" w:cstheme="minorHAnsi"/>
          <w:b/>
          <w:i/>
          <w:sz w:val="24"/>
          <w:szCs w:val="24"/>
        </w:rPr>
        <w:t xml:space="preserve">cazuri </w:t>
      </w:r>
      <w:r w:rsidRPr="00381DA2">
        <w:rPr>
          <w:rFonts w:asciiTheme="majorHAnsi" w:hAnsiTheme="majorHAnsi" w:cstheme="minorHAnsi"/>
          <w:sz w:val="24"/>
          <w:szCs w:val="24"/>
        </w:rPr>
        <w:t>anual.</w:t>
      </w:r>
    </w:p>
    <w:p w14:paraId="517404B0" w14:textId="59F73478" w:rsidR="00FD339F" w:rsidRPr="00381DA2" w:rsidRDefault="00FD339F"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lastRenderedPageBreak/>
        <w:t>Datele prezentate supra cuprind și cifra de cazuri preluate de avocații publici care</w:t>
      </w:r>
      <w:r w:rsidR="00184034">
        <w:rPr>
          <w:rFonts w:asciiTheme="majorHAnsi" w:hAnsiTheme="majorHAnsi" w:cstheme="minorHAnsi"/>
          <w:sz w:val="24"/>
          <w:szCs w:val="24"/>
        </w:rPr>
        <w:t>,</w:t>
      </w:r>
      <w:r w:rsidRPr="00381DA2">
        <w:rPr>
          <w:rFonts w:asciiTheme="majorHAnsi" w:hAnsiTheme="majorHAnsi" w:cstheme="minorHAnsi"/>
          <w:sz w:val="24"/>
          <w:szCs w:val="24"/>
        </w:rPr>
        <w:t xml:space="preserve"> conform informații</w:t>
      </w:r>
      <w:r w:rsidR="00184034">
        <w:rPr>
          <w:rFonts w:asciiTheme="majorHAnsi" w:hAnsiTheme="majorHAnsi" w:cstheme="minorHAnsi"/>
          <w:sz w:val="24"/>
          <w:szCs w:val="24"/>
        </w:rPr>
        <w:t>lor</w:t>
      </w:r>
      <w:r w:rsidRPr="00381DA2">
        <w:rPr>
          <w:rFonts w:asciiTheme="majorHAnsi" w:hAnsiTheme="majorHAnsi" w:cstheme="minorHAnsi"/>
          <w:sz w:val="24"/>
          <w:szCs w:val="24"/>
        </w:rPr>
        <w:t xml:space="preserve"> prezentate de CNAJGS, în anul 2021 au gestionat de la 31 până la 117 cazuri</w:t>
      </w:r>
      <w:r w:rsidRPr="00381DA2">
        <w:rPr>
          <w:rStyle w:val="FootnoteReference"/>
          <w:rFonts w:asciiTheme="majorHAnsi" w:hAnsiTheme="majorHAnsi" w:cstheme="minorHAnsi"/>
          <w:sz w:val="24"/>
          <w:szCs w:val="24"/>
        </w:rPr>
        <w:footnoteReference w:id="42"/>
      </w:r>
      <w:r w:rsidR="00184034">
        <w:rPr>
          <w:rFonts w:asciiTheme="majorHAnsi" w:hAnsiTheme="majorHAnsi" w:cstheme="minorHAnsi"/>
          <w:sz w:val="24"/>
          <w:szCs w:val="24"/>
        </w:rPr>
        <w:t>;</w:t>
      </w:r>
    </w:p>
    <w:p w14:paraId="6AE4C78D" w14:textId="48AF237A" w:rsidR="00FD339F" w:rsidRPr="00184034" w:rsidRDefault="00184034" w:rsidP="00184034">
      <w:pPr>
        <w:pStyle w:val="ListParagraph"/>
        <w:numPr>
          <w:ilvl w:val="0"/>
          <w:numId w:val="15"/>
        </w:numPr>
        <w:tabs>
          <w:tab w:val="left" w:pos="360"/>
        </w:tabs>
        <w:spacing w:after="120" w:line="276" w:lineRule="auto"/>
        <w:ind w:left="0" w:firstLine="0"/>
        <w:contextualSpacing w:val="0"/>
        <w:jc w:val="both"/>
        <w:rPr>
          <w:rFonts w:asciiTheme="majorHAnsi" w:hAnsiTheme="majorHAnsi" w:cstheme="minorHAnsi"/>
          <w:sz w:val="24"/>
          <w:szCs w:val="24"/>
        </w:rPr>
      </w:pPr>
      <w:r w:rsidRPr="00184034">
        <w:rPr>
          <w:rFonts w:asciiTheme="majorHAnsi" w:hAnsiTheme="majorHAnsi" w:cstheme="minorHAnsi"/>
          <w:b/>
          <w:i/>
          <w:sz w:val="24"/>
          <w:szCs w:val="24"/>
        </w:rPr>
        <w:t>c</w:t>
      </w:r>
      <w:r w:rsidR="00FD339F" w:rsidRPr="00184034">
        <w:rPr>
          <w:rFonts w:asciiTheme="majorHAnsi" w:hAnsiTheme="majorHAnsi" w:cstheme="minorHAnsi"/>
          <w:b/>
          <w:i/>
          <w:sz w:val="24"/>
          <w:szCs w:val="24"/>
        </w:rPr>
        <w:t xml:space="preserve">irca 7% </w:t>
      </w:r>
      <w:r w:rsidR="00FD339F" w:rsidRPr="00184034">
        <w:rPr>
          <w:rFonts w:asciiTheme="majorHAnsi" w:hAnsiTheme="majorHAnsi" w:cstheme="minorHAnsi"/>
          <w:sz w:val="24"/>
          <w:szCs w:val="24"/>
        </w:rPr>
        <w:t xml:space="preserve">(38 </w:t>
      </w:r>
      <w:r w:rsidRPr="00184034">
        <w:rPr>
          <w:rFonts w:asciiTheme="majorHAnsi" w:hAnsiTheme="majorHAnsi" w:cstheme="minorHAnsi"/>
          <w:sz w:val="24"/>
          <w:szCs w:val="24"/>
        </w:rPr>
        <w:t xml:space="preserve">de </w:t>
      </w:r>
      <w:r w:rsidR="00FD339F" w:rsidRPr="00184034">
        <w:rPr>
          <w:rFonts w:asciiTheme="majorHAnsi" w:hAnsiTheme="majorHAnsi" w:cstheme="minorHAnsi"/>
          <w:sz w:val="24"/>
          <w:szCs w:val="24"/>
        </w:rPr>
        <w:t>avocați) reprezintă prestatorii de servicii cărora le-au fost repartizate și care</w:t>
      </w:r>
      <w:r w:rsidRPr="00184034">
        <w:rPr>
          <w:rFonts w:asciiTheme="majorHAnsi" w:hAnsiTheme="majorHAnsi" w:cstheme="minorHAnsi"/>
          <w:sz w:val="24"/>
          <w:szCs w:val="24"/>
        </w:rPr>
        <w:t>,</w:t>
      </w:r>
      <w:r w:rsidR="00FD339F" w:rsidRPr="00184034">
        <w:rPr>
          <w:rFonts w:asciiTheme="majorHAnsi" w:hAnsiTheme="majorHAnsi" w:cstheme="minorHAnsi"/>
          <w:sz w:val="24"/>
          <w:szCs w:val="24"/>
        </w:rPr>
        <w:t xml:space="preserve"> la rândul </w:t>
      </w:r>
      <w:r w:rsidRPr="00184034">
        <w:rPr>
          <w:rFonts w:asciiTheme="majorHAnsi" w:hAnsiTheme="majorHAnsi" w:cstheme="minorHAnsi"/>
          <w:sz w:val="24"/>
          <w:szCs w:val="24"/>
        </w:rPr>
        <w:t>lor,</w:t>
      </w:r>
      <w:r w:rsidR="00FD339F" w:rsidRPr="00184034">
        <w:rPr>
          <w:rFonts w:asciiTheme="majorHAnsi" w:hAnsiTheme="majorHAnsi" w:cstheme="minorHAnsi"/>
          <w:sz w:val="24"/>
          <w:szCs w:val="24"/>
        </w:rPr>
        <w:t xml:space="preserve"> au preluat spre gestionare </w:t>
      </w:r>
      <w:r w:rsidR="00FD339F" w:rsidRPr="00184034">
        <w:rPr>
          <w:rFonts w:asciiTheme="majorHAnsi" w:hAnsiTheme="majorHAnsi" w:cstheme="minorHAnsi"/>
          <w:b/>
          <w:i/>
          <w:sz w:val="24"/>
          <w:szCs w:val="24"/>
        </w:rPr>
        <w:t>de la 201 și mai multe</w:t>
      </w:r>
      <w:r w:rsidR="00FD339F" w:rsidRPr="00184034">
        <w:rPr>
          <w:rFonts w:asciiTheme="majorHAnsi" w:hAnsiTheme="majorHAnsi" w:cstheme="minorHAnsi"/>
          <w:sz w:val="24"/>
          <w:szCs w:val="24"/>
        </w:rPr>
        <w:t xml:space="preserve"> ca</w:t>
      </w:r>
      <w:r w:rsidR="009B2BA2">
        <w:rPr>
          <w:rFonts w:asciiTheme="majorHAnsi" w:hAnsiTheme="majorHAnsi" w:cstheme="minorHAnsi"/>
          <w:sz w:val="24"/>
          <w:szCs w:val="24"/>
        </w:rPr>
        <w:t>uze</w:t>
      </w:r>
      <w:r w:rsidR="00FD339F" w:rsidRPr="00184034">
        <w:rPr>
          <w:rFonts w:asciiTheme="majorHAnsi" w:hAnsiTheme="majorHAnsi" w:cstheme="minorHAnsi"/>
          <w:sz w:val="24"/>
          <w:szCs w:val="24"/>
        </w:rPr>
        <w:t xml:space="preserve"> penale și non-penale. Instituția la care se atestă cel mai mare număr de avocați cu preluări de cazuri semnificative </w:t>
      </w:r>
      <w:r w:rsidRPr="00D94359">
        <w:rPr>
          <w:rFonts w:asciiTheme="majorHAnsi" w:hAnsiTheme="majorHAnsi" w:cstheme="minorHAnsi"/>
          <w:sz w:val="24"/>
          <w:szCs w:val="24"/>
        </w:rPr>
        <w:t>este</w:t>
      </w:r>
      <w:r w:rsidR="00FD339F" w:rsidRPr="00D94359">
        <w:rPr>
          <w:rFonts w:asciiTheme="majorHAnsi" w:hAnsiTheme="majorHAnsi" w:cstheme="minorHAnsi"/>
          <w:sz w:val="24"/>
          <w:szCs w:val="24"/>
        </w:rPr>
        <w:t xml:space="preserve"> OT Bălți</w:t>
      </w:r>
      <w:r w:rsidRPr="00D94359">
        <w:rPr>
          <w:rFonts w:asciiTheme="majorHAnsi" w:hAnsiTheme="majorHAnsi" w:cstheme="minorHAnsi"/>
          <w:sz w:val="24"/>
          <w:szCs w:val="24"/>
        </w:rPr>
        <w:t>, cu</w:t>
      </w:r>
      <w:r w:rsidR="00FD339F" w:rsidRPr="00D94359">
        <w:rPr>
          <w:rFonts w:asciiTheme="majorHAnsi" w:hAnsiTheme="majorHAnsi" w:cstheme="minorHAnsi"/>
          <w:sz w:val="24"/>
          <w:szCs w:val="24"/>
        </w:rPr>
        <w:t xml:space="preserve"> 23 </w:t>
      </w:r>
      <w:r w:rsidRPr="00D94359">
        <w:rPr>
          <w:rFonts w:asciiTheme="majorHAnsi" w:hAnsiTheme="majorHAnsi" w:cstheme="minorHAnsi"/>
          <w:sz w:val="24"/>
          <w:szCs w:val="24"/>
        </w:rPr>
        <w:t xml:space="preserve">de </w:t>
      </w:r>
      <w:r w:rsidR="00FD339F" w:rsidRPr="00D94359">
        <w:rPr>
          <w:rFonts w:asciiTheme="majorHAnsi" w:hAnsiTheme="majorHAnsi" w:cstheme="minorHAnsi"/>
          <w:sz w:val="24"/>
          <w:szCs w:val="24"/>
        </w:rPr>
        <w:t>avocați, urmat de OT Chișinău</w:t>
      </w:r>
      <w:r w:rsidRPr="00D94359">
        <w:rPr>
          <w:rFonts w:asciiTheme="majorHAnsi" w:hAnsiTheme="majorHAnsi" w:cstheme="minorHAnsi"/>
          <w:sz w:val="24"/>
          <w:szCs w:val="24"/>
        </w:rPr>
        <w:t>, cu</w:t>
      </w:r>
      <w:r w:rsidR="00FD339F" w:rsidRPr="00D94359">
        <w:rPr>
          <w:rFonts w:asciiTheme="majorHAnsi" w:hAnsiTheme="majorHAnsi" w:cstheme="minorHAnsi"/>
          <w:sz w:val="24"/>
          <w:szCs w:val="24"/>
        </w:rPr>
        <w:t xml:space="preserve"> </w:t>
      </w:r>
      <w:r w:rsidR="00177512" w:rsidRPr="00D94359">
        <w:rPr>
          <w:rFonts w:asciiTheme="majorHAnsi" w:hAnsiTheme="majorHAnsi" w:cstheme="minorHAnsi"/>
          <w:sz w:val="24"/>
          <w:szCs w:val="24"/>
        </w:rPr>
        <w:t xml:space="preserve">12 reprezentanți, OT Cahul </w:t>
      </w:r>
      <w:r w:rsidRPr="0084412A">
        <w:rPr>
          <w:rFonts w:asciiTheme="majorHAnsi" w:hAnsiTheme="majorHAnsi" w:cstheme="minorHAnsi"/>
          <w:sz w:val="24"/>
          <w:szCs w:val="24"/>
        </w:rPr>
        <w:t xml:space="preserve">– </w:t>
      </w:r>
      <w:r w:rsidR="00177512" w:rsidRPr="0084412A">
        <w:rPr>
          <w:rFonts w:asciiTheme="majorHAnsi" w:hAnsiTheme="majorHAnsi" w:cstheme="minorHAnsi"/>
          <w:sz w:val="24"/>
          <w:szCs w:val="24"/>
        </w:rPr>
        <w:t>1 apărător</w:t>
      </w:r>
      <w:r>
        <w:rPr>
          <w:rFonts w:asciiTheme="majorHAnsi" w:hAnsiTheme="majorHAnsi" w:cstheme="minorHAnsi"/>
          <w:sz w:val="24"/>
          <w:szCs w:val="24"/>
        </w:rPr>
        <w:t>,</w:t>
      </w:r>
      <w:r w:rsidR="00FD339F" w:rsidRPr="00184034">
        <w:rPr>
          <w:rFonts w:asciiTheme="majorHAnsi" w:hAnsiTheme="majorHAnsi" w:cstheme="minorHAnsi"/>
          <w:sz w:val="24"/>
          <w:szCs w:val="24"/>
        </w:rPr>
        <w:t xml:space="preserve"> și OT Comrat – 2 avocați, dintre care a fost identificat cel mai reprezentativ caz, </w:t>
      </w:r>
      <w:r>
        <w:rPr>
          <w:rFonts w:asciiTheme="majorHAnsi" w:hAnsiTheme="majorHAnsi" w:cstheme="minorHAnsi"/>
          <w:sz w:val="24"/>
          <w:szCs w:val="24"/>
        </w:rPr>
        <w:t>când</w:t>
      </w:r>
      <w:r w:rsidR="00FD339F" w:rsidRPr="00184034">
        <w:rPr>
          <w:rFonts w:asciiTheme="majorHAnsi" w:hAnsiTheme="majorHAnsi" w:cstheme="minorHAnsi"/>
          <w:sz w:val="24"/>
          <w:szCs w:val="24"/>
        </w:rPr>
        <w:t xml:space="preserve"> </w:t>
      </w:r>
      <w:r w:rsidR="003E6F38" w:rsidRPr="00184034">
        <w:rPr>
          <w:rFonts w:asciiTheme="majorHAnsi" w:hAnsiTheme="majorHAnsi" w:cstheme="minorHAnsi"/>
          <w:sz w:val="24"/>
          <w:szCs w:val="24"/>
        </w:rPr>
        <w:t>unui avocat</w:t>
      </w:r>
      <w:r w:rsidR="00FD339F" w:rsidRPr="00184034">
        <w:rPr>
          <w:rFonts w:asciiTheme="majorHAnsi" w:hAnsiTheme="majorHAnsi" w:cstheme="minorHAnsi"/>
          <w:sz w:val="24"/>
          <w:szCs w:val="24"/>
        </w:rPr>
        <w:t xml:space="preserve"> i-au fost repartizate 472 de dosare</w:t>
      </w:r>
      <w:r>
        <w:rPr>
          <w:rFonts w:asciiTheme="majorHAnsi" w:hAnsiTheme="majorHAnsi" w:cstheme="minorHAnsi"/>
          <w:sz w:val="24"/>
          <w:szCs w:val="24"/>
        </w:rPr>
        <w:t xml:space="preserve"> </w:t>
      </w:r>
      <w:r w:rsidRPr="00184034">
        <w:rPr>
          <w:rFonts w:asciiTheme="majorHAnsi" w:hAnsiTheme="majorHAnsi" w:cstheme="minorHAnsi"/>
          <w:sz w:val="24"/>
          <w:szCs w:val="24"/>
        </w:rPr>
        <w:t>în anul 2021</w:t>
      </w:r>
      <w:r w:rsidR="004C68F1">
        <w:rPr>
          <w:rStyle w:val="FootnoteReference"/>
          <w:rFonts w:asciiTheme="majorHAnsi" w:hAnsiTheme="majorHAnsi" w:cstheme="minorHAnsi"/>
          <w:sz w:val="24"/>
          <w:szCs w:val="24"/>
        </w:rPr>
        <w:footnoteReference w:id="43"/>
      </w:r>
      <w:r w:rsidR="00FD339F" w:rsidRPr="00184034">
        <w:rPr>
          <w:rFonts w:asciiTheme="majorHAnsi" w:hAnsiTheme="majorHAnsi" w:cstheme="minorHAnsi"/>
          <w:sz w:val="24"/>
          <w:szCs w:val="24"/>
        </w:rPr>
        <w:t xml:space="preserve">.     </w:t>
      </w:r>
    </w:p>
    <w:p w14:paraId="65C8507A" w14:textId="3B4D53F0" w:rsidR="00FD339F" w:rsidRPr="00381DA2" w:rsidRDefault="00FD339F"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lang w:val="ro-RO"/>
        </w:rPr>
        <w:t>Conform explicațiilor instituțiilor auditate, volumul de lucru al avocaților diferă și este determinat de mai mulți factori, dintre care: n</w:t>
      </w:r>
      <w:r w:rsidRPr="00381DA2">
        <w:rPr>
          <w:rFonts w:asciiTheme="majorHAnsi" w:hAnsiTheme="majorHAnsi" w:cstheme="minorHAnsi"/>
          <w:sz w:val="24"/>
          <w:szCs w:val="24"/>
        </w:rPr>
        <w:t>umărul de cauze penale și non-penale instrumentate de organele de poliție, procuratură și instanțele de judecată în fiecare raion/sector; numărul de avocați care activează în raion/sector (localizarea avocaților); apartenența anumitor avocați la listele specializate aprobate de către CNAJGS (specializarea avocaților); gradul diferit al disponibilității avocaților de a se implica în acordarea AJGS</w:t>
      </w:r>
      <w:r w:rsidR="00184034">
        <w:rPr>
          <w:rFonts w:asciiTheme="majorHAnsi" w:hAnsiTheme="majorHAnsi" w:cstheme="minorHAnsi"/>
          <w:sz w:val="24"/>
          <w:szCs w:val="24"/>
        </w:rPr>
        <w:t>;</w:t>
      </w:r>
      <w:r w:rsidRPr="00381DA2">
        <w:rPr>
          <w:rFonts w:asciiTheme="majorHAnsi" w:hAnsiTheme="majorHAnsi" w:cstheme="minorHAnsi"/>
          <w:sz w:val="24"/>
          <w:szCs w:val="24"/>
        </w:rPr>
        <w:t xml:space="preserve"> refuzurile avocaților în preluarea anumitor cauze din diverse motive</w:t>
      </w:r>
      <w:r w:rsidR="00184034">
        <w:rPr>
          <w:rFonts w:asciiTheme="majorHAnsi" w:hAnsiTheme="majorHAnsi" w:cstheme="minorHAnsi"/>
          <w:sz w:val="24"/>
          <w:szCs w:val="24"/>
        </w:rPr>
        <w:t>;</w:t>
      </w:r>
      <w:r w:rsidRPr="00381DA2">
        <w:rPr>
          <w:rFonts w:asciiTheme="majorHAnsi" w:hAnsiTheme="majorHAnsi" w:cstheme="minorHAnsi"/>
          <w:sz w:val="24"/>
          <w:szCs w:val="24"/>
        </w:rPr>
        <w:t xml:space="preserve"> principiul continuității în acordarea serviciilor de AJGS la diferite etape procesuale etc. La fel, se menționează că</w:t>
      </w:r>
      <w:r w:rsidR="00184034">
        <w:rPr>
          <w:rFonts w:asciiTheme="majorHAnsi" w:hAnsiTheme="majorHAnsi" w:cstheme="minorHAnsi"/>
          <w:sz w:val="24"/>
          <w:szCs w:val="24"/>
        </w:rPr>
        <w:t>,</w:t>
      </w:r>
      <w:r w:rsidRPr="00381DA2">
        <w:rPr>
          <w:rFonts w:asciiTheme="majorHAnsi" w:hAnsiTheme="majorHAnsi" w:cstheme="minorHAnsi"/>
          <w:sz w:val="24"/>
          <w:szCs w:val="24"/>
        </w:rPr>
        <w:t xml:space="preserve"> în ceea ce privește volumul de lucru, în sens de acțiuni întreprinse și timp consumat, fiecare avocat decide de sine stătător exercitarea lor, reieșind din complexitatea cauzei, prevederile legislației procesuale, standardele de calitate și bunele practici existente în domeniu.</w:t>
      </w:r>
    </w:p>
    <w:p w14:paraId="50C433A8" w14:textId="0DC804BD" w:rsidR="00FD339F" w:rsidRPr="00381DA2" w:rsidRDefault="008974FC"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În concluzie, echipa de audit menționează existența unor discrepanțe semnificative și </w:t>
      </w:r>
      <w:r>
        <w:rPr>
          <w:rFonts w:asciiTheme="majorHAnsi" w:hAnsiTheme="majorHAnsi" w:cstheme="minorHAnsi"/>
          <w:sz w:val="24"/>
          <w:szCs w:val="24"/>
        </w:rPr>
        <w:t>abordări diferențiate</w:t>
      </w:r>
      <w:r w:rsidRPr="00381DA2">
        <w:rPr>
          <w:rFonts w:asciiTheme="majorHAnsi" w:hAnsiTheme="majorHAnsi" w:cstheme="minorHAnsi"/>
          <w:sz w:val="24"/>
          <w:szCs w:val="24"/>
        </w:rPr>
        <w:t xml:space="preserve"> în cadrul procesului de </w:t>
      </w:r>
      <w:r>
        <w:rPr>
          <w:rFonts w:asciiTheme="majorHAnsi" w:hAnsiTheme="majorHAnsi" w:cstheme="minorHAnsi"/>
          <w:sz w:val="24"/>
          <w:szCs w:val="24"/>
        </w:rPr>
        <w:t xml:space="preserve">repartizare </w:t>
      </w:r>
      <w:r w:rsidRPr="00381DA2">
        <w:rPr>
          <w:rFonts w:asciiTheme="majorHAnsi" w:hAnsiTheme="majorHAnsi" w:cstheme="minorHAnsi"/>
          <w:sz w:val="24"/>
          <w:szCs w:val="24"/>
        </w:rPr>
        <w:t>de către coordo</w:t>
      </w:r>
      <w:r>
        <w:rPr>
          <w:rFonts w:asciiTheme="majorHAnsi" w:hAnsiTheme="majorHAnsi" w:cstheme="minorHAnsi"/>
          <w:sz w:val="24"/>
          <w:szCs w:val="24"/>
        </w:rPr>
        <w:t>natorii oficiilor teritoriale a</w:t>
      </w:r>
      <w:r w:rsidRPr="00381DA2">
        <w:rPr>
          <w:rFonts w:asciiTheme="majorHAnsi" w:hAnsiTheme="majorHAnsi" w:cstheme="minorHAnsi"/>
          <w:sz w:val="24"/>
          <w:szCs w:val="24"/>
        </w:rPr>
        <w:t xml:space="preserve"> volumului de muncă avocaților care acordă AJGS la cerere. Or, lipsa și tergiversarea instituirii și aprobării de către CNAJGS a unor proceduri de control intern aferente </w:t>
      </w:r>
      <w:r>
        <w:rPr>
          <w:rFonts w:asciiTheme="majorHAnsi" w:hAnsiTheme="majorHAnsi" w:cstheme="minorHAnsi"/>
          <w:sz w:val="24"/>
          <w:szCs w:val="24"/>
        </w:rPr>
        <w:t>acestui proces</w:t>
      </w:r>
      <w:r w:rsidRPr="002774B7">
        <w:rPr>
          <w:rFonts w:asciiTheme="majorHAnsi" w:hAnsiTheme="majorHAnsi" w:cstheme="minorHAnsi"/>
          <w:sz w:val="24"/>
          <w:szCs w:val="24"/>
        </w:rPr>
        <w:t xml:space="preserve">, va </w:t>
      </w:r>
      <w:r>
        <w:rPr>
          <w:rFonts w:asciiTheme="majorHAnsi" w:hAnsiTheme="majorHAnsi" w:cstheme="minorHAnsi"/>
          <w:sz w:val="24"/>
          <w:szCs w:val="24"/>
        </w:rPr>
        <w:t xml:space="preserve"> continua să favorizeze un </w:t>
      </w:r>
      <w:r w:rsidRPr="002774B7">
        <w:rPr>
          <w:rFonts w:asciiTheme="majorHAnsi" w:hAnsiTheme="majorHAnsi" w:cstheme="minorHAnsi"/>
          <w:sz w:val="24"/>
          <w:szCs w:val="24"/>
        </w:rPr>
        <w:t>caracter neuniform</w:t>
      </w:r>
      <w:r>
        <w:rPr>
          <w:rFonts w:asciiTheme="majorHAnsi" w:hAnsiTheme="majorHAnsi" w:cstheme="minorHAnsi"/>
          <w:sz w:val="24"/>
          <w:szCs w:val="24"/>
        </w:rPr>
        <w:t xml:space="preserve"> și monopolizat</w:t>
      </w:r>
      <w:r w:rsidRPr="002A0A49">
        <w:rPr>
          <w:rFonts w:asciiTheme="majorHAnsi" w:hAnsiTheme="majorHAnsi" w:cstheme="minorHAnsi"/>
          <w:sz w:val="24"/>
          <w:szCs w:val="24"/>
        </w:rPr>
        <w:t xml:space="preserve"> </w:t>
      </w:r>
      <w:r>
        <w:rPr>
          <w:rFonts w:asciiTheme="majorHAnsi" w:hAnsiTheme="majorHAnsi" w:cstheme="minorHAnsi"/>
          <w:sz w:val="24"/>
          <w:szCs w:val="24"/>
        </w:rPr>
        <w:t>de repartizare a volumului de servicii prin decizii manageriale</w:t>
      </w:r>
      <w:r w:rsidR="00DB160B">
        <w:rPr>
          <w:rFonts w:asciiTheme="majorHAnsi" w:hAnsiTheme="majorHAnsi" w:cstheme="minorHAnsi"/>
          <w:sz w:val="24"/>
          <w:szCs w:val="24"/>
        </w:rPr>
        <w:t>,</w:t>
      </w:r>
      <w:r>
        <w:rPr>
          <w:rFonts w:asciiTheme="majorHAnsi" w:hAnsiTheme="majorHAnsi" w:cstheme="minorHAnsi"/>
          <w:sz w:val="24"/>
          <w:szCs w:val="24"/>
        </w:rPr>
        <w:t xml:space="preserve"> cu </w:t>
      </w:r>
      <w:r w:rsidRPr="002774B7">
        <w:rPr>
          <w:rFonts w:asciiTheme="majorHAnsi" w:hAnsiTheme="majorHAnsi" w:cstheme="minorHAnsi"/>
          <w:sz w:val="24"/>
          <w:szCs w:val="24"/>
        </w:rPr>
        <w:t>distribuir</w:t>
      </w:r>
      <w:r>
        <w:rPr>
          <w:rFonts w:asciiTheme="majorHAnsi" w:hAnsiTheme="majorHAnsi" w:cstheme="minorHAnsi"/>
          <w:sz w:val="24"/>
          <w:szCs w:val="24"/>
        </w:rPr>
        <w:t>ea</w:t>
      </w:r>
      <w:r w:rsidRPr="002774B7">
        <w:rPr>
          <w:rFonts w:asciiTheme="majorHAnsi" w:hAnsiTheme="majorHAnsi" w:cstheme="minorHAnsi"/>
          <w:sz w:val="24"/>
          <w:szCs w:val="24"/>
        </w:rPr>
        <w:t xml:space="preserve"> dosarelor unor</w:t>
      </w:r>
      <w:r>
        <w:rPr>
          <w:rFonts w:asciiTheme="majorHAnsi" w:hAnsiTheme="majorHAnsi" w:cstheme="minorHAnsi"/>
          <w:sz w:val="24"/>
          <w:szCs w:val="24"/>
        </w:rPr>
        <w:t>a și acelorași avocați</w:t>
      </w:r>
      <w:r w:rsidR="00DF5BF0" w:rsidRPr="002774B7">
        <w:rPr>
          <w:rFonts w:asciiTheme="majorHAnsi" w:hAnsiTheme="majorHAnsi" w:cstheme="minorHAnsi"/>
          <w:sz w:val="24"/>
          <w:szCs w:val="24"/>
        </w:rPr>
        <w:t>.</w:t>
      </w:r>
      <w:r w:rsidR="002774B7">
        <w:rPr>
          <w:rFonts w:asciiTheme="majorHAnsi" w:hAnsiTheme="majorHAnsi" w:cstheme="minorHAnsi"/>
          <w:sz w:val="24"/>
          <w:szCs w:val="24"/>
        </w:rPr>
        <w:t xml:space="preserve">  </w:t>
      </w:r>
    </w:p>
    <w:p w14:paraId="11FE9DFC" w14:textId="77777777" w:rsidR="0025217A" w:rsidRPr="00F4307F" w:rsidRDefault="00A1556B" w:rsidP="003A66EF">
      <w:pPr>
        <w:pStyle w:val="Heading2"/>
        <w:spacing w:after="120" w:line="276" w:lineRule="auto"/>
        <w:jc w:val="both"/>
        <w:rPr>
          <w:rFonts w:eastAsia="Times New Roman" w:cstheme="minorHAnsi"/>
          <w:b/>
          <w:color w:val="002060"/>
          <w:sz w:val="28"/>
          <w:szCs w:val="28"/>
        </w:rPr>
      </w:pPr>
      <w:bookmarkStart w:id="36" w:name="_Toc128640816"/>
      <w:r w:rsidRPr="00F4307F">
        <w:rPr>
          <w:rFonts w:eastAsia="Times New Roman" w:cstheme="minorHAnsi"/>
          <w:b/>
          <w:color w:val="002060"/>
          <w:sz w:val="28"/>
          <w:szCs w:val="28"/>
        </w:rPr>
        <w:t xml:space="preserve">4.2 </w:t>
      </w:r>
      <w:r w:rsidR="0025217A" w:rsidRPr="00F4307F">
        <w:rPr>
          <w:rFonts w:eastAsia="Times New Roman" w:cstheme="minorHAnsi"/>
          <w:b/>
          <w:color w:val="002060"/>
          <w:sz w:val="28"/>
          <w:szCs w:val="28"/>
        </w:rPr>
        <w:t xml:space="preserve">OBIECTIVUL nr.2: </w:t>
      </w:r>
      <w:r w:rsidR="00D848F8" w:rsidRPr="00F4307F">
        <w:rPr>
          <w:rFonts w:eastAsia="Times New Roman" w:cstheme="minorHAnsi"/>
          <w:b/>
          <w:color w:val="002060"/>
          <w:sz w:val="28"/>
          <w:szCs w:val="28"/>
        </w:rPr>
        <w:t>Factorii responsabili au asigurat conformitate</w:t>
      </w:r>
      <w:r w:rsidR="00177512">
        <w:rPr>
          <w:rFonts w:eastAsia="Times New Roman" w:cstheme="minorHAnsi"/>
          <w:b/>
          <w:color w:val="002060"/>
          <w:sz w:val="28"/>
          <w:szCs w:val="28"/>
        </w:rPr>
        <w:t>a</w:t>
      </w:r>
      <w:r w:rsidR="00D848F8" w:rsidRPr="00F4307F">
        <w:rPr>
          <w:rFonts w:eastAsia="Times New Roman" w:cstheme="minorHAnsi"/>
          <w:b/>
          <w:color w:val="002060"/>
          <w:sz w:val="28"/>
          <w:szCs w:val="28"/>
        </w:rPr>
        <w:t xml:space="preserve"> procesului de valorificare a resurselor pentru serviciile de asistență juridică garantată de stat?</w:t>
      </w:r>
      <w:bookmarkEnd w:id="36"/>
    </w:p>
    <w:p w14:paraId="6FFF79E0" w14:textId="18262DB1" w:rsidR="0061798E" w:rsidRPr="00E6550D" w:rsidRDefault="00C5559E" w:rsidP="002533C2">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inorHAnsi"/>
          <w:i/>
          <w:sz w:val="24"/>
          <w:szCs w:val="24"/>
        </w:rPr>
      </w:pPr>
      <w:r w:rsidRPr="00E6550D">
        <w:rPr>
          <w:rFonts w:asciiTheme="majorHAnsi" w:hAnsiTheme="majorHAnsi" w:cstheme="minorHAnsi"/>
          <w:i/>
          <w:sz w:val="24"/>
          <w:szCs w:val="24"/>
        </w:rPr>
        <w:t>Observațiile de audit public extern denotă că, deși unele procese operaționale ale CNAJGS și OT includ anumite con</w:t>
      </w:r>
      <w:r w:rsidR="00BC4465">
        <w:rPr>
          <w:rFonts w:asciiTheme="majorHAnsi" w:hAnsiTheme="majorHAnsi" w:cstheme="minorHAnsi"/>
          <w:i/>
          <w:sz w:val="24"/>
          <w:szCs w:val="24"/>
        </w:rPr>
        <w:t>troale interne, care asigură</w:t>
      </w:r>
      <w:r w:rsidRPr="00E6550D">
        <w:rPr>
          <w:rFonts w:asciiTheme="majorHAnsi" w:hAnsiTheme="majorHAnsi" w:cstheme="minorHAnsi"/>
          <w:i/>
          <w:sz w:val="24"/>
          <w:szCs w:val="24"/>
        </w:rPr>
        <w:t xml:space="preserve"> conformitate</w:t>
      </w:r>
      <w:r w:rsidR="0032373B">
        <w:rPr>
          <w:rFonts w:asciiTheme="majorHAnsi" w:hAnsiTheme="majorHAnsi" w:cstheme="minorHAnsi"/>
          <w:i/>
          <w:sz w:val="24"/>
          <w:szCs w:val="24"/>
        </w:rPr>
        <w:t>a</w:t>
      </w:r>
      <w:r w:rsidRPr="00E6550D">
        <w:rPr>
          <w:rFonts w:asciiTheme="majorHAnsi" w:hAnsiTheme="majorHAnsi" w:cstheme="minorHAnsi"/>
          <w:i/>
          <w:sz w:val="24"/>
          <w:szCs w:val="24"/>
        </w:rPr>
        <w:t xml:space="preserve"> valorificării mijloacelor bugetare alocate în scopul finanțării AJGS, altele generează deficiențe și nereguli</w:t>
      </w:r>
      <w:r w:rsidR="00184034">
        <w:rPr>
          <w:rFonts w:asciiTheme="majorHAnsi" w:hAnsiTheme="majorHAnsi" w:cstheme="minorHAnsi"/>
          <w:i/>
          <w:sz w:val="24"/>
          <w:szCs w:val="24"/>
        </w:rPr>
        <w:t>,</w:t>
      </w:r>
      <w:r w:rsidR="0061798E" w:rsidRPr="00E6550D">
        <w:rPr>
          <w:rFonts w:asciiTheme="majorHAnsi" w:hAnsiTheme="majorHAnsi" w:cstheme="minorHAnsi"/>
          <w:i/>
          <w:sz w:val="24"/>
          <w:szCs w:val="24"/>
        </w:rPr>
        <w:t xml:space="preserve"> care se exprimă prin:</w:t>
      </w:r>
    </w:p>
    <w:p w14:paraId="36F38275" w14:textId="01BC4EB1" w:rsidR="00E6550D" w:rsidRPr="00E6550D" w:rsidRDefault="00E6550D" w:rsidP="002533C2">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inorHAnsi"/>
          <w:i/>
          <w:sz w:val="24"/>
          <w:szCs w:val="24"/>
        </w:rPr>
      </w:pPr>
      <w:r>
        <w:rPr>
          <w:rFonts w:asciiTheme="majorHAnsi" w:hAnsiTheme="majorHAnsi" w:cstheme="minorHAnsi"/>
          <w:i/>
          <w:sz w:val="24"/>
          <w:szCs w:val="24"/>
        </w:rPr>
        <w:t xml:space="preserve">     - </w:t>
      </w:r>
      <w:r w:rsidRPr="00E6550D">
        <w:rPr>
          <w:rFonts w:asciiTheme="majorHAnsi" w:hAnsiTheme="majorHAnsi" w:cstheme="minorHAnsi"/>
          <w:i/>
          <w:sz w:val="24"/>
          <w:szCs w:val="24"/>
        </w:rPr>
        <w:t xml:space="preserve">existența unor abordări diferențiate la remunerarea acțiunilor raportate de avocați, </w:t>
      </w:r>
      <w:r w:rsidR="0032373B">
        <w:rPr>
          <w:rFonts w:asciiTheme="majorHAnsi" w:hAnsiTheme="majorHAnsi" w:cstheme="minorHAnsi"/>
          <w:i/>
          <w:sz w:val="24"/>
          <w:szCs w:val="24"/>
        </w:rPr>
        <w:t xml:space="preserve">în mare parte acestea nefiind </w:t>
      </w:r>
      <w:r w:rsidRPr="00E6550D">
        <w:rPr>
          <w:rFonts w:asciiTheme="majorHAnsi" w:hAnsiTheme="majorHAnsi" w:cstheme="minorHAnsi"/>
          <w:i/>
          <w:sz w:val="24"/>
          <w:szCs w:val="24"/>
        </w:rPr>
        <w:t xml:space="preserve">probate și justificate ca exercitate, cum ar fi vizitele efectuate  în penitenciar, prezența în ședințele de judecată, luarea </w:t>
      </w:r>
      <w:r w:rsidR="00184034">
        <w:rPr>
          <w:rFonts w:asciiTheme="majorHAnsi" w:hAnsiTheme="majorHAnsi" w:cstheme="minorHAnsi"/>
          <w:i/>
          <w:sz w:val="24"/>
          <w:szCs w:val="24"/>
        </w:rPr>
        <w:t xml:space="preserve">la </w:t>
      </w:r>
      <w:r w:rsidRPr="00E6550D">
        <w:rPr>
          <w:rFonts w:asciiTheme="majorHAnsi" w:hAnsiTheme="majorHAnsi" w:cstheme="minorHAnsi"/>
          <w:i/>
          <w:sz w:val="24"/>
          <w:szCs w:val="24"/>
        </w:rPr>
        <w:t>cunoștinț</w:t>
      </w:r>
      <w:r w:rsidR="00184034">
        <w:rPr>
          <w:rFonts w:asciiTheme="majorHAnsi" w:hAnsiTheme="majorHAnsi" w:cstheme="minorHAnsi"/>
          <w:i/>
          <w:sz w:val="24"/>
          <w:szCs w:val="24"/>
        </w:rPr>
        <w:t>ă</w:t>
      </w:r>
      <w:r w:rsidRPr="00E6550D">
        <w:rPr>
          <w:rFonts w:asciiTheme="majorHAnsi" w:hAnsiTheme="majorHAnsi" w:cstheme="minorHAnsi"/>
          <w:i/>
          <w:sz w:val="24"/>
          <w:szCs w:val="24"/>
        </w:rPr>
        <w:t xml:space="preserve"> cu unele acte procesuale și explicarea acestora;</w:t>
      </w:r>
    </w:p>
    <w:p w14:paraId="36E0948D" w14:textId="6185DD7D" w:rsidR="00E6550D" w:rsidRPr="00E6550D" w:rsidRDefault="00E6550D" w:rsidP="002533C2">
      <w:p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inorHAnsi"/>
          <w:i/>
          <w:sz w:val="24"/>
          <w:szCs w:val="24"/>
        </w:rPr>
      </w:pPr>
      <w:r w:rsidRPr="00E6550D">
        <w:rPr>
          <w:rFonts w:asciiTheme="majorHAnsi" w:hAnsiTheme="majorHAnsi" w:cstheme="minorHAnsi"/>
          <w:i/>
          <w:sz w:val="24"/>
          <w:szCs w:val="24"/>
        </w:rPr>
        <w:t>- achitarea dublă a unor acțiuni realizate și raportate</w:t>
      </w:r>
      <w:r w:rsidR="00B45F42">
        <w:rPr>
          <w:rFonts w:asciiTheme="majorHAnsi" w:hAnsiTheme="majorHAnsi" w:cstheme="minorHAnsi"/>
          <w:i/>
          <w:sz w:val="24"/>
          <w:szCs w:val="24"/>
        </w:rPr>
        <w:t>,</w:t>
      </w:r>
      <w:r w:rsidRPr="00E6550D">
        <w:rPr>
          <w:rFonts w:asciiTheme="majorHAnsi" w:hAnsiTheme="majorHAnsi" w:cstheme="minorHAnsi"/>
          <w:i/>
          <w:sz w:val="24"/>
          <w:szCs w:val="24"/>
        </w:rPr>
        <w:t xml:space="preserve"> </w:t>
      </w:r>
      <w:r w:rsidR="00184034">
        <w:rPr>
          <w:rFonts w:asciiTheme="majorHAnsi" w:hAnsiTheme="majorHAnsi" w:cstheme="minorHAnsi"/>
          <w:i/>
          <w:sz w:val="24"/>
          <w:szCs w:val="24"/>
        </w:rPr>
        <w:t xml:space="preserve">ca </w:t>
      </w:r>
      <w:r w:rsidRPr="00E6550D">
        <w:rPr>
          <w:rFonts w:asciiTheme="majorHAnsi" w:hAnsiTheme="majorHAnsi" w:cstheme="minorHAnsi"/>
          <w:i/>
          <w:sz w:val="24"/>
          <w:szCs w:val="24"/>
        </w:rPr>
        <w:t xml:space="preserve">urmare </w:t>
      </w:r>
      <w:r w:rsidR="00184034">
        <w:rPr>
          <w:rFonts w:asciiTheme="majorHAnsi" w:hAnsiTheme="majorHAnsi" w:cstheme="minorHAnsi"/>
          <w:i/>
          <w:sz w:val="24"/>
          <w:szCs w:val="24"/>
        </w:rPr>
        <w:t xml:space="preserve">a </w:t>
      </w:r>
      <w:r w:rsidRPr="00E6550D">
        <w:rPr>
          <w:rFonts w:asciiTheme="majorHAnsi" w:hAnsiTheme="majorHAnsi" w:cstheme="minorHAnsi"/>
          <w:i/>
          <w:sz w:val="24"/>
          <w:szCs w:val="24"/>
        </w:rPr>
        <w:t>desemnării a doi avocați pe ace</w:t>
      </w:r>
      <w:r w:rsidR="00D94359">
        <w:rPr>
          <w:rFonts w:asciiTheme="majorHAnsi" w:hAnsiTheme="majorHAnsi" w:cstheme="minorHAnsi"/>
          <w:i/>
          <w:sz w:val="24"/>
          <w:szCs w:val="24"/>
        </w:rPr>
        <w:t>e</w:t>
      </w:r>
      <w:r w:rsidRPr="00E6550D">
        <w:rPr>
          <w:rFonts w:asciiTheme="majorHAnsi" w:hAnsiTheme="majorHAnsi" w:cstheme="minorHAnsi"/>
          <w:i/>
          <w:sz w:val="24"/>
          <w:szCs w:val="24"/>
        </w:rPr>
        <w:t>ași cauză de tip ordinar;</w:t>
      </w:r>
    </w:p>
    <w:p w14:paraId="60AFBB17" w14:textId="77777777" w:rsidR="00E6550D" w:rsidRPr="00E6550D" w:rsidRDefault="00E6550D" w:rsidP="002533C2">
      <w:pPr>
        <w:pBdr>
          <w:top w:val="single" w:sz="4" w:space="1" w:color="auto"/>
          <w:left w:val="single" w:sz="4" w:space="4" w:color="auto"/>
          <w:bottom w:val="single" w:sz="4" w:space="1" w:color="auto"/>
          <w:right w:val="single" w:sz="4" w:space="4" w:color="auto"/>
        </w:pBdr>
        <w:spacing w:after="0" w:line="276" w:lineRule="auto"/>
        <w:ind w:firstLine="187"/>
        <w:jc w:val="both"/>
        <w:rPr>
          <w:rFonts w:asciiTheme="majorHAnsi" w:hAnsiTheme="majorHAnsi" w:cstheme="minorHAnsi"/>
          <w:i/>
          <w:sz w:val="24"/>
          <w:szCs w:val="24"/>
        </w:rPr>
      </w:pPr>
      <w:r w:rsidRPr="00E6550D">
        <w:rPr>
          <w:rFonts w:asciiTheme="majorHAnsi" w:hAnsiTheme="majorHAnsi" w:cstheme="minorHAnsi"/>
          <w:i/>
          <w:sz w:val="24"/>
          <w:szCs w:val="24"/>
        </w:rPr>
        <w:lastRenderedPageBreak/>
        <w:t>- tergiversarea p</w:t>
      </w:r>
      <w:r>
        <w:rPr>
          <w:rFonts w:asciiTheme="majorHAnsi" w:hAnsiTheme="majorHAnsi" w:cstheme="minorHAnsi"/>
          <w:i/>
          <w:sz w:val="24"/>
          <w:szCs w:val="24"/>
        </w:rPr>
        <w:t>unerii</w:t>
      </w:r>
      <w:r w:rsidR="00C5559E" w:rsidRPr="00E6550D">
        <w:rPr>
          <w:rFonts w:asciiTheme="majorHAnsi" w:hAnsiTheme="majorHAnsi" w:cstheme="minorHAnsi"/>
          <w:i/>
          <w:sz w:val="24"/>
          <w:szCs w:val="24"/>
        </w:rPr>
        <w:t xml:space="preserve"> în aplicare a instrumentului aferent evaluării calității serviciilor juridice prestate de către avocați, or, acest fapt permite apărătorilor de a nu fi monitorizați în vederea identificării cazurilor deficitare de </w:t>
      </w:r>
      <w:r w:rsidRPr="00E6550D">
        <w:rPr>
          <w:rFonts w:asciiTheme="majorHAnsi" w:hAnsiTheme="majorHAnsi" w:cstheme="minorHAnsi"/>
          <w:i/>
          <w:sz w:val="24"/>
          <w:szCs w:val="24"/>
        </w:rPr>
        <w:t xml:space="preserve">acordare a asistenței juridice; </w:t>
      </w:r>
    </w:p>
    <w:p w14:paraId="50A94157" w14:textId="0A091824" w:rsidR="0061798E" w:rsidRPr="00E6550D" w:rsidRDefault="00E6550D" w:rsidP="002533C2">
      <w:pPr>
        <w:pBdr>
          <w:top w:val="single" w:sz="4" w:space="1" w:color="auto"/>
          <w:left w:val="single" w:sz="4" w:space="4" w:color="auto"/>
          <w:bottom w:val="single" w:sz="4" w:space="1" w:color="auto"/>
          <w:right w:val="single" w:sz="4" w:space="4" w:color="auto"/>
        </w:pBdr>
        <w:spacing w:after="0" w:line="276" w:lineRule="auto"/>
        <w:ind w:firstLine="180"/>
        <w:jc w:val="both"/>
        <w:rPr>
          <w:rFonts w:asciiTheme="majorHAnsi" w:hAnsiTheme="majorHAnsi" w:cstheme="minorHAnsi"/>
          <w:i/>
          <w:sz w:val="24"/>
          <w:szCs w:val="24"/>
        </w:rPr>
      </w:pPr>
      <w:r w:rsidRPr="00E6550D">
        <w:rPr>
          <w:rFonts w:asciiTheme="majorHAnsi" w:hAnsiTheme="majorHAnsi" w:cstheme="minorHAnsi"/>
          <w:i/>
          <w:sz w:val="24"/>
          <w:szCs w:val="24"/>
        </w:rPr>
        <w:t xml:space="preserve">- funcționarea defectuoasă a </w:t>
      </w:r>
      <w:r w:rsidR="00C5559E" w:rsidRPr="00E6550D">
        <w:rPr>
          <w:rFonts w:asciiTheme="majorHAnsi" w:hAnsiTheme="majorHAnsi" w:cstheme="minorHAnsi"/>
          <w:i/>
          <w:sz w:val="24"/>
          <w:szCs w:val="24"/>
        </w:rPr>
        <w:t>mecanismul</w:t>
      </w:r>
      <w:r w:rsidRPr="00E6550D">
        <w:rPr>
          <w:rFonts w:asciiTheme="majorHAnsi" w:hAnsiTheme="majorHAnsi" w:cstheme="minorHAnsi"/>
          <w:i/>
          <w:sz w:val="24"/>
          <w:szCs w:val="24"/>
        </w:rPr>
        <w:t>ui</w:t>
      </w:r>
      <w:r w:rsidR="00C5559E" w:rsidRPr="00E6550D">
        <w:rPr>
          <w:rFonts w:asciiTheme="majorHAnsi" w:hAnsiTheme="majorHAnsi" w:cstheme="minorHAnsi"/>
          <w:i/>
          <w:sz w:val="24"/>
          <w:szCs w:val="24"/>
        </w:rPr>
        <w:t xml:space="preserve"> de recuperare a cheltuielilor pentru asistența juridică garantată de stat</w:t>
      </w:r>
      <w:r w:rsidR="00D94359">
        <w:rPr>
          <w:rFonts w:asciiTheme="majorHAnsi" w:hAnsiTheme="majorHAnsi" w:cstheme="minorHAnsi"/>
          <w:i/>
          <w:sz w:val="24"/>
          <w:szCs w:val="24"/>
        </w:rPr>
        <w:t>,</w:t>
      </w:r>
      <w:r w:rsidR="00C5559E" w:rsidRPr="00E6550D">
        <w:rPr>
          <w:rFonts w:asciiTheme="majorHAnsi" w:hAnsiTheme="majorHAnsi" w:cstheme="minorHAnsi"/>
          <w:i/>
          <w:sz w:val="24"/>
          <w:szCs w:val="24"/>
        </w:rPr>
        <w:t xml:space="preserve"> precum și sincopele existente în </w:t>
      </w:r>
      <w:r w:rsidR="00C5559E" w:rsidRPr="00E6550D">
        <w:rPr>
          <w:rFonts w:asciiTheme="majorHAnsi" w:hAnsiTheme="majorHAnsi" w:cstheme="minorHAnsi"/>
          <w:i/>
          <w:sz w:val="24"/>
          <w:szCs w:val="24"/>
          <w:lang w:val="ro-RO"/>
        </w:rPr>
        <w:t>identificarea cazurilor pasibile restituirii la buget au redus din încasarea tuturor sumelor cuvenite.</w:t>
      </w:r>
    </w:p>
    <w:p w14:paraId="083C743C" w14:textId="1AA0F641" w:rsidR="00B907A3" w:rsidRPr="00381DA2" w:rsidRDefault="00B907A3" w:rsidP="003A66EF">
      <w:pPr>
        <w:pStyle w:val="Heading3"/>
        <w:numPr>
          <w:ilvl w:val="2"/>
          <w:numId w:val="26"/>
        </w:numPr>
        <w:tabs>
          <w:tab w:val="left" w:pos="360"/>
          <w:tab w:val="left" w:pos="540"/>
          <w:tab w:val="left" w:pos="630"/>
        </w:tabs>
        <w:spacing w:before="240" w:after="120" w:line="276" w:lineRule="auto"/>
        <w:ind w:left="0" w:firstLine="0"/>
        <w:jc w:val="both"/>
        <w:rPr>
          <w:rFonts w:cstheme="minorHAnsi"/>
          <w:b/>
          <w:bCs/>
          <w:color w:val="0070C0"/>
        </w:rPr>
      </w:pPr>
      <w:bookmarkStart w:id="37" w:name="_Toc128640817"/>
      <w:r w:rsidRPr="00381DA2">
        <w:rPr>
          <w:rFonts w:cstheme="minorHAnsi"/>
          <w:b/>
          <w:bCs/>
          <w:color w:val="0070C0"/>
        </w:rPr>
        <w:t xml:space="preserve">Procesul de remunerare a asistenței juridice calificate de stat necesită a fi îmbunătățit, ceea </w:t>
      </w:r>
      <w:r w:rsidRPr="009B2BA2">
        <w:rPr>
          <w:rFonts w:cstheme="minorHAnsi"/>
          <w:b/>
          <w:bCs/>
          <w:color w:val="0070C0"/>
        </w:rPr>
        <w:t>ce nemijlocit</w:t>
      </w:r>
      <w:r w:rsidRPr="00381DA2">
        <w:rPr>
          <w:rFonts w:cstheme="minorHAnsi"/>
          <w:b/>
          <w:bCs/>
          <w:color w:val="0070C0"/>
        </w:rPr>
        <w:t xml:space="preserve"> ar conduce la raționalizarea utilizării banilor publici</w:t>
      </w:r>
      <w:r w:rsidR="00D94359">
        <w:rPr>
          <w:rFonts w:cstheme="minorHAnsi"/>
          <w:b/>
          <w:bCs/>
          <w:color w:val="0070C0"/>
        </w:rPr>
        <w:t>.</w:t>
      </w:r>
      <w:bookmarkEnd w:id="37"/>
    </w:p>
    <w:p w14:paraId="1243DC2B" w14:textId="44134C12" w:rsidR="00B907A3" w:rsidRPr="00381DA2" w:rsidRDefault="00B907A3" w:rsidP="003A66EF">
      <w:pPr>
        <w:autoSpaceDE w:val="0"/>
        <w:autoSpaceDN w:val="0"/>
        <w:adjustRightInd w:val="0"/>
        <w:spacing w:after="120" w:line="276" w:lineRule="auto"/>
        <w:jc w:val="both"/>
        <w:rPr>
          <w:rFonts w:asciiTheme="majorHAnsi" w:hAnsiTheme="majorHAnsi" w:cstheme="minorHAnsi"/>
          <w:bCs/>
          <w:sz w:val="24"/>
          <w:szCs w:val="24"/>
        </w:rPr>
      </w:pPr>
      <w:r w:rsidRPr="00381DA2">
        <w:rPr>
          <w:rFonts w:asciiTheme="majorHAnsi" w:hAnsiTheme="majorHAnsi" w:cstheme="minorHAnsi"/>
          <w:bCs/>
          <w:sz w:val="24"/>
          <w:szCs w:val="24"/>
        </w:rPr>
        <w:t>În conformitate cu art. 29 alin</w:t>
      </w:r>
      <w:r w:rsidR="00016D2B">
        <w:rPr>
          <w:rFonts w:asciiTheme="majorHAnsi" w:hAnsiTheme="majorHAnsi" w:cstheme="minorHAnsi"/>
          <w:bCs/>
          <w:sz w:val="24"/>
          <w:szCs w:val="24"/>
        </w:rPr>
        <w:t>.</w:t>
      </w:r>
      <w:r w:rsidRPr="00381DA2">
        <w:rPr>
          <w:rFonts w:asciiTheme="majorHAnsi" w:hAnsiTheme="majorHAnsi" w:cstheme="minorHAnsi"/>
          <w:bCs/>
          <w:sz w:val="24"/>
          <w:szCs w:val="24"/>
        </w:rPr>
        <w:t xml:space="preserve"> (4) și art. 32 din Legea </w:t>
      </w:r>
      <w:r w:rsidR="00016D2B">
        <w:rPr>
          <w:rFonts w:asciiTheme="majorHAnsi" w:hAnsiTheme="majorHAnsi" w:cstheme="minorHAnsi"/>
          <w:bCs/>
          <w:sz w:val="24"/>
          <w:szCs w:val="24"/>
        </w:rPr>
        <w:t>nr.</w:t>
      </w:r>
      <w:r w:rsidRPr="00381DA2">
        <w:rPr>
          <w:rFonts w:asciiTheme="majorHAnsi" w:hAnsiTheme="majorHAnsi" w:cstheme="minorHAnsi"/>
          <w:bCs/>
          <w:sz w:val="24"/>
          <w:szCs w:val="24"/>
        </w:rPr>
        <w:t xml:space="preserve">198/2007, pentru acordarea asistenței juridice calificate, avocatul este remunerat conform clauzelor </w:t>
      </w:r>
      <w:r w:rsidR="00016D2B">
        <w:rPr>
          <w:rFonts w:asciiTheme="majorHAnsi" w:hAnsiTheme="majorHAnsi" w:cstheme="minorHAnsi"/>
          <w:bCs/>
          <w:sz w:val="24"/>
          <w:szCs w:val="24"/>
        </w:rPr>
        <w:t xml:space="preserve">din </w:t>
      </w:r>
      <w:r w:rsidRPr="00381DA2">
        <w:rPr>
          <w:rFonts w:asciiTheme="majorHAnsi" w:hAnsiTheme="majorHAnsi" w:cstheme="minorHAnsi"/>
          <w:bCs/>
          <w:sz w:val="24"/>
          <w:szCs w:val="24"/>
        </w:rPr>
        <w:t xml:space="preserve">contractul încheiat cu Oficiul Teritorial al CNAJGS. </w:t>
      </w:r>
      <w:r w:rsidR="00754E37" w:rsidRPr="00381DA2">
        <w:rPr>
          <w:rFonts w:asciiTheme="majorHAnsi" w:hAnsiTheme="majorHAnsi" w:cstheme="minorHAnsi"/>
          <w:bCs/>
          <w:sz w:val="24"/>
          <w:szCs w:val="24"/>
        </w:rPr>
        <w:t>M</w:t>
      </w:r>
      <w:r w:rsidRPr="00381DA2">
        <w:rPr>
          <w:rFonts w:asciiTheme="majorHAnsi" w:hAnsiTheme="majorHAnsi" w:cstheme="minorHAnsi"/>
          <w:bCs/>
          <w:sz w:val="24"/>
          <w:szCs w:val="24"/>
        </w:rPr>
        <w:t>ecanismul de achitare a serviciilor juridice prestate de apărători a fost stabilit odată cu adoptarea Regulamentului cu privire la mărimea și modul de remunerare a avocaților pentru acordarea asistenței juridice calificate garantate de stat</w:t>
      </w:r>
      <w:r w:rsidRPr="00381DA2">
        <w:rPr>
          <w:rStyle w:val="FootnoteReference"/>
          <w:rFonts w:asciiTheme="majorHAnsi" w:hAnsiTheme="majorHAnsi" w:cstheme="minorHAnsi"/>
          <w:bCs/>
        </w:rPr>
        <w:footnoteReference w:id="44"/>
      </w:r>
      <w:r w:rsidRPr="00381DA2">
        <w:rPr>
          <w:rFonts w:asciiTheme="majorHAnsi" w:hAnsiTheme="majorHAnsi" w:cstheme="minorHAnsi"/>
          <w:bCs/>
          <w:sz w:val="24"/>
          <w:szCs w:val="24"/>
        </w:rPr>
        <w:t>. Astfel, s-a statuat că:</w:t>
      </w:r>
    </w:p>
    <w:p w14:paraId="50622434" w14:textId="77777777" w:rsidR="00B907A3" w:rsidRPr="00381DA2" w:rsidRDefault="00B907A3" w:rsidP="003A66EF">
      <w:pPr>
        <w:pStyle w:val="ListParagraph"/>
        <w:numPr>
          <w:ilvl w:val="0"/>
          <w:numId w:val="19"/>
        </w:numPr>
        <w:autoSpaceDE w:val="0"/>
        <w:autoSpaceDN w:val="0"/>
        <w:adjustRightInd w:val="0"/>
        <w:spacing w:line="276" w:lineRule="auto"/>
        <w:jc w:val="both"/>
        <w:rPr>
          <w:rFonts w:asciiTheme="majorHAnsi" w:hAnsiTheme="majorHAnsi" w:cstheme="minorHAnsi"/>
          <w:bCs/>
          <w:sz w:val="24"/>
          <w:szCs w:val="24"/>
          <w:lang w:val="ro-MD"/>
        </w:rPr>
      </w:pPr>
      <w:r w:rsidRPr="00381DA2">
        <w:rPr>
          <w:rFonts w:asciiTheme="majorHAnsi" w:hAnsiTheme="majorHAnsi" w:cstheme="minorHAnsi"/>
          <w:bCs/>
          <w:sz w:val="24"/>
          <w:szCs w:val="24"/>
          <w:lang w:val="ro-MD"/>
        </w:rPr>
        <w:t>avocații publici primesc o remunerare lunară fixă pentru acordarea asistenței juridice calificate în mărimea aprobată de CNAJGS</w:t>
      </w:r>
      <w:r w:rsidRPr="00381DA2">
        <w:rPr>
          <w:rStyle w:val="FootnoteReference"/>
          <w:rFonts w:asciiTheme="majorHAnsi" w:hAnsiTheme="majorHAnsi" w:cstheme="minorHAnsi"/>
          <w:bCs/>
        </w:rPr>
        <w:footnoteReference w:id="45"/>
      </w:r>
      <w:r w:rsidRPr="00381DA2">
        <w:rPr>
          <w:rFonts w:asciiTheme="majorHAnsi" w:hAnsiTheme="majorHAnsi" w:cstheme="minorHAnsi"/>
          <w:bCs/>
          <w:sz w:val="24"/>
          <w:szCs w:val="24"/>
          <w:lang w:val="ro-MD"/>
        </w:rPr>
        <w:t>, iar</w:t>
      </w:r>
    </w:p>
    <w:p w14:paraId="6013BCC6" w14:textId="6A001AEE" w:rsidR="00B907A3" w:rsidRPr="00381DA2" w:rsidRDefault="00B907A3" w:rsidP="003A66EF">
      <w:pPr>
        <w:pStyle w:val="ListParagraph"/>
        <w:numPr>
          <w:ilvl w:val="0"/>
          <w:numId w:val="19"/>
        </w:numPr>
        <w:autoSpaceDE w:val="0"/>
        <w:autoSpaceDN w:val="0"/>
        <w:adjustRightInd w:val="0"/>
        <w:spacing w:after="120" w:line="276" w:lineRule="auto"/>
        <w:contextualSpacing w:val="0"/>
        <w:jc w:val="both"/>
        <w:rPr>
          <w:rFonts w:asciiTheme="majorHAnsi" w:hAnsiTheme="majorHAnsi" w:cstheme="minorHAnsi"/>
          <w:bCs/>
          <w:sz w:val="24"/>
          <w:szCs w:val="24"/>
          <w:lang w:val="ro-MD"/>
        </w:rPr>
      </w:pPr>
      <w:r w:rsidRPr="00381DA2">
        <w:rPr>
          <w:rFonts w:asciiTheme="majorHAnsi" w:hAnsiTheme="majorHAnsi" w:cstheme="minorHAnsi"/>
          <w:bCs/>
          <w:sz w:val="24"/>
          <w:szCs w:val="24"/>
          <w:lang w:val="ro-MD"/>
        </w:rPr>
        <w:t>achitarea serviciilor juridice calificate pentru avocații contractați de stat la cerere se calculează în unități convenționale</w:t>
      </w:r>
      <w:r w:rsidRPr="00381DA2">
        <w:rPr>
          <w:rStyle w:val="FootnoteReference"/>
          <w:rFonts w:asciiTheme="majorHAnsi" w:hAnsiTheme="majorHAnsi" w:cstheme="minorHAnsi"/>
          <w:bCs/>
        </w:rPr>
        <w:footnoteReference w:id="46"/>
      </w:r>
      <w:r w:rsidRPr="00381DA2">
        <w:rPr>
          <w:rFonts w:asciiTheme="majorHAnsi" w:hAnsiTheme="majorHAnsi" w:cstheme="minorHAnsi"/>
          <w:sz w:val="24"/>
          <w:szCs w:val="24"/>
          <w:lang w:val="ro-MD"/>
        </w:rPr>
        <w:t xml:space="preserve"> </w:t>
      </w:r>
      <w:r w:rsidR="00754E37" w:rsidRPr="00381DA2">
        <w:rPr>
          <w:rFonts w:asciiTheme="majorHAnsi" w:hAnsiTheme="majorHAnsi" w:cstheme="minorHAnsi"/>
          <w:bCs/>
          <w:sz w:val="24"/>
          <w:szCs w:val="24"/>
          <w:lang w:val="ro-MD"/>
        </w:rPr>
        <w:t xml:space="preserve">pentru </w:t>
      </w:r>
      <w:r w:rsidRPr="00381DA2">
        <w:rPr>
          <w:rFonts w:asciiTheme="majorHAnsi" w:hAnsiTheme="majorHAnsi" w:cstheme="minorHAnsi"/>
          <w:bCs/>
          <w:sz w:val="24"/>
          <w:szCs w:val="24"/>
          <w:lang w:val="ro-MD"/>
        </w:rPr>
        <w:t>acțiuni</w:t>
      </w:r>
      <w:r w:rsidR="00754E37" w:rsidRPr="00381DA2">
        <w:rPr>
          <w:rFonts w:asciiTheme="majorHAnsi" w:hAnsiTheme="majorHAnsi" w:cstheme="minorHAnsi"/>
          <w:bCs/>
          <w:sz w:val="24"/>
          <w:szCs w:val="24"/>
          <w:lang w:val="ro-MD"/>
        </w:rPr>
        <w:t>le</w:t>
      </w:r>
      <w:r w:rsidRPr="00381DA2">
        <w:rPr>
          <w:rFonts w:asciiTheme="majorHAnsi" w:hAnsiTheme="majorHAnsi" w:cstheme="minorHAnsi"/>
          <w:bCs/>
          <w:sz w:val="24"/>
          <w:szCs w:val="24"/>
          <w:lang w:val="ro-MD"/>
        </w:rPr>
        <w:t xml:space="preserve"> realizate și raportate de către aceștia în procesul de apărare a beneficiarului/clientului, la toate etapele procesului pentru care și-a</w:t>
      </w:r>
      <w:r w:rsidR="00016D2B">
        <w:rPr>
          <w:rFonts w:asciiTheme="majorHAnsi" w:hAnsiTheme="majorHAnsi" w:cstheme="minorHAnsi"/>
          <w:bCs/>
          <w:sz w:val="24"/>
          <w:szCs w:val="24"/>
          <w:lang w:val="ro-MD"/>
        </w:rPr>
        <w:t>u</w:t>
      </w:r>
      <w:r w:rsidRPr="00381DA2">
        <w:rPr>
          <w:rFonts w:asciiTheme="majorHAnsi" w:hAnsiTheme="majorHAnsi" w:cstheme="minorHAnsi"/>
          <w:bCs/>
          <w:sz w:val="24"/>
          <w:szCs w:val="24"/>
          <w:lang w:val="ro-MD"/>
        </w:rPr>
        <w:t xml:space="preserve"> asumat angajamentul. </w:t>
      </w:r>
    </w:p>
    <w:p w14:paraId="703DE89F" w14:textId="400E3848" w:rsidR="00B907A3" w:rsidRPr="00381DA2" w:rsidRDefault="00B907A3"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bCs/>
          <w:sz w:val="24"/>
          <w:szCs w:val="24"/>
        </w:rPr>
        <w:t>Potrivit datelor prezentate de CNAJGS, în scopul remunerării asistenței juridice garantate de stat calificate, în perioada 2020-2022</w:t>
      </w:r>
      <w:r w:rsidR="00016D2B">
        <w:rPr>
          <w:rFonts w:asciiTheme="majorHAnsi" w:hAnsiTheme="majorHAnsi" w:cstheme="minorHAnsi"/>
          <w:bCs/>
          <w:sz w:val="24"/>
          <w:szCs w:val="24"/>
        </w:rPr>
        <w:t xml:space="preserve"> </w:t>
      </w:r>
      <w:r w:rsidRPr="00381DA2">
        <w:rPr>
          <w:rFonts w:asciiTheme="majorHAnsi" w:hAnsiTheme="majorHAnsi" w:cstheme="minorHAnsi"/>
          <w:bCs/>
          <w:sz w:val="24"/>
          <w:szCs w:val="24"/>
        </w:rPr>
        <w:t xml:space="preserve">au </w:t>
      </w:r>
      <w:r w:rsidR="00016D2B">
        <w:rPr>
          <w:rFonts w:asciiTheme="majorHAnsi" w:hAnsiTheme="majorHAnsi" w:cstheme="minorHAnsi"/>
          <w:bCs/>
          <w:sz w:val="24"/>
          <w:szCs w:val="24"/>
        </w:rPr>
        <w:t xml:space="preserve">fost </w:t>
      </w:r>
      <w:r w:rsidRPr="00381DA2">
        <w:rPr>
          <w:rFonts w:asciiTheme="majorHAnsi" w:hAnsiTheme="majorHAnsi" w:cstheme="minorHAnsi"/>
          <w:bCs/>
          <w:sz w:val="24"/>
          <w:szCs w:val="24"/>
        </w:rPr>
        <w:t>valorificat</w:t>
      </w:r>
      <w:r w:rsidR="00016D2B">
        <w:rPr>
          <w:rFonts w:asciiTheme="majorHAnsi" w:hAnsiTheme="majorHAnsi" w:cstheme="minorHAnsi"/>
          <w:bCs/>
          <w:sz w:val="24"/>
          <w:szCs w:val="24"/>
        </w:rPr>
        <w:t>e</w:t>
      </w:r>
      <w:r w:rsidRPr="00381DA2">
        <w:rPr>
          <w:rFonts w:asciiTheme="majorHAnsi" w:hAnsiTheme="majorHAnsi" w:cstheme="minorHAnsi"/>
          <w:bCs/>
          <w:sz w:val="24"/>
          <w:szCs w:val="24"/>
        </w:rPr>
        <w:t xml:space="preserve"> mijloace bugetare în sumă totală de 207,1 mil.lei, inclusiv: în anul 2020 – se atestă valorificarea sumei de 48,3 mil. lei, în anul 2021 – 73,5 mil.lei</w:t>
      </w:r>
      <w:r w:rsidR="00016D2B">
        <w:rPr>
          <w:rFonts w:asciiTheme="majorHAnsi" w:hAnsiTheme="majorHAnsi" w:cstheme="minorHAnsi"/>
          <w:bCs/>
          <w:sz w:val="24"/>
          <w:szCs w:val="24"/>
        </w:rPr>
        <w:t>,</w:t>
      </w:r>
      <w:r w:rsidRPr="00381DA2">
        <w:rPr>
          <w:rFonts w:asciiTheme="majorHAnsi" w:hAnsiTheme="majorHAnsi" w:cstheme="minorHAnsi"/>
          <w:bCs/>
          <w:sz w:val="24"/>
          <w:szCs w:val="24"/>
        </w:rPr>
        <w:t xml:space="preserve"> și în anul 2022 – 85,3 mil.lei. Datele expuse denotă că cheltuielile destinate remunerării muncii avocaților au înregistrat o majorare semnificativă, sau în anul 2022 majorându-se cu 37,0 mil</w:t>
      </w:r>
      <w:r w:rsidR="00016D2B">
        <w:rPr>
          <w:rFonts w:asciiTheme="majorHAnsi" w:hAnsiTheme="majorHAnsi" w:cstheme="minorHAnsi"/>
          <w:bCs/>
          <w:sz w:val="24"/>
          <w:szCs w:val="24"/>
        </w:rPr>
        <w:t>.</w:t>
      </w:r>
      <w:r w:rsidRPr="00381DA2">
        <w:rPr>
          <w:rFonts w:asciiTheme="majorHAnsi" w:hAnsiTheme="majorHAnsi" w:cstheme="minorHAnsi"/>
          <w:bCs/>
          <w:sz w:val="24"/>
          <w:szCs w:val="24"/>
        </w:rPr>
        <w:t xml:space="preserve"> lei față de ace</w:t>
      </w:r>
      <w:r w:rsidR="00016D2B">
        <w:rPr>
          <w:rFonts w:asciiTheme="majorHAnsi" w:hAnsiTheme="majorHAnsi" w:cstheme="minorHAnsi"/>
          <w:bCs/>
          <w:sz w:val="24"/>
          <w:szCs w:val="24"/>
        </w:rPr>
        <w:t>e</w:t>
      </w:r>
      <w:r w:rsidRPr="00381DA2">
        <w:rPr>
          <w:rFonts w:asciiTheme="majorHAnsi" w:hAnsiTheme="majorHAnsi" w:cstheme="minorHAnsi"/>
          <w:bCs/>
          <w:sz w:val="24"/>
          <w:szCs w:val="24"/>
        </w:rPr>
        <w:t>ași perioadă a anului 2020</w:t>
      </w:r>
      <w:r w:rsidR="00016D2B">
        <w:rPr>
          <w:rFonts w:asciiTheme="majorHAnsi" w:hAnsiTheme="majorHAnsi" w:cstheme="minorHAnsi"/>
          <w:bCs/>
          <w:sz w:val="24"/>
          <w:szCs w:val="24"/>
        </w:rPr>
        <w:t>,</w:t>
      </w:r>
      <w:r w:rsidRPr="00381DA2">
        <w:rPr>
          <w:rFonts w:asciiTheme="majorHAnsi" w:hAnsiTheme="majorHAnsi" w:cstheme="minorHAnsi"/>
          <w:bCs/>
          <w:sz w:val="24"/>
          <w:szCs w:val="24"/>
        </w:rPr>
        <w:t xml:space="preserve"> ceea ce semnifică o creștere de</w:t>
      </w:r>
      <w:r w:rsidR="003B24B6">
        <w:rPr>
          <w:rFonts w:asciiTheme="majorHAnsi" w:hAnsiTheme="majorHAnsi" w:cstheme="minorHAnsi"/>
          <w:bCs/>
          <w:sz w:val="24"/>
          <w:szCs w:val="24"/>
        </w:rPr>
        <w:t xml:space="preserve"> </w:t>
      </w:r>
      <w:r w:rsidRPr="00381DA2">
        <w:rPr>
          <w:rFonts w:asciiTheme="majorHAnsi" w:hAnsiTheme="majorHAnsi" w:cstheme="minorHAnsi"/>
          <w:bCs/>
          <w:sz w:val="24"/>
          <w:szCs w:val="24"/>
        </w:rPr>
        <w:t>77%. Trendul ascendent a</w:t>
      </w:r>
      <w:r w:rsidR="00016D2B">
        <w:rPr>
          <w:rFonts w:asciiTheme="majorHAnsi" w:hAnsiTheme="majorHAnsi" w:cstheme="minorHAnsi"/>
          <w:bCs/>
          <w:sz w:val="24"/>
          <w:szCs w:val="24"/>
        </w:rPr>
        <w:t>l</w:t>
      </w:r>
      <w:r w:rsidRPr="00381DA2">
        <w:rPr>
          <w:rFonts w:asciiTheme="majorHAnsi" w:hAnsiTheme="majorHAnsi" w:cstheme="minorHAnsi"/>
          <w:bCs/>
          <w:sz w:val="24"/>
          <w:szCs w:val="24"/>
        </w:rPr>
        <w:t xml:space="preserve"> cheltuielilor respective a fost determinat </w:t>
      </w:r>
      <w:r w:rsidR="0082226F" w:rsidRPr="00381DA2">
        <w:rPr>
          <w:rFonts w:asciiTheme="majorHAnsi" w:hAnsiTheme="majorHAnsi" w:cstheme="minorHAnsi"/>
          <w:bCs/>
          <w:sz w:val="24"/>
          <w:szCs w:val="24"/>
        </w:rPr>
        <w:t>atât</w:t>
      </w:r>
      <w:r w:rsidRPr="00381DA2">
        <w:rPr>
          <w:rFonts w:asciiTheme="majorHAnsi" w:hAnsiTheme="majorHAnsi" w:cstheme="minorHAnsi"/>
          <w:bCs/>
          <w:sz w:val="24"/>
          <w:szCs w:val="24"/>
        </w:rPr>
        <w:t xml:space="preserve"> </w:t>
      </w:r>
      <w:r w:rsidR="00016D2B">
        <w:rPr>
          <w:rFonts w:asciiTheme="majorHAnsi" w:hAnsiTheme="majorHAnsi" w:cstheme="minorHAnsi"/>
          <w:bCs/>
          <w:sz w:val="24"/>
          <w:szCs w:val="24"/>
        </w:rPr>
        <w:t xml:space="preserve">ca </w:t>
      </w:r>
      <w:r w:rsidRPr="00381DA2">
        <w:rPr>
          <w:rFonts w:asciiTheme="majorHAnsi" w:hAnsiTheme="majorHAnsi" w:cstheme="minorHAnsi"/>
          <w:sz w:val="24"/>
          <w:szCs w:val="24"/>
        </w:rPr>
        <w:t>urmare</w:t>
      </w:r>
      <w:r w:rsidR="00016D2B">
        <w:rPr>
          <w:rFonts w:asciiTheme="majorHAnsi" w:hAnsiTheme="majorHAnsi" w:cstheme="minorHAnsi"/>
          <w:sz w:val="24"/>
          <w:szCs w:val="24"/>
        </w:rPr>
        <w:t xml:space="preserve"> a</w:t>
      </w:r>
      <w:r w:rsidRPr="00381DA2">
        <w:rPr>
          <w:rFonts w:asciiTheme="majorHAnsi" w:hAnsiTheme="majorHAnsi" w:cstheme="minorHAnsi"/>
          <w:sz w:val="24"/>
          <w:szCs w:val="24"/>
        </w:rPr>
        <w:t xml:space="preserve"> racordării cuantumului unității convenționale în baza căreia are loc remunerarea avocaților pentru serviciile juridice </w:t>
      </w:r>
      <w:r w:rsidR="00B45F42">
        <w:rPr>
          <w:rFonts w:asciiTheme="majorHAnsi" w:hAnsiTheme="majorHAnsi" w:cstheme="minorHAnsi"/>
          <w:sz w:val="24"/>
          <w:szCs w:val="24"/>
        </w:rPr>
        <w:t>prestate</w:t>
      </w:r>
      <w:r w:rsidRPr="00381DA2">
        <w:rPr>
          <w:rFonts w:asciiTheme="majorHAnsi" w:hAnsiTheme="majorHAnsi" w:cstheme="minorHAnsi"/>
          <w:sz w:val="24"/>
          <w:szCs w:val="24"/>
        </w:rPr>
        <w:t>, aceasta majorându-se etapizat</w:t>
      </w:r>
      <w:r w:rsidR="00016D2B">
        <w:rPr>
          <w:rFonts w:asciiTheme="majorHAnsi" w:hAnsiTheme="majorHAnsi" w:cstheme="minorHAnsi"/>
          <w:sz w:val="24"/>
          <w:szCs w:val="24"/>
        </w:rPr>
        <w:t>,</w:t>
      </w:r>
      <w:r w:rsidRPr="00381DA2">
        <w:rPr>
          <w:rFonts w:asciiTheme="majorHAnsi" w:hAnsiTheme="majorHAnsi" w:cstheme="minorHAnsi"/>
          <w:sz w:val="24"/>
          <w:szCs w:val="24"/>
        </w:rPr>
        <w:t xml:space="preserve"> de la 30 lei la 50 lei, precum și sporirii spectrului de beneficiari ai asistenței juridice garantat</w:t>
      </w:r>
      <w:r w:rsidR="00016D2B">
        <w:rPr>
          <w:rFonts w:asciiTheme="majorHAnsi" w:hAnsiTheme="majorHAnsi" w:cstheme="minorHAnsi"/>
          <w:sz w:val="24"/>
          <w:szCs w:val="24"/>
        </w:rPr>
        <w:t>e</w:t>
      </w:r>
      <w:r w:rsidRPr="00381DA2">
        <w:rPr>
          <w:rFonts w:asciiTheme="majorHAnsi" w:hAnsiTheme="majorHAnsi" w:cstheme="minorHAnsi"/>
          <w:sz w:val="24"/>
          <w:szCs w:val="24"/>
        </w:rPr>
        <w:t xml:space="preserve"> de stat.  </w:t>
      </w:r>
    </w:p>
    <w:p w14:paraId="1211FCCC" w14:textId="30847B1F" w:rsidR="00B907A3" w:rsidRPr="00381DA2" w:rsidRDefault="00B907A3" w:rsidP="003A66EF">
      <w:pPr>
        <w:autoSpaceDE w:val="0"/>
        <w:autoSpaceDN w:val="0"/>
        <w:adjustRightInd w:val="0"/>
        <w:spacing w:after="120" w:line="276" w:lineRule="auto"/>
        <w:jc w:val="both"/>
        <w:rPr>
          <w:rFonts w:asciiTheme="majorHAnsi" w:hAnsiTheme="majorHAnsi" w:cstheme="minorHAnsi"/>
          <w:bCs/>
          <w:sz w:val="24"/>
          <w:szCs w:val="24"/>
        </w:rPr>
      </w:pPr>
      <w:r w:rsidRPr="00381DA2">
        <w:rPr>
          <w:rFonts w:asciiTheme="majorHAnsi" w:hAnsiTheme="majorHAnsi" w:cstheme="minorHAnsi"/>
          <w:sz w:val="24"/>
          <w:szCs w:val="24"/>
        </w:rPr>
        <w:t>Deși CNAJGS și OT au instituit unele activități de control intern în vederea asigurării conformității cheltuielilor pentru acordarea AJGS calificate, acestea pe anumite activități operaționale s</w:t>
      </w:r>
      <w:r w:rsidR="00016D2B">
        <w:rPr>
          <w:rFonts w:asciiTheme="majorHAnsi" w:hAnsiTheme="majorHAnsi" w:cstheme="minorHAnsi"/>
          <w:sz w:val="24"/>
          <w:szCs w:val="24"/>
        </w:rPr>
        <w:t>u</w:t>
      </w:r>
      <w:r w:rsidRPr="00381DA2">
        <w:rPr>
          <w:rFonts w:asciiTheme="majorHAnsi" w:hAnsiTheme="majorHAnsi" w:cstheme="minorHAnsi"/>
          <w:sz w:val="24"/>
          <w:szCs w:val="24"/>
        </w:rPr>
        <w:t xml:space="preserve">nt parțial funcționale, fapt care determină apariția unor neconformități și reduc din buna gestiune a banului public. Cele menționate </w:t>
      </w:r>
      <w:r w:rsidR="00C10C0A" w:rsidRPr="00381DA2">
        <w:rPr>
          <w:rFonts w:asciiTheme="majorHAnsi" w:hAnsiTheme="majorHAnsi" w:cstheme="minorHAnsi"/>
          <w:sz w:val="24"/>
          <w:szCs w:val="24"/>
        </w:rPr>
        <w:t>s</w:t>
      </w:r>
      <w:r w:rsidR="00016D2B">
        <w:rPr>
          <w:rFonts w:asciiTheme="majorHAnsi" w:hAnsiTheme="majorHAnsi" w:cstheme="minorHAnsi"/>
          <w:sz w:val="24"/>
          <w:szCs w:val="24"/>
        </w:rPr>
        <w:t>u</w:t>
      </w:r>
      <w:r w:rsidR="00C10C0A" w:rsidRPr="00381DA2">
        <w:rPr>
          <w:rFonts w:asciiTheme="majorHAnsi" w:hAnsiTheme="majorHAnsi" w:cstheme="minorHAnsi"/>
          <w:sz w:val="24"/>
          <w:szCs w:val="24"/>
        </w:rPr>
        <w:t>nt</w:t>
      </w:r>
      <w:r w:rsidRPr="00381DA2">
        <w:rPr>
          <w:rFonts w:asciiTheme="majorHAnsi" w:hAnsiTheme="majorHAnsi" w:cstheme="minorHAnsi"/>
          <w:sz w:val="24"/>
          <w:szCs w:val="24"/>
        </w:rPr>
        <w:t xml:space="preserve"> argumentate de următoarele constatări.</w:t>
      </w:r>
    </w:p>
    <w:p w14:paraId="571BDA47" w14:textId="77777777" w:rsidR="00B907A3" w:rsidRPr="00381DA2" w:rsidRDefault="00B907A3" w:rsidP="003A66EF">
      <w:pPr>
        <w:pStyle w:val="ListParagraph"/>
        <w:numPr>
          <w:ilvl w:val="0"/>
          <w:numId w:val="20"/>
        </w:numPr>
        <w:tabs>
          <w:tab w:val="left" w:pos="360"/>
        </w:tabs>
        <w:spacing w:after="120" w:line="276" w:lineRule="auto"/>
        <w:ind w:left="360" w:hanging="360"/>
        <w:jc w:val="both"/>
        <w:rPr>
          <w:rFonts w:asciiTheme="majorHAnsi" w:hAnsiTheme="majorHAnsi" w:cstheme="minorHAnsi"/>
          <w:i/>
          <w:color w:val="0070C0"/>
          <w:sz w:val="24"/>
          <w:szCs w:val="24"/>
          <w:lang w:val="ro-MD"/>
        </w:rPr>
      </w:pPr>
      <w:r w:rsidRPr="00381DA2">
        <w:rPr>
          <w:rFonts w:asciiTheme="majorHAnsi" w:hAnsiTheme="majorHAnsi" w:cstheme="minorHAnsi"/>
          <w:i/>
          <w:color w:val="0070C0"/>
          <w:sz w:val="24"/>
          <w:szCs w:val="24"/>
          <w:lang w:val="ro-MD"/>
        </w:rPr>
        <w:lastRenderedPageBreak/>
        <w:t>Deficiențe în confirmarea documentară a acțiunilor întreprinse de avocați la acordarea asistenței juridice calificate</w:t>
      </w:r>
    </w:p>
    <w:p w14:paraId="6291AA29" w14:textId="331F83E1" w:rsidR="00B907A3" w:rsidRPr="00381DA2" w:rsidRDefault="00B907A3" w:rsidP="003A66EF">
      <w:p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Conform pct. 21 din Regulamentul de remunerare a avocaților la cerere</w:t>
      </w:r>
      <w:r w:rsidR="00297071">
        <w:rPr>
          <w:rFonts w:asciiTheme="majorHAnsi" w:hAnsiTheme="majorHAnsi" w:cstheme="minorHAnsi"/>
          <w:sz w:val="24"/>
          <w:szCs w:val="24"/>
        </w:rPr>
        <w:t>,</w:t>
      </w:r>
      <w:r w:rsidRPr="00381DA2">
        <w:rPr>
          <w:rFonts w:asciiTheme="majorHAnsi" w:hAnsiTheme="majorHAnsi" w:cstheme="minorHAnsi"/>
          <w:sz w:val="24"/>
          <w:szCs w:val="24"/>
        </w:rPr>
        <w:t xml:space="preserve"> se prevede că </w:t>
      </w:r>
      <w:r w:rsidR="00AF1411" w:rsidRPr="00381DA2">
        <w:rPr>
          <w:rFonts w:asciiTheme="majorHAnsi" w:hAnsiTheme="majorHAnsi" w:cstheme="minorHAnsi"/>
          <w:sz w:val="24"/>
          <w:szCs w:val="24"/>
        </w:rPr>
        <w:t>aceștia s</w:t>
      </w:r>
      <w:r w:rsidR="00297071">
        <w:rPr>
          <w:rFonts w:asciiTheme="majorHAnsi" w:hAnsiTheme="majorHAnsi" w:cstheme="minorHAnsi"/>
          <w:sz w:val="24"/>
          <w:szCs w:val="24"/>
        </w:rPr>
        <w:t>u</w:t>
      </w:r>
      <w:r w:rsidR="00AF1411" w:rsidRPr="00381DA2">
        <w:rPr>
          <w:rFonts w:asciiTheme="majorHAnsi" w:hAnsiTheme="majorHAnsi" w:cstheme="minorHAnsi"/>
          <w:sz w:val="24"/>
          <w:szCs w:val="24"/>
        </w:rPr>
        <w:t>nt</w:t>
      </w:r>
      <w:r w:rsidRPr="00381DA2">
        <w:rPr>
          <w:rFonts w:asciiTheme="majorHAnsi" w:hAnsiTheme="majorHAnsi" w:cstheme="minorHAnsi"/>
          <w:sz w:val="24"/>
          <w:szCs w:val="24"/>
        </w:rPr>
        <w:t xml:space="preserve"> responsabili de prezentarea documentelor confirmative </w:t>
      </w:r>
      <w:r w:rsidRPr="00381DA2">
        <w:rPr>
          <w:rFonts w:asciiTheme="majorHAnsi" w:hAnsiTheme="majorHAnsi" w:cstheme="minorHAnsi"/>
          <w:i/>
          <w:sz w:val="24"/>
          <w:szCs w:val="24"/>
        </w:rPr>
        <w:t>doar la solicitarea</w:t>
      </w:r>
      <w:r w:rsidRPr="00381DA2">
        <w:rPr>
          <w:rFonts w:asciiTheme="majorHAnsi" w:hAnsiTheme="majorHAnsi" w:cstheme="minorHAnsi"/>
          <w:sz w:val="24"/>
          <w:szCs w:val="24"/>
        </w:rPr>
        <w:t xml:space="preserve"> O</w:t>
      </w:r>
      <w:r w:rsidR="00297071">
        <w:rPr>
          <w:rFonts w:asciiTheme="majorHAnsi" w:hAnsiTheme="majorHAnsi" w:cstheme="minorHAnsi"/>
          <w:sz w:val="24"/>
          <w:szCs w:val="24"/>
        </w:rPr>
        <w:t>T</w:t>
      </w:r>
      <w:r w:rsidRPr="00381DA2">
        <w:rPr>
          <w:rFonts w:asciiTheme="majorHAnsi" w:hAnsiTheme="majorHAnsi" w:cstheme="minorHAnsi"/>
          <w:sz w:val="24"/>
          <w:szCs w:val="24"/>
        </w:rPr>
        <w:t xml:space="preserve">, iar imposibilitatea avocatului de a certifica acordarea asistenței juridice calificate servește drept temei pentru diminuarea sau excluderea remunerării avocatului sau a cheltuielilor de deplasare. </w:t>
      </w:r>
    </w:p>
    <w:p w14:paraId="0939D4F8" w14:textId="71A311A8" w:rsidR="00B907A3" w:rsidRPr="00381DA2" w:rsidRDefault="00B907A3" w:rsidP="003A66EF">
      <w:p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În co</w:t>
      </w:r>
      <w:r w:rsidR="00B45F42">
        <w:rPr>
          <w:rFonts w:asciiTheme="majorHAnsi" w:hAnsiTheme="majorHAnsi" w:cstheme="minorHAnsi"/>
          <w:sz w:val="24"/>
          <w:szCs w:val="24"/>
        </w:rPr>
        <w:t xml:space="preserve">nformitate cu Hotărârea CNAJGS </w:t>
      </w:r>
      <w:r w:rsidRPr="00381DA2">
        <w:rPr>
          <w:rFonts w:asciiTheme="majorHAnsi" w:hAnsiTheme="majorHAnsi" w:cstheme="minorHAnsi"/>
          <w:sz w:val="24"/>
          <w:szCs w:val="24"/>
        </w:rPr>
        <w:t>nr.9/2019</w:t>
      </w:r>
      <w:r w:rsidRPr="00381DA2">
        <w:rPr>
          <w:rStyle w:val="FootnoteReference"/>
          <w:rFonts w:asciiTheme="majorHAnsi" w:hAnsiTheme="majorHAnsi" w:cstheme="minorHAnsi"/>
        </w:rPr>
        <w:footnoteReference w:id="47"/>
      </w:r>
      <w:r w:rsidRPr="00381DA2">
        <w:rPr>
          <w:rFonts w:asciiTheme="majorHAnsi" w:hAnsiTheme="majorHAnsi" w:cstheme="minorHAnsi"/>
          <w:sz w:val="24"/>
          <w:szCs w:val="24"/>
        </w:rPr>
        <w:t>, începând cu 01.09.2019, depunerea  rapoartelor de activitate de c</w:t>
      </w:r>
      <w:r w:rsidR="007F338E" w:rsidRPr="00381DA2">
        <w:rPr>
          <w:rFonts w:asciiTheme="majorHAnsi" w:hAnsiTheme="majorHAnsi" w:cstheme="minorHAnsi"/>
          <w:sz w:val="24"/>
          <w:szCs w:val="24"/>
        </w:rPr>
        <w:t>ătre avocații care acordă AJGS s</w:t>
      </w:r>
      <w:r w:rsidRPr="00381DA2">
        <w:rPr>
          <w:rFonts w:asciiTheme="majorHAnsi" w:hAnsiTheme="majorHAnsi" w:cstheme="minorHAnsi"/>
          <w:sz w:val="24"/>
          <w:szCs w:val="24"/>
        </w:rPr>
        <w:t>e efectuează în format electronic</w:t>
      </w:r>
      <w:r w:rsidR="00B45F42">
        <w:rPr>
          <w:rFonts w:asciiTheme="majorHAnsi" w:hAnsiTheme="majorHAnsi" w:cstheme="minorHAnsi"/>
          <w:sz w:val="24"/>
          <w:szCs w:val="24"/>
        </w:rPr>
        <w:t>,</w:t>
      </w:r>
      <w:r w:rsidRPr="00381DA2">
        <w:rPr>
          <w:rFonts w:asciiTheme="majorHAnsi" w:hAnsiTheme="majorHAnsi" w:cstheme="minorHAnsi"/>
          <w:sz w:val="24"/>
          <w:szCs w:val="24"/>
        </w:rPr>
        <w:t xml:space="preserve"> utilizându-se SIA al CNAJGS. Verificările de audit aferente perioadei 2020-2022 </w:t>
      </w:r>
      <w:r w:rsidR="00297071">
        <w:rPr>
          <w:rFonts w:asciiTheme="majorHAnsi" w:hAnsiTheme="majorHAnsi" w:cstheme="minorHAnsi"/>
          <w:sz w:val="24"/>
          <w:szCs w:val="24"/>
        </w:rPr>
        <w:t>au stabilit</w:t>
      </w:r>
      <w:r w:rsidR="00297071" w:rsidRPr="00381DA2">
        <w:rPr>
          <w:rFonts w:asciiTheme="majorHAnsi" w:hAnsiTheme="majorHAnsi" w:cstheme="minorHAnsi"/>
          <w:sz w:val="24"/>
          <w:szCs w:val="24"/>
        </w:rPr>
        <w:t xml:space="preserve"> </w:t>
      </w:r>
      <w:r w:rsidR="00997D91" w:rsidRPr="00381DA2">
        <w:rPr>
          <w:rFonts w:asciiTheme="majorHAnsi" w:hAnsiTheme="majorHAnsi" w:cstheme="minorHAnsi"/>
          <w:sz w:val="24"/>
          <w:szCs w:val="24"/>
        </w:rPr>
        <w:t xml:space="preserve">o abordare </w:t>
      </w:r>
      <w:r w:rsidR="007F338E" w:rsidRPr="00381DA2">
        <w:rPr>
          <w:rFonts w:asciiTheme="majorHAnsi" w:hAnsiTheme="majorHAnsi" w:cstheme="minorHAnsi"/>
          <w:sz w:val="24"/>
          <w:szCs w:val="24"/>
        </w:rPr>
        <w:t>neunivocă în raportarea și remunerarea</w:t>
      </w:r>
      <w:r w:rsidR="00624D83" w:rsidRPr="00381DA2">
        <w:rPr>
          <w:rFonts w:asciiTheme="majorHAnsi" w:hAnsiTheme="majorHAnsi" w:cstheme="minorHAnsi"/>
          <w:sz w:val="24"/>
          <w:szCs w:val="24"/>
        </w:rPr>
        <w:t xml:space="preserve"> avocaților</w:t>
      </w:r>
      <w:r w:rsidR="00997D91" w:rsidRPr="00381DA2">
        <w:rPr>
          <w:rFonts w:asciiTheme="majorHAnsi" w:hAnsiTheme="majorHAnsi" w:cstheme="minorHAnsi"/>
          <w:sz w:val="24"/>
          <w:szCs w:val="24"/>
        </w:rPr>
        <w:t>.</w:t>
      </w:r>
      <w:r w:rsidR="00624D83" w:rsidRPr="00381DA2">
        <w:rPr>
          <w:rFonts w:asciiTheme="majorHAnsi" w:hAnsiTheme="majorHAnsi" w:cstheme="minorHAnsi"/>
          <w:sz w:val="24"/>
          <w:szCs w:val="24"/>
        </w:rPr>
        <w:t xml:space="preserve"> Astfel, deși unii își argumentează</w:t>
      </w:r>
      <w:r w:rsidR="007F338E" w:rsidRPr="00381DA2">
        <w:rPr>
          <w:rFonts w:asciiTheme="majorHAnsi" w:hAnsiTheme="majorHAnsi" w:cstheme="minorHAnsi"/>
          <w:sz w:val="24"/>
          <w:szCs w:val="24"/>
        </w:rPr>
        <w:t xml:space="preserve"> acțiunile întreprinse prin at</w:t>
      </w:r>
      <w:r w:rsidR="001C265A" w:rsidRPr="00381DA2">
        <w:rPr>
          <w:rFonts w:asciiTheme="majorHAnsi" w:hAnsiTheme="majorHAnsi" w:cstheme="minorHAnsi"/>
          <w:sz w:val="24"/>
          <w:szCs w:val="24"/>
        </w:rPr>
        <w:t>așarea actelor justificative</w:t>
      </w:r>
      <w:r w:rsidR="007F338E" w:rsidRPr="00381DA2">
        <w:rPr>
          <w:rFonts w:asciiTheme="majorHAnsi" w:hAnsiTheme="majorHAnsi" w:cstheme="minorHAnsi"/>
          <w:sz w:val="24"/>
          <w:szCs w:val="24"/>
        </w:rPr>
        <w:t>, alții nu</w:t>
      </w:r>
      <w:r w:rsidR="00624D83" w:rsidRPr="00381DA2">
        <w:rPr>
          <w:rFonts w:asciiTheme="majorHAnsi" w:hAnsiTheme="majorHAnsi" w:cstheme="minorHAnsi"/>
          <w:sz w:val="24"/>
          <w:szCs w:val="24"/>
        </w:rPr>
        <w:t xml:space="preserve">-și confirmă activitățile nici printr-un document </w:t>
      </w:r>
      <w:r w:rsidRPr="00381DA2">
        <w:rPr>
          <w:rFonts w:asciiTheme="majorHAnsi" w:hAnsiTheme="majorHAnsi" w:cstheme="minorHAnsi"/>
          <w:sz w:val="24"/>
          <w:szCs w:val="24"/>
        </w:rPr>
        <w:t>sau</w:t>
      </w:r>
      <w:r w:rsidR="00624D83" w:rsidRPr="00381DA2">
        <w:rPr>
          <w:rFonts w:asciiTheme="majorHAnsi" w:hAnsiTheme="majorHAnsi" w:cstheme="minorHAnsi"/>
          <w:sz w:val="24"/>
          <w:szCs w:val="24"/>
        </w:rPr>
        <w:t xml:space="preserve"> </w:t>
      </w:r>
      <w:r w:rsidR="00297071">
        <w:rPr>
          <w:rFonts w:asciiTheme="majorHAnsi" w:hAnsiTheme="majorHAnsi" w:cstheme="minorHAnsi"/>
          <w:sz w:val="24"/>
          <w:szCs w:val="24"/>
        </w:rPr>
        <w:t xml:space="preserve">atașează </w:t>
      </w:r>
      <w:r w:rsidR="00624D83" w:rsidRPr="00381DA2">
        <w:rPr>
          <w:rFonts w:asciiTheme="majorHAnsi" w:hAnsiTheme="majorHAnsi" w:cstheme="minorHAnsi"/>
          <w:sz w:val="24"/>
          <w:szCs w:val="24"/>
        </w:rPr>
        <w:t xml:space="preserve">selectiv </w:t>
      </w:r>
      <w:r w:rsidRPr="00381DA2">
        <w:rPr>
          <w:rFonts w:asciiTheme="majorHAnsi" w:hAnsiTheme="majorHAnsi" w:cstheme="minorHAnsi"/>
          <w:sz w:val="24"/>
          <w:szCs w:val="24"/>
        </w:rPr>
        <w:t>unele</w:t>
      </w:r>
      <w:r w:rsidR="00624D83" w:rsidRPr="00381DA2">
        <w:rPr>
          <w:rFonts w:asciiTheme="majorHAnsi" w:hAnsiTheme="majorHAnsi" w:cstheme="minorHAnsi"/>
          <w:sz w:val="24"/>
          <w:szCs w:val="24"/>
        </w:rPr>
        <w:t xml:space="preserve"> </w:t>
      </w:r>
      <w:r w:rsidR="00624D83" w:rsidRPr="00CB59BB">
        <w:rPr>
          <w:rFonts w:asciiTheme="majorHAnsi" w:hAnsiTheme="majorHAnsi" w:cstheme="minorHAnsi"/>
          <w:sz w:val="24"/>
          <w:szCs w:val="24"/>
        </w:rPr>
        <w:t>probe</w:t>
      </w:r>
      <w:r w:rsidR="007F338E" w:rsidRPr="00CB59BB">
        <w:rPr>
          <w:rFonts w:asciiTheme="majorHAnsi" w:hAnsiTheme="majorHAnsi" w:cstheme="minorHAnsi"/>
          <w:sz w:val="24"/>
          <w:szCs w:val="24"/>
        </w:rPr>
        <w:t>.</w:t>
      </w:r>
      <w:r w:rsidR="001C265A" w:rsidRPr="00CB59BB">
        <w:rPr>
          <w:rFonts w:asciiTheme="majorHAnsi" w:hAnsiTheme="majorHAnsi" w:cstheme="minorHAnsi"/>
          <w:sz w:val="24"/>
          <w:szCs w:val="24"/>
        </w:rPr>
        <w:t xml:space="preserve"> În aceste circumstanțe</w:t>
      </w:r>
      <w:r w:rsidR="00297071">
        <w:rPr>
          <w:rFonts w:asciiTheme="majorHAnsi" w:hAnsiTheme="majorHAnsi" w:cstheme="minorHAnsi"/>
          <w:sz w:val="24"/>
          <w:szCs w:val="24"/>
        </w:rPr>
        <w:t>,</w:t>
      </w:r>
      <w:r w:rsidR="001C265A" w:rsidRPr="00CB59BB">
        <w:rPr>
          <w:rFonts w:asciiTheme="majorHAnsi" w:hAnsiTheme="majorHAnsi" w:cstheme="minorHAnsi"/>
          <w:sz w:val="24"/>
          <w:szCs w:val="24"/>
        </w:rPr>
        <w:t xml:space="preserve"> lipsesc activitățile de control instituite care ar asigura conformitatea </w:t>
      </w:r>
      <w:r w:rsidR="00CB59BB" w:rsidRPr="00CB59BB">
        <w:rPr>
          <w:rFonts w:asciiTheme="majorHAnsi" w:hAnsiTheme="majorHAnsi" w:cstheme="minorHAnsi"/>
          <w:sz w:val="24"/>
          <w:szCs w:val="24"/>
        </w:rPr>
        <w:t>direcționării</w:t>
      </w:r>
      <w:r w:rsidR="001C265A" w:rsidRPr="00CB59BB">
        <w:rPr>
          <w:rFonts w:asciiTheme="majorHAnsi" w:hAnsiTheme="majorHAnsi" w:cstheme="minorHAnsi"/>
          <w:sz w:val="24"/>
          <w:szCs w:val="24"/>
        </w:rPr>
        <w:t xml:space="preserve"> mijloacelor bugetare</w:t>
      </w:r>
      <w:r w:rsidR="00CB59BB" w:rsidRPr="00CB59BB">
        <w:rPr>
          <w:rFonts w:asciiTheme="majorHAnsi" w:hAnsiTheme="majorHAnsi" w:cstheme="minorHAnsi"/>
          <w:sz w:val="24"/>
          <w:szCs w:val="24"/>
        </w:rPr>
        <w:t xml:space="preserve"> în acest scop</w:t>
      </w:r>
      <w:r w:rsidR="001C265A" w:rsidRPr="00CB59BB">
        <w:rPr>
          <w:rFonts w:asciiTheme="majorHAnsi" w:hAnsiTheme="majorHAnsi" w:cstheme="minorHAnsi"/>
          <w:sz w:val="24"/>
          <w:szCs w:val="24"/>
        </w:rPr>
        <w:t xml:space="preserve">. </w:t>
      </w:r>
      <w:r w:rsidR="007F338E" w:rsidRPr="00CB59BB">
        <w:rPr>
          <w:rFonts w:asciiTheme="majorHAnsi" w:hAnsiTheme="majorHAnsi" w:cstheme="minorHAnsi"/>
          <w:sz w:val="24"/>
          <w:szCs w:val="24"/>
        </w:rPr>
        <w:t xml:space="preserve"> </w:t>
      </w:r>
      <w:r w:rsidRPr="00CB59BB">
        <w:rPr>
          <w:rFonts w:asciiTheme="majorHAnsi" w:hAnsiTheme="majorHAnsi" w:cstheme="minorHAnsi"/>
          <w:sz w:val="24"/>
          <w:szCs w:val="24"/>
        </w:rPr>
        <w:t>Astfel</w:t>
      </w:r>
      <w:r w:rsidR="00297071">
        <w:rPr>
          <w:rFonts w:asciiTheme="majorHAnsi" w:hAnsiTheme="majorHAnsi" w:cstheme="minorHAnsi"/>
          <w:sz w:val="24"/>
          <w:szCs w:val="24"/>
        </w:rPr>
        <w:t>,</w:t>
      </w:r>
      <w:r w:rsidRPr="00CB59BB">
        <w:rPr>
          <w:rFonts w:asciiTheme="majorHAnsi" w:hAnsiTheme="majorHAnsi" w:cstheme="minorHAnsi"/>
          <w:sz w:val="24"/>
          <w:szCs w:val="24"/>
        </w:rPr>
        <w:t xml:space="preserve"> din 117 cazuri testate</w:t>
      </w:r>
      <w:r w:rsidR="00297071">
        <w:rPr>
          <w:rFonts w:asciiTheme="majorHAnsi" w:hAnsiTheme="majorHAnsi" w:cstheme="minorHAnsi"/>
          <w:sz w:val="24"/>
          <w:szCs w:val="24"/>
        </w:rPr>
        <w:t>,</w:t>
      </w:r>
      <w:r w:rsidRPr="00CB59BB">
        <w:rPr>
          <w:rFonts w:asciiTheme="majorHAnsi" w:hAnsiTheme="majorHAnsi" w:cstheme="minorHAnsi"/>
          <w:sz w:val="24"/>
          <w:szCs w:val="24"/>
        </w:rPr>
        <w:t xml:space="preserve"> în sumă de 162,5 mii lei</w:t>
      </w:r>
      <w:r w:rsidR="00297071">
        <w:rPr>
          <w:rFonts w:asciiTheme="majorHAnsi" w:hAnsiTheme="majorHAnsi" w:cstheme="minorHAnsi"/>
          <w:sz w:val="24"/>
          <w:szCs w:val="24"/>
        </w:rPr>
        <w:t>,</w:t>
      </w:r>
      <w:r w:rsidRPr="00CB59BB">
        <w:rPr>
          <w:rFonts w:asciiTheme="majorHAnsi" w:hAnsiTheme="majorHAnsi" w:cstheme="minorHAnsi"/>
          <w:sz w:val="24"/>
          <w:szCs w:val="24"/>
        </w:rPr>
        <w:t xml:space="preserve"> </w:t>
      </w:r>
      <w:r w:rsidR="00297071">
        <w:rPr>
          <w:rFonts w:asciiTheme="majorHAnsi" w:hAnsiTheme="majorHAnsi" w:cstheme="minorHAnsi"/>
          <w:sz w:val="24"/>
          <w:szCs w:val="24"/>
        </w:rPr>
        <w:t xml:space="preserve">se </w:t>
      </w:r>
      <w:r w:rsidR="00AF3072">
        <w:rPr>
          <w:rFonts w:asciiTheme="majorHAnsi" w:hAnsiTheme="majorHAnsi" w:cstheme="minorHAnsi"/>
          <w:sz w:val="24"/>
          <w:szCs w:val="24"/>
        </w:rPr>
        <w:t>denotă</w:t>
      </w:r>
      <w:r w:rsidRPr="00CB59BB">
        <w:rPr>
          <w:rFonts w:asciiTheme="majorHAnsi" w:hAnsiTheme="majorHAnsi" w:cstheme="minorHAnsi"/>
          <w:sz w:val="24"/>
          <w:szCs w:val="24"/>
        </w:rPr>
        <w:t>:</w:t>
      </w:r>
    </w:p>
    <w:p w14:paraId="0AABDB0E" w14:textId="3441D221" w:rsidR="00B907A3" w:rsidRPr="00381DA2" w:rsidRDefault="00297071" w:rsidP="003A66EF">
      <w:pPr>
        <w:pStyle w:val="ListParagraph"/>
        <w:numPr>
          <w:ilvl w:val="0"/>
          <w:numId w:val="21"/>
        </w:numPr>
        <w:tabs>
          <w:tab w:val="left" w:pos="360"/>
        </w:tabs>
        <w:spacing w:after="120" w:line="276" w:lineRule="auto"/>
        <w:ind w:left="360"/>
        <w:contextualSpacing w:val="0"/>
        <w:jc w:val="both"/>
        <w:rPr>
          <w:rFonts w:asciiTheme="majorHAnsi" w:hAnsiTheme="majorHAnsi" w:cstheme="minorHAnsi"/>
          <w:sz w:val="24"/>
          <w:szCs w:val="24"/>
        </w:rPr>
      </w:pPr>
      <w:r>
        <w:rPr>
          <w:rFonts w:asciiTheme="majorHAnsi" w:hAnsiTheme="majorHAnsi" w:cstheme="minorHAnsi"/>
          <w:sz w:val="24"/>
          <w:szCs w:val="24"/>
          <w:lang w:val="ro-MD"/>
        </w:rPr>
        <w:t>î</w:t>
      </w:r>
      <w:r w:rsidR="00B907A3" w:rsidRPr="00381DA2">
        <w:rPr>
          <w:rFonts w:asciiTheme="majorHAnsi" w:hAnsiTheme="majorHAnsi" w:cstheme="minorHAnsi"/>
          <w:sz w:val="24"/>
          <w:szCs w:val="24"/>
        </w:rPr>
        <w:t xml:space="preserve">n 57%, </w:t>
      </w:r>
      <w:r>
        <w:rPr>
          <w:rFonts w:asciiTheme="majorHAnsi" w:hAnsiTheme="majorHAnsi" w:cstheme="minorHAnsi"/>
          <w:sz w:val="24"/>
          <w:szCs w:val="24"/>
        </w:rPr>
        <w:t>sau</w:t>
      </w:r>
      <w:r w:rsidR="00B907A3" w:rsidRPr="00381DA2">
        <w:rPr>
          <w:rFonts w:asciiTheme="majorHAnsi" w:hAnsiTheme="majorHAnsi" w:cstheme="minorHAnsi"/>
          <w:sz w:val="24"/>
          <w:szCs w:val="24"/>
        </w:rPr>
        <w:t xml:space="preserve"> 80 de cazuri remunerate</w:t>
      </w:r>
      <w:r>
        <w:rPr>
          <w:rFonts w:asciiTheme="majorHAnsi" w:hAnsiTheme="majorHAnsi" w:cstheme="minorHAnsi"/>
          <w:sz w:val="24"/>
          <w:szCs w:val="24"/>
        </w:rPr>
        <w:t>,</w:t>
      </w:r>
      <w:r w:rsidR="00B907A3" w:rsidRPr="00381DA2">
        <w:rPr>
          <w:rFonts w:asciiTheme="majorHAnsi" w:hAnsiTheme="majorHAnsi" w:cstheme="minorHAnsi"/>
          <w:sz w:val="24"/>
          <w:szCs w:val="24"/>
        </w:rPr>
        <w:t xml:space="preserve"> în sumă de 92,5 mii lei – nu există nicio confirmare documentară atașată în SI al CNAJGS </w:t>
      </w:r>
      <w:r>
        <w:rPr>
          <w:rFonts w:asciiTheme="majorHAnsi" w:hAnsiTheme="majorHAnsi" w:cstheme="minorHAnsi"/>
          <w:sz w:val="24"/>
          <w:szCs w:val="24"/>
        </w:rPr>
        <w:t>pe</w:t>
      </w:r>
      <w:r w:rsidR="00B907A3" w:rsidRPr="00381DA2">
        <w:rPr>
          <w:rFonts w:asciiTheme="majorHAnsi" w:hAnsiTheme="majorHAnsi" w:cstheme="minorHAnsi"/>
          <w:sz w:val="24"/>
          <w:szCs w:val="24"/>
        </w:rPr>
        <w:t xml:space="preserve">ntru justificarea acțiunilor raportate de către avocați, astfel reliefându-se cazuri de utilizare a mijloacelor bugetare pentru remunerarea acestora în condiții incerte. Mai mult </w:t>
      </w:r>
      <w:r>
        <w:rPr>
          <w:rFonts w:asciiTheme="majorHAnsi" w:hAnsiTheme="majorHAnsi" w:cstheme="minorHAnsi"/>
          <w:sz w:val="24"/>
          <w:szCs w:val="24"/>
        </w:rPr>
        <w:t>decât</w:t>
      </w:r>
      <w:r w:rsidR="00B907A3" w:rsidRPr="00381DA2">
        <w:rPr>
          <w:rFonts w:asciiTheme="majorHAnsi" w:hAnsiTheme="majorHAnsi" w:cstheme="minorHAnsi"/>
          <w:sz w:val="24"/>
          <w:szCs w:val="24"/>
        </w:rPr>
        <w:t xml:space="preserve"> atât, potrivit normelor interne</w:t>
      </w:r>
      <w:r w:rsidR="00B907A3" w:rsidRPr="00381DA2">
        <w:rPr>
          <w:rStyle w:val="FootnoteReference"/>
          <w:rFonts w:asciiTheme="majorHAnsi" w:hAnsiTheme="majorHAnsi" w:cstheme="minorHAnsi"/>
        </w:rPr>
        <w:footnoteReference w:id="48"/>
      </w:r>
      <w:r w:rsidR="00B907A3" w:rsidRPr="00381DA2">
        <w:rPr>
          <w:rFonts w:asciiTheme="majorHAnsi" w:hAnsiTheme="majorHAnsi" w:cstheme="minorHAnsi"/>
          <w:sz w:val="24"/>
          <w:szCs w:val="24"/>
        </w:rPr>
        <w:t xml:space="preserve">, în cazul în care constată calcularea eronată a remunerării </w:t>
      </w:r>
      <w:r w:rsidR="00AF3072">
        <w:rPr>
          <w:rFonts w:asciiTheme="majorHAnsi" w:hAnsiTheme="majorHAnsi" w:cstheme="minorHAnsi"/>
          <w:sz w:val="24"/>
          <w:szCs w:val="24"/>
        </w:rPr>
        <w:t>avocatului</w:t>
      </w:r>
      <w:r w:rsidR="00B907A3" w:rsidRPr="00381DA2">
        <w:rPr>
          <w:rFonts w:asciiTheme="majorHAnsi" w:hAnsiTheme="majorHAnsi" w:cstheme="minorHAnsi"/>
          <w:sz w:val="24"/>
          <w:szCs w:val="24"/>
        </w:rPr>
        <w:t xml:space="preserve">, </w:t>
      </w:r>
      <w:r>
        <w:rPr>
          <w:rFonts w:asciiTheme="majorHAnsi" w:hAnsiTheme="majorHAnsi" w:cstheme="minorHAnsi"/>
          <w:sz w:val="24"/>
          <w:szCs w:val="24"/>
        </w:rPr>
        <w:t xml:space="preserve">OT </w:t>
      </w:r>
      <w:r w:rsidR="00B907A3" w:rsidRPr="00381DA2">
        <w:rPr>
          <w:rFonts w:asciiTheme="majorHAnsi" w:hAnsiTheme="majorHAnsi" w:cstheme="minorHAnsi"/>
          <w:sz w:val="24"/>
          <w:szCs w:val="24"/>
        </w:rPr>
        <w:t xml:space="preserve">este în drept să rectifice erorile identificate în rapoarte, </w:t>
      </w:r>
      <w:r>
        <w:rPr>
          <w:rFonts w:asciiTheme="majorHAnsi" w:hAnsiTheme="majorHAnsi" w:cstheme="minorHAnsi"/>
          <w:sz w:val="24"/>
          <w:szCs w:val="24"/>
        </w:rPr>
        <w:t xml:space="preserve">în caz contrar </w:t>
      </w:r>
      <w:r w:rsidR="00B907A3" w:rsidRPr="00381DA2">
        <w:rPr>
          <w:rFonts w:asciiTheme="majorHAnsi" w:hAnsiTheme="majorHAnsi" w:cstheme="minorHAnsi"/>
          <w:sz w:val="24"/>
          <w:szCs w:val="24"/>
        </w:rPr>
        <w:t xml:space="preserve">constatându-se </w:t>
      </w:r>
      <w:proofErr w:type="spellStart"/>
      <w:r w:rsidR="00B907A3" w:rsidRPr="00381DA2">
        <w:rPr>
          <w:rFonts w:asciiTheme="majorHAnsi" w:hAnsiTheme="majorHAnsi" w:cstheme="minorHAnsi"/>
          <w:sz w:val="24"/>
          <w:szCs w:val="24"/>
        </w:rPr>
        <w:t>nefuncționalitatea</w:t>
      </w:r>
      <w:proofErr w:type="spellEnd"/>
      <w:r w:rsidR="00B907A3" w:rsidRPr="00381DA2">
        <w:rPr>
          <w:rFonts w:asciiTheme="majorHAnsi" w:hAnsiTheme="majorHAnsi" w:cstheme="minorHAnsi"/>
          <w:sz w:val="24"/>
          <w:szCs w:val="24"/>
        </w:rPr>
        <w:t xml:space="preserve"> acestei activități de control pentru situațiile examinate supra</w:t>
      </w:r>
      <w:r w:rsidR="009D7334">
        <w:rPr>
          <w:rFonts w:asciiTheme="majorHAnsi" w:hAnsiTheme="majorHAnsi" w:cstheme="minorHAnsi"/>
          <w:sz w:val="24"/>
          <w:szCs w:val="24"/>
        </w:rPr>
        <w:t>;</w:t>
      </w:r>
      <w:r w:rsidR="00B907A3" w:rsidRPr="00381DA2">
        <w:rPr>
          <w:rFonts w:asciiTheme="majorHAnsi" w:hAnsiTheme="majorHAnsi" w:cstheme="minorHAnsi"/>
          <w:sz w:val="24"/>
          <w:szCs w:val="24"/>
        </w:rPr>
        <w:t xml:space="preserve"> </w:t>
      </w:r>
    </w:p>
    <w:p w14:paraId="7DFF5AF5" w14:textId="57692D5B" w:rsidR="00B907A3" w:rsidRPr="00381DA2" w:rsidRDefault="009D7334" w:rsidP="003A66EF">
      <w:pPr>
        <w:pStyle w:val="ListParagraph"/>
        <w:numPr>
          <w:ilvl w:val="0"/>
          <w:numId w:val="21"/>
        </w:numPr>
        <w:tabs>
          <w:tab w:val="left" w:pos="360"/>
        </w:tabs>
        <w:spacing w:line="276" w:lineRule="auto"/>
        <w:ind w:left="360"/>
        <w:contextualSpacing w:val="0"/>
        <w:jc w:val="both"/>
        <w:rPr>
          <w:rFonts w:asciiTheme="majorHAnsi" w:hAnsiTheme="majorHAnsi" w:cstheme="minorHAnsi"/>
          <w:sz w:val="24"/>
          <w:szCs w:val="24"/>
        </w:rPr>
      </w:pPr>
      <w:r>
        <w:rPr>
          <w:rFonts w:asciiTheme="majorHAnsi" w:hAnsiTheme="majorHAnsi" w:cstheme="minorHAnsi"/>
          <w:sz w:val="24"/>
          <w:szCs w:val="24"/>
        </w:rPr>
        <w:t>î</w:t>
      </w:r>
      <w:r w:rsidR="00B907A3" w:rsidRPr="00381DA2">
        <w:rPr>
          <w:rFonts w:asciiTheme="majorHAnsi" w:hAnsiTheme="majorHAnsi" w:cstheme="minorHAnsi"/>
          <w:sz w:val="24"/>
          <w:szCs w:val="24"/>
          <w:lang w:val="ro-MD"/>
        </w:rPr>
        <w:t>n</w:t>
      </w:r>
      <w:r w:rsidR="00B907A3" w:rsidRPr="00381DA2">
        <w:rPr>
          <w:rFonts w:asciiTheme="majorHAnsi" w:hAnsiTheme="majorHAnsi" w:cstheme="minorHAnsi"/>
          <w:sz w:val="24"/>
          <w:szCs w:val="24"/>
        </w:rPr>
        <w:t xml:space="preserve"> alte 43% din eșantionul verificat</w:t>
      </w:r>
      <w:r>
        <w:rPr>
          <w:rFonts w:asciiTheme="majorHAnsi" w:hAnsiTheme="majorHAnsi" w:cstheme="minorHAnsi"/>
          <w:sz w:val="24"/>
          <w:szCs w:val="24"/>
        </w:rPr>
        <w:t>,</w:t>
      </w:r>
      <w:r w:rsidR="00B907A3" w:rsidRPr="00381DA2">
        <w:rPr>
          <w:rFonts w:asciiTheme="majorHAnsi" w:hAnsiTheme="majorHAnsi" w:cstheme="minorHAnsi"/>
          <w:sz w:val="24"/>
          <w:szCs w:val="24"/>
        </w:rPr>
        <w:t xml:space="preserve"> în sumă de 70,0 mii lei – avocații au atașat </w:t>
      </w:r>
      <w:r w:rsidRPr="00381DA2">
        <w:rPr>
          <w:rFonts w:asciiTheme="majorHAnsi" w:hAnsiTheme="majorHAnsi" w:cstheme="minorHAnsi"/>
          <w:sz w:val="24"/>
          <w:szCs w:val="24"/>
        </w:rPr>
        <w:t xml:space="preserve">selectiv </w:t>
      </w:r>
      <w:r w:rsidR="00B907A3" w:rsidRPr="00381DA2">
        <w:rPr>
          <w:rFonts w:asciiTheme="majorHAnsi" w:hAnsiTheme="majorHAnsi" w:cstheme="minorHAnsi"/>
          <w:sz w:val="24"/>
          <w:szCs w:val="24"/>
        </w:rPr>
        <w:t>unele documente la dosarele electronice din SI al CNAJGS.  În principal, se atestă lipsa actelor care ar confirma executarea următoarelor acțiuni: participarea în ședințele instanțelor de judecată</w:t>
      </w:r>
      <w:r w:rsidR="00B907A3" w:rsidRPr="00381DA2">
        <w:rPr>
          <w:rStyle w:val="FootnoteReference"/>
          <w:rFonts w:asciiTheme="majorHAnsi" w:hAnsiTheme="majorHAnsi" w:cstheme="minorHAnsi"/>
          <w:sz w:val="24"/>
          <w:szCs w:val="24"/>
        </w:rPr>
        <w:footnoteReference w:id="49"/>
      </w:r>
      <w:r w:rsidR="00B907A3" w:rsidRPr="00381DA2">
        <w:rPr>
          <w:rFonts w:asciiTheme="majorHAnsi" w:hAnsiTheme="majorHAnsi" w:cstheme="minorHAnsi"/>
          <w:sz w:val="24"/>
          <w:szCs w:val="24"/>
        </w:rPr>
        <w:t xml:space="preserve">, </w:t>
      </w:r>
      <w:r w:rsidR="00B907A3" w:rsidRPr="002E3358">
        <w:rPr>
          <w:rFonts w:asciiTheme="majorHAnsi" w:hAnsiTheme="majorHAnsi" w:cstheme="minorHAnsi"/>
          <w:sz w:val="24"/>
          <w:szCs w:val="24"/>
        </w:rPr>
        <w:t>acțiuni premergătoare/posterioare efectuării expertizei, vizitele la penitenciar, interviul inițial cu beneficiarul, confirmarea acordării AJGS.</w:t>
      </w:r>
      <w:r w:rsidR="00B907A3" w:rsidRPr="00381DA2">
        <w:rPr>
          <w:rFonts w:asciiTheme="majorHAnsi" w:hAnsiTheme="majorHAnsi" w:cstheme="minorHAnsi"/>
          <w:sz w:val="24"/>
          <w:szCs w:val="24"/>
        </w:rPr>
        <w:t xml:space="preserve">  </w:t>
      </w:r>
    </w:p>
    <w:p w14:paraId="48517605" w14:textId="7D93F0A9" w:rsidR="00B907A3" w:rsidRPr="00381DA2" w:rsidRDefault="00B907A3" w:rsidP="003A66EF">
      <w:pPr>
        <w:pStyle w:val="ListParagraph"/>
        <w:tabs>
          <w:tab w:val="left" w:pos="360"/>
        </w:tabs>
        <w:spacing w:after="120" w:line="276" w:lineRule="auto"/>
        <w:ind w:left="360"/>
        <w:contextualSpacing w:val="0"/>
        <w:jc w:val="both"/>
        <w:rPr>
          <w:rFonts w:asciiTheme="majorHAnsi" w:hAnsiTheme="majorHAnsi" w:cstheme="minorHAnsi"/>
          <w:sz w:val="24"/>
          <w:szCs w:val="24"/>
        </w:rPr>
      </w:pPr>
      <w:r w:rsidRPr="00381DA2">
        <w:rPr>
          <w:rFonts w:asciiTheme="majorHAnsi" w:hAnsiTheme="majorHAnsi" w:cstheme="minorHAnsi"/>
          <w:sz w:val="24"/>
          <w:szCs w:val="24"/>
        </w:rPr>
        <w:t xml:space="preserve">Mai mult </w:t>
      </w:r>
      <w:r w:rsidR="009D7334">
        <w:rPr>
          <w:rFonts w:asciiTheme="majorHAnsi" w:hAnsiTheme="majorHAnsi" w:cstheme="minorHAnsi"/>
          <w:sz w:val="24"/>
          <w:szCs w:val="24"/>
        </w:rPr>
        <w:t>decât</w:t>
      </w:r>
      <w:r w:rsidR="009D7334" w:rsidRPr="00381DA2">
        <w:rPr>
          <w:rFonts w:asciiTheme="majorHAnsi" w:hAnsiTheme="majorHAnsi" w:cstheme="minorHAnsi"/>
          <w:sz w:val="24"/>
          <w:szCs w:val="24"/>
        </w:rPr>
        <w:t xml:space="preserve"> </w:t>
      </w:r>
      <w:r w:rsidR="0082226F" w:rsidRPr="00381DA2">
        <w:rPr>
          <w:rFonts w:asciiTheme="majorHAnsi" w:hAnsiTheme="majorHAnsi" w:cstheme="minorHAnsi"/>
          <w:sz w:val="24"/>
          <w:szCs w:val="24"/>
        </w:rPr>
        <w:t>atât</w:t>
      </w:r>
      <w:r w:rsidRPr="00381DA2">
        <w:rPr>
          <w:rFonts w:asciiTheme="majorHAnsi" w:hAnsiTheme="majorHAnsi" w:cstheme="minorHAnsi"/>
          <w:sz w:val="24"/>
          <w:szCs w:val="24"/>
        </w:rPr>
        <w:t>, potrivit reglementărilor CNAJGS</w:t>
      </w:r>
      <w:r w:rsidRPr="00381DA2">
        <w:rPr>
          <w:rStyle w:val="FootnoteReference"/>
          <w:rFonts w:asciiTheme="majorHAnsi" w:hAnsiTheme="majorHAnsi" w:cstheme="minorHAnsi"/>
        </w:rPr>
        <w:footnoteReference w:id="50"/>
      </w:r>
      <w:r w:rsidRPr="00381DA2">
        <w:rPr>
          <w:rFonts w:asciiTheme="majorHAnsi" w:hAnsiTheme="majorHAnsi" w:cstheme="minorHAnsi"/>
          <w:sz w:val="24"/>
          <w:szCs w:val="24"/>
        </w:rPr>
        <w:t xml:space="preserve">, avocatul este obligat să dețină dosarele în apărare conform modelului prestabilit. </w:t>
      </w:r>
      <w:r w:rsidR="009D7334">
        <w:rPr>
          <w:rFonts w:asciiTheme="majorHAnsi" w:hAnsiTheme="majorHAnsi" w:cstheme="minorHAnsi"/>
          <w:sz w:val="24"/>
          <w:szCs w:val="24"/>
        </w:rPr>
        <w:t>Ca u</w:t>
      </w:r>
      <w:r w:rsidRPr="00381DA2">
        <w:rPr>
          <w:rFonts w:asciiTheme="majorHAnsi" w:hAnsiTheme="majorHAnsi" w:cstheme="minorHAnsi"/>
          <w:sz w:val="24"/>
          <w:szCs w:val="24"/>
        </w:rPr>
        <w:t xml:space="preserve">rmare </w:t>
      </w:r>
      <w:r w:rsidR="009D7334">
        <w:rPr>
          <w:rFonts w:asciiTheme="majorHAnsi" w:hAnsiTheme="majorHAnsi" w:cstheme="minorHAnsi"/>
          <w:sz w:val="24"/>
          <w:szCs w:val="24"/>
        </w:rPr>
        <w:t xml:space="preserve">a </w:t>
      </w:r>
      <w:r w:rsidRPr="00381DA2">
        <w:rPr>
          <w:rFonts w:asciiTheme="majorHAnsi" w:hAnsiTheme="majorHAnsi" w:cstheme="minorHAnsi"/>
          <w:sz w:val="24"/>
          <w:szCs w:val="24"/>
        </w:rPr>
        <w:t>observațiilor de audit, se atestă și situații</w:t>
      </w:r>
      <w:r w:rsidRPr="00381DA2">
        <w:rPr>
          <w:rStyle w:val="FootnoteReference"/>
          <w:rFonts w:asciiTheme="majorHAnsi" w:hAnsiTheme="majorHAnsi" w:cstheme="minorHAnsi"/>
        </w:rPr>
        <w:footnoteReference w:id="51"/>
      </w:r>
      <w:r w:rsidRPr="00381DA2">
        <w:rPr>
          <w:rFonts w:asciiTheme="majorHAnsi" w:hAnsiTheme="majorHAnsi" w:cstheme="minorHAnsi"/>
          <w:sz w:val="24"/>
          <w:szCs w:val="24"/>
        </w:rPr>
        <w:t xml:space="preserve"> în care apărătorii nu au asigurat ținerea conformă a dosarului în apărare pe cauzele gestionate, constatându-se lipsa unor documente de confirmare a următoarelor acțiuni remunerate: interviul inițial cu beneficiarul;  acordarea AJGS /explic</w:t>
      </w:r>
      <w:r w:rsidR="009D7334">
        <w:rPr>
          <w:rFonts w:asciiTheme="majorHAnsi" w:hAnsiTheme="majorHAnsi" w:cstheme="minorHAnsi"/>
          <w:sz w:val="24"/>
          <w:szCs w:val="24"/>
        </w:rPr>
        <w:t>area</w:t>
      </w:r>
      <w:r w:rsidRPr="00381DA2">
        <w:rPr>
          <w:rFonts w:asciiTheme="majorHAnsi" w:hAnsiTheme="majorHAnsi" w:cstheme="minorHAnsi"/>
          <w:sz w:val="24"/>
          <w:szCs w:val="24"/>
        </w:rPr>
        <w:t xml:space="preserve"> beneficiarului a hotărârii judecătorești/deciziei/sentinței judecătorești</w:t>
      </w:r>
      <w:r w:rsidR="009D7334">
        <w:rPr>
          <w:rFonts w:asciiTheme="majorHAnsi" w:hAnsiTheme="majorHAnsi" w:cstheme="minorHAnsi"/>
          <w:sz w:val="24"/>
          <w:szCs w:val="24"/>
        </w:rPr>
        <w:t>,</w:t>
      </w:r>
      <w:r w:rsidRPr="00381DA2">
        <w:rPr>
          <w:rFonts w:asciiTheme="majorHAnsi" w:hAnsiTheme="majorHAnsi" w:cstheme="minorHAnsi"/>
          <w:sz w:val="24"/>
          <w:szCs w:val="24"/>
        </w:rPr>
        <w:t xml:space="preserve"> precum și înscrierea în borderou a tuturor documentelor pe cauză</w:t>
      </w:r>
      <w:r w:rsidR="009D7334">
        <w:rPr>
          <w:rFonts w:asciiTheme="majorHAnsi" w:hAnsiTheme="majorHAnsi" w:cstheme="minorHAnsi"/>
          <w:sz w:val="24"/>
          <w:szCs w:val="24"/>
        </w:rPr>
        <w:t>;</w:t>
      </w:r>
    </w:p>
    <w:p w14:paraId="782971F5" w14:textId="4D805060" w:rsidR="00B907A3" w:rsidRPr="00381DA2" w:rsidRDefault="009D7334" w:rsidP="003A66EF">
      <w:pPr>
        <w:pStyle w:val="ListParagraph"/>
        <w:numPr>
          <w:ilvl w:val="0"/>
          <w:numId w:val="21"/>
        </w:numPr>
        <w:tabs>
          <w:tab w:val="left" w:pos="360"/>
          <w:tab w:val="left" w:pos="450"/>
        </w:tabs>
        <w:spacing w:after="120" w:line="276" w:lineRule="auto"/>
        <w:ind w:left="360"/>
        <w:contextualSpacing w:val="0"/>
        <w:jc w:val="both"/>
        <w:rPr>
          <w:rFonts w:asciiTheme="majorHAnsi" w:hAnsiTheme="majorHAnsi" w:cstheme="minorHAnsi"/>
          <w:sz w:val="24"/>
          <w:szCs w:val="24"/>
          <w:lang w:val="ro-MD"/>
        </w:rPr>
      </w:pPr>
      <w:r>
        <w:rPr>
          <w:rFonts w:asciiTheme="majorHAnsi" w:hAnsiTheme="majorHAnsi" w:cstheme="minorHAnsi"/>
          <w:sz w:val="24"/>
          <w:szCs w:val="24"/>
        </w:rPr>
        <w:t>t</w:t>
      </w:r>
      <w:r w:rsidR="00B907A3" w:rsidRPr="00381DA2">
        <w:rPr>
          <w:rFonts w:asciiTheme="majorHAnsi" w:hAnsiTheme="majorHAnsi" w:cstheme="minorHAnsi"/>
          <w:sz w:val="24"/>
          <w:szCs w:val="24"/>
        </w:rPr>
        <w:t>estările de audit pe un eșantion limitat atestă cazuri de achitare neconformă și defectuoasă a unor acțiuni raportate de avocați</w:t>
      </w:r>
      <w:r w:rsidR="00754E37" w:rsidRPr="00381DA2">
        <w:rPr>
          <w:rFonts w:asciiTheme="majorHAnsi" w:hAnsiTheme="majorHAnsi" w:cstheme="minorHAnsi"/>
          <w:sz w:val="24"/>
          <w:szCs w:val="24"/>
        </w:rPr>
        <w:t xml:space="preserve">. Deși cheltuielile aferente acestora </w:t>
      </w:r>
      <w:r w:rsidR="0082226F" w:rsidRPr="00381DA2">
        <w:rPr>
          <w:rFonts w:asciiTheme="majorHAnsi" w:hAnsiTheme="majorHAnsi" w:cstheme="minorHAnsi"/>
          <w:sz w:val="24"/>
          <w:szCs w:val="24"/>
        </w:rPr>
        <w:t>s</w:t>
      </w:r>
      <w:r>
        <w:rPr>
          <w:rFonts w:asciiTheme="majorHAnsi" w:hAnsiTheme="majorHAnsi" w:cstheme="minorHAnsi"/>
          <w:sz w:val="24"/>
          <w:szCs w:val="24"/>
        </w:rPr>
        <w:t>u</w:t>
      </w:r>
      <w:r w:rsidR="0082226F" w:rsidRPr="00381DA2">
        <w:rPr>
          <w:rFonts w:asciiTheme="majorHAnsi" w:hAnsiTheme="majorHAnsi" w:cstheme="minorHAnsi"/>
          <w:sz w:val="24"/>
          <w:szCs w:val="24"/>
        </w:rPr>
        <w:t>nt</w:t>
      </w:r>
      <w:r w:rsidR="00754E37" w:rsidRPr="00381DA2">
        <w:rPr>
          <w:rFonts w:asciiTheme="majorHAnsi" w:hAnsiTheme="majorHAnsi" w:cstheme="minorHAnsi"/>
          <w:sz w:val="24"/>
          <w:szCs w:val="24"/>
        </w:rPr>
        <w:t xml:space="preserve"> </w:t>
      </w:r>
      <w:r w:rsidR="00B907A3" w:rsidRPr="00381DA2">
        <w:rPr>
          <w:rFonts w:asciiTheme="majorHAnsi" w:hAnsiTheme="majorHAnsi" w:cstheme="minorHAnsi"/>
          <w:sz w:val="24"/>
          <w:szCs w:val="24"/>
        </w:rPr>
        <w:t>nesemnificativ</w:t>
      </w:r>
      <w:r w:rsidR="00754E37" w:rsidRPr="00381DA2">
        <w:rPr>
          <w:rFonts w:asciiTheme="majorHAnsi" w:hAnsiTheme="majorHAnsi" w:cstheme="minorHAnsi"/>
          <w:sz w:val="24"/>
          <w:szCs w:val="24"/>
        </w:rPr>
        <w:t>e</w:t>
      </w:r>
      <w:r w:rsidR="00B907A3" w:rsidRPr="00381DA2">
        <w:rPr>
          <w:rFonts w:asciiTheme="majorHAnsi" w:hAnsiTheme="majorHAnsi" w:cstheme="minorHAnsi"/>
          <w:sz w:val="24"/>
          <w:szCs w:val="24"/>
        </w:rPr>
        <w:t xml:space="preserve"> d</w:t>
      </w:r>
      <w:r w:rsidR="00754E37" w:rsidRPr="00381DA2">
        <w:rPr>
          <w:rFonts w:asciiTheme="majorHAnsi" w:hAnsiTheme="majorHAnsi" w:cstheme="minorHAnsi"/>
          <w:sz w:val="24"/>
          <w:szCs w:val="24"/>
        </w:rPr>
        <w:t>in punct</w:t>
      </w:r>
      <w:r>
        <w:rPr>
          <w:rFonts w:asciiTheme="majorHAnsi" w:hAnsiTheme="majorHAnsi" w:cstheme="minorHAnsi"/>
          <w:sz w:val="24"/>
          <w:szCs w:val="24"/>
        </w:rPr>
        <w:t>ul</w:t>
      </w:r>
      <w:r w:rsidR="00754E37" w:rsidRPr="00381DA2">
        <w:rPr>
          <w:rFonts w:asciiTheme="majorHAnsi" w:hAnsiTheme="majorHAnsi" w:cstheme="minorHAnsi"/>
          <w:sz w:val="24"/>
          <w:szCs w:val="24"/>
        </w:rPr>
        <w:t xml:space="preserve"> de vedere a</w:t>
      </w:r>
      <w:r>
        <w:rPr>
          <w:rFonts w:asciiTheme="majorHAnsi" w:hAnsiTheme="majorHAnsi" w:cstheme="minorHAnsi"/>
          <w:sz w:val="24"/>
          <w:szCs w:val="24"/>
        </w:rPr>
        <w:t>l</w:t>
      </w:r>
      <w:r w:rsidR="00754E37" w:rsidRPr="00381DA2">
        <w:rPr>
          <w:rFonts w:asciiTheme="majorHAnsi" w:hAnsiTheme="majorHAnsi" w:cstheme="minorHAnsi"/>
          <w:sz w:val="24"/>
          <w:szCs w:val="24"/>
        </w:rPr>
        <w:t xml:space="preserve"> costurilor</w:t>
      </w:r>
      <w:r w:rsidR="00B907A3" w:rsidRPr="00381DA2">
        <w:rPr>
          <w:rFonts w:asciiTheme="majorHAnsi" w:hAnsiTheme="majorHAnsi" w:cstheme="minorHAnsi"/>
          <w:sz w:val="24"/>
          <w:szCs w:val="24"/>
        </w:rPr>
        <w:t xml:space="preserve">, auditul consideră oportun de a le </w:t>
      </w:r>
      <w:r w:rsidR="00B907A3" w:rsidRPr="00C51D86">
        <w:rPr>
          <w:rFonts w:asciiTheme="majorHAnsi" w:hAnsiTheme="majorHAnsi" w:cstheme="minorHAnsi"/>
          <w:sz w:val="24"/>
          <w:szCs w:val="24"/>
        </w:rPr>
        <w:t xml:space="preserve">menționa </w:t>
      </w:r>
      <w:r w:rsidR="00B907A3" w:rsidRPr="009B2BA2">
        <w:rPr>
          <w:rFonts w:asciiTheme="majorHAnsi" w:hAnsiTheme="majorHAnsi" w:cstheme="minorHAnsi"/>
          <w:sz w:val="24"/>
          <w:szCs w:val="24"/>
        </w:rPr>
        <w:t xml:space="preserve">prin contextul </w:t>
      </w:r>
      <w:r w:rsidRPr="009B2BA2">
        <w:rPr>
          <w:rFonts w:asciiTheme="majorHAnsi" w:hAnsiTheme="majorHAnsi" w:cstheme="minorHAnsi"/>
          <w:sz w:val="24"/>
          <w:szCs w:val="24"/>
        </w:rPr>
        <w:t>lor</w:t>
      </w:r>
      <w:r w:rsidR="00754E37" w:rsidRPr="00C51D86">
        <w:rPr>
          <w:rFonts w:asciiTheme="majorHAnsi" w:hAnsiTheme="majorHAnsi" w:cstheme="minorHAnsi"/>
          <w:sz w:val="24"/>
          <w:szCs w:val="24"/>
        </w:rPr>
        <w:t>,</w:t>
      </w:r>
      <w:r w:rsidR="00754E37" w:rsidRPr="00381DA2">
        <w:rPr>
          <w:rFonts w:asciiTheme="majorHAnsi" w:hAnsiTheme="majorHAnsi" w:cstheme="minorHAnsi"/>
          <w:sz w:val="24"/>
          <w:szCs w:val="24"/>
        </w:rPr>
        <w:t xml:space="preserve"> </w:t>
      </w:r>
      <w:r w:rsidR="00754E37" w:rsidRPr="00381DA2">
        <w:rPr>
          <w:rFonts w:asciiTheme="majorHAnsi" w:hAnsiTheme="majorHAnsi" w:cstheme="minorHAnsi"/>
          <w:sz w:val="24"/>
          <w:szCs w:val="24"/>
        </w:rPr>
        <w:lastRenderedPageBreak/>
        <w:t xml:space="preserve">în scopul eradicării </w:t>
      </w:r>
      <w:r>
        <w:rPr>
          <w:rFonts w:asciiTheme="majorHAnsi" w:hAnsiTheme="majorHAnsi" w:cstheme="minorHAnsi"/>
          <w:sz w:val="24"/>
          <w:szCs w:val="24"/>
        </w:rPr>
        <w:t>acestora</w:t>
      </w:r>
      <w:r w:rsidR="00B907A3" w:rsidRPr="00381DA2">
        <w:rPr>
          <w:rFonts w:asciiTheme="majorHAnsi" w:hAnsiTheme="majorHAnsi" w:cstheme="minorHAnsi"/>
          <w:sz w:val="24"/>
          <w:szCs w:val="24"/>
        </w:rPr>
        <w:t>, inclusiv prin implementarea unor soluții automatizate, ceea ce ar asigura utilizarea rațională a banului public. Astfel se constată</w:t>
      </w:r>
      <w:r>
        <w:rPr>
          <w:rFonts w:asciiTheme="majorHAnsi" w:hAnsiTheme="majorHAnsi" w:cstheme="minorHAnsi"/>
          <w:sz w:val="24"/>
          <w:szCs w:val="24"/>
        </w:rPr>
        <w:t>,</w:t>
      </w:r>
      <w:r w:rsidR="00B907A3" w:rsidRPr="00381DA2">
        <w:rPr>
          <w:rFonts w:asciiTheme="majorHAnsi" w:hAnsiTheme="majorHAnsi" w:cstheme="minorHAnsi"/>
          <w:sz w:val="24"/>
          <w:szCs w:val="24"/>
        </w:rPr>
        <w:t xml:space="preserve"> </w:t>
      </w:r>
    </w:p>
    <w:p w14:paraId="6905C388" w14:textId="6E9D70D1" w:rsidR="00214753" w:rsidRPr="00381DA2" w:rsidRDefault="00B907A3" w:rsidP="003A66EF">
      <w:pPr>
        <w:pStyle w:val="ListParagraph"/>
        <w:numPr>
          <w:ilvl w:val="0"/>
          <w:numId w:val="35"/>
        </w:numPr>
        <w:tabs>
          <w:tab w:val="left" w:pos="360"/>
          <w:tab w:val="left" w:pos="450"/>
        </w:tabs>
        <w:spacing w:after="120" w:line="276" w:lineRule="auto"/>
        <w:ind w:left="720"/>
        <w:contextualSpacing w:val="0"/>
        <w:jc w:val="both"/>
        <w:rPr>
          <w:rFonts w:asciiTheme="majorHAnsi" w:hAnsiTheme="majorHAnsi" w:cstheme="minorHAnsi"/>
          <w:sz w:val="24"/>
          <w:szCs w:val="24"/>
          <w:lang w:val="ro-MD"/>
        </w:rPr>
      </w:pPr>
      <w:r w:rsidRPr="00381DA2">
        <w:rPr>
          <w:rFonts w:asciiTheme="majorHAnsi" w:hAnsiTheme="majorHAnsi" w:cstheme="minorHAnsi"/>
          <w:i/>
          <w:sz w:val="24"/>
          <w:szCs w:val="24"/>
        </w:rPr>
        <w:t xml:space="preserve">achitarea dublă a unor acțiuni realizate și raportate </w:t>
      </w:r>
      <w:r w:rsidR="00B56208">
        <w:rPr>
          <w:rFonts w:asciiTheme="majorHAnsi" w:hAnsiTheme="majorHAnsi" w:cstheme="minorHAnsi"/>
          <w:i/>
          <w:sz w:val="24"/>
          <w:szCs w:val="24"/>
        </w:rPr>
        <w:t xml:space="preserve">ca </w:t>
      </w:r>
      <w:r w:rsidRPr="00381DA2">
        <w:rPr>
          <w:rFonts w:asciiTheme="majorHAnsi" w:hAnsiTheme="majorHAnsi" w:cstheme="minorHAnsi"/>
          <w:i/>
          <w:sz w:val="24"/>
          <w:szCs w:val="24"/>
        </w:rPr>
        <w:t xml:space="preserve">urmare </w:t>
      </w:r>
      <w:r w:rsidR="00B56208">
        <w:rPr>
          <w:rFonts w:asciiTheme="majorHAnsi" w:hAnsiTheme="majorHAnsi" w:cstheme="minorHAnsi"/>
          <w:i/>
          <w:sz w:val="24"/>
          <w:szCs w:val="24"/>
        </w:rPr>
        <w:t xml:space="preserve">a </w:t>
      </w:r>
      <w:r w:rsidRPr="00381DA2">
        <w:rPr>
          <w:rFonts w:asciiTheme="majorHAnsi" w:hAnsiTheme="majorHAnsi" w:cstheme="minorHAnsi"/>
          <w:i/>
          <w:sz w:val="24"/>
          <w:szCs w:val="24"/>
        </w:rPr>
        <w:t>desemnării a doi avocați pe ace</w:t>
      </w:r>
      <w:r w:rsidR="00B56208">
        <w:rPr>
          <w:rFonts w:asciiTheme="majorHAnsi" w:hAnsiTheme="majorHAnsi" w:cstheme="minorHAnsi"/>
          <w:i/>
          <w:sz w:val="24"/>
          <w:szCs w:val="24"/>
        </w:rPr>
        <w:t>e</w:t>
      </w:r>
      <w:r w:rsidRPr="00381DA2">
        <w:rPr>
          <w:rFonts w:asciiTheme="majorHAnsi" w:hAnsiTheme="majorHAnsi" w:cstheme="minorHAnsi"/>
          <w:i/>
          <w:sz w:val="24"/>
          <w:szCs w:val="24"/>
        </w:rPr>
        <w:t>ași cauză de tip ordinar.</w:t>
      </w:r>
      <w:r w:rsidR="00214753" w:rsidRPr="00381DA2">
        <w:rPr>
          <w:rFonts w:asciiTheme="majorHAnsi" w:hAnsiTheme="majorHAnsi" w:cstheme="minorHAnsi"/>
          <w:i/>
          <w:sz w:val="24"/>
          <w:szCs w:val="24"/>
        </w:rPr>
        <w:t xml:space="preserve"> </w:t>
      </w:r>
      <w:r w:rsidR="00214753" w:rsidRPr="00381DA2">
        <w:rPr>
          <w:rFonts w:asciiTheme="majorHAnsi" w:hAnsiTheme="majorHAnsi" w:cstheme="minorHAnsi"/>
          <w:sz w:val="24"/>
          <w:szCs w:val="24"/>
        </w:rPr>
        <w:t>Astfel, se constată desemnarea unui avocat pentru acordarea asistenței juridice la solicitarea Inspectoratului de poliție pentru un beneficiar aflat în proces de urmărire penală. Ulterior, la un termen de 8 zile, la solicitarea instanței de judecată a mai fost desemnat un alt avocat pe ace</w:t>
      </w:r>
      <w:r w:rsidR="00B56208">
        <w:rPr>
          <w:rFonts w:asciiTheme="majorHAnsi" w:hAnsiTheme="majorHAnsi" w:cstheme="minorHAnsi"/>
          <w:sz w:val="24"/>
          <w:szCs w:val="24"/>
        </w:rPr>
        <w:t>e</w:t>
      </w:r>
      <w:r w:rsidR="00214753" w:rsidRPr="00381DA2">
        <w:rPr>
          <w:rFonts w:asciiTheme="majorHAnsi" w:hAnsiTheme="majorHAnsi" w:cstheme="minorHAnsi"/>
          <w:sz w:val="24"/>
          <w:szCs w:val="24"/>
        </w:rPr>
        <w:t xml:space="preserve">ași </w:t>
      </w:r>
      <w:r w:rsidR="00214753" w:rsidRPr="00CA3235">
        <w:rPr>
          <w:rFonts w:asciiTheme="majorHAnsi" w:hAnsiTheme="majorHAnsi" w:cstheme="minorHAnsi"/>
          <w:color w:val="000000" w:themeColor="text1"/>
          <w:sz w:val="24"/>
          <w:szCs w:val="24"/>
        </w:rPr>
        <w:t>cauză</w:t>
      </w:r>
      <w:r w:rsidR="00CA3235" w:rsidRPr="00CA3235">
        <w:rPr>
          <w:rFonts w:asciiTheme="majorHAnsi" w:hAnsiTheme="majorHAnsi" w:cstheme="minorHAnsi"/>
          <w:color w:val="000000" w:themeColor="text1"/>
          <w:sz w:val="24"/>
          <w:szCs w:val="24"/>
        </w:rPr>
        <w:t>.</w:t>
      </w:r>
    </w:p>
    <w:p w14:paraId="1D2B183E" w14:textId="5D9CC4D4" w:rsidR="00B907A3" w:rsidRPr="00381DA2" w:rsidRDefault="00B907A3" w:rsidP="003A66EF">
      <w:pPr>
        <w:pStyle w:val="ListParagraph"/>
        <w:tabs>
          <w:tab w:val="left" w:pos="360"/>
          <w:tab w:val="left" w:pos="450"/>
        </w:tabs>
        <w:spacing w:after="120" w:line="276" w:lineRule="auto"/>
        <w:contextualSpacing w:val="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Un alt</w:t>
      </w:r>
      <w:r w:rsidRPr="00381DA2">
        <w:rPr>
          <w:rFonts w:asciiTheme="majorHAnsi" w:hAnsiTheme="majorHAnsi" w:cstheme="minorHAnsi"/>
          <w:sz w:val="24"/>
          <w:szCs w:val="24"/>
        </w:rPr>
        <w:t xml:space="preserve"> caz de dublare a cheltuielilor bugetare se atestă la remunerarea unui avocat care a raportat acțiunea de participare în ședința de judecată, însă conform deciziei instanței judecătorești</w:t>
      </w:r>
      <w:r w:rsidRPr="00381DA2">
        <w:rPr>
          <w:rStyle w:val="FootnoteReference"/>
          <w:rFonts w:asciiTheme="majorHAnsi" w:hAnsiTheme="majorHAnsi" w:cstheme="minorHAnsi"/>
          <w:sz w:val="24"/>
          <w:szCs w:val="24"/>
        </w:rPr>
        <w:footnoteReference w:id="52"/>
      </w:r>
      <w:r w:rsidRPr="00381DA2">
        <w:rPr>
          <w:rFonts w:asciiTheme="majorHAnsi" w:hAnsiTheme="majorHAnsi" w:cstheme="minorHAnsi"/>
          <w:sz w:val="24"/>
          <w:szCs w:val="24"/>
        </w:rPr>
        <w:t xml:space="preserve"> se atestă participarea la ședință a unui alt avocat desemnat</w:t>
      </w:r>
      <w:r w:rsidRPr="00381DA2">
        <w:rPr>
          <w:rStyle w:val="FootnoteReference"/>
          <w:rFonts w:asciiTheme="majorHAnsi" w:hAnsiTheme="majorHAnsi" w:cstheme="minorHAnsi"/>
          <w:sz w:val="24"/>
          <w:szCs w:val="24"/>
        </w:rPr>
        <w:footnoteReference w:id="53"/>
      </w:r>
      <w:r w:rsidRPr="00381DA2">
        <w:rPr>
          <w:rFonts w:asciiTheme="majorHAnsi" w:hAnsiTheme="majorHAnsi" w:cstheme="minorHAnsi"/>
          <w:sz w:val="24"/>
          <w:szCs w:val="24"/>
        </w:rPr>
        <w:t xml:space="preserve"> tot pe acest caz,</w:t>
      </w:r>
      <w:r w:rsidR="00654B4F" w:rsidRPr="00381DA2">
        <w:rPr>
          <w:rFonts w:asciiTheme="majorHAnsi" w:hAnsiTheme="majorHAnsi" w:cstheme="minorHAnsi"/>
          <w:sz w:val="24"/>
          <w:szCs w:val="24"/>
        </w:rPr>
        <w:t xml:space="preserve"> și la fel remunerat pentru această</w:t>
      </w:r>
      <w:r w:rsidRPr="00381DA2">
        <w:rPr>
          <w:rFonts w:asciiTheme="majorHAnsi" w:hAnsiTheme="majorHAnsi" w:cstheme="minorHAnsi"/>
          <w:sz w:val="24"/>
          <w:szCs w:val="24"/>
        </w:rPr>
        <w:t xml:space="preserve"> acțiune. Mai mult decât atât, avocat</w:t>
      </w:r>
      <w:r w:rsidR="00654B4F" w:rsidRPr="00381DA2">
        <w:rPr>
          <w:rFonts w:asciiTheme="majorHAnsi" w:hAnsiTheme="majorHAnsi" w:cstheme="minorHAnsi"/>
          <w:sz w:val="24"/>
          <w:szCs w:val="24"/>
        </w:rPr>
        <w:t>ul</w:t>
      </w:r>
      <w:r w:rsidRPr="00381DA2">
        <w:rPr>
          <w:rFonts w:asciiTheme="majorHAnsi" w:hAnsiTheme="majorHAnsi" w:cstheme="minorHAnsi"/>
          <w:sz w:val="24"/>
          <w:szCs w:val="24"/>
        </w:rPr>
        <w:t xml:space="preserve"> inițial desemnat a raportat și acțiunea de </w:t>
      </w:r>
      <w:r w:rsidR="00AF3072" w:rsidRPr="00AF3072">
        <w:rPr>
          <w:rFonts w:asciiTheme="majorHAnsi" w:hAnsiTheme="majorHAnsi" w:cstheme="minorHAnsi"/>
          <w:sz w:val="24"/>
          <w:szCs w:val="24"/>
          <w:lang w:val="ro-MD"/>
        </w:rPr>
        <w:t xml:space="preserve">luare de cunoștință cu hotărârea judecătorească </w:t>
      </w:r>
      <w:r w:rsidRPr="00381DA2">
        <w:rPr>
          <w:rFonts w:asciiTheme="majorHAnsi" w:hAnsiTheme="majorHAnsi" w:cstheme="minorHAnsi"/>
          <w:sz w:val="24"/>
          <w:szCs w:val="24"/>
        </w:rPr>
        <w:t>redactată și explicarea conținutului beneficiarului</w:t>
      </w:r>
      <w:r w:rsidR="00654B4F" w:rsidRPr="00381DA2">
        <w:rPr>
          <w:rFonts w:asciiTheme="majorHAnsi" w:hAnsiTheme="majorHAnsi" w:cstheme="minorHAnsi"/>
          <w:sz w:val="24"/>
          <w:szCs w:val="24"/>
        </w:rPr>
        <w:t xml:space="preserve"> în ace</w:t>
      </w:r>
      <w:r w:rsidR="000C7804">
        <w:rPr>
          <w:rFonts w:asciiTheme="majorHAnsi" w:hAnsiTheme="majorHAnsi" w:cstheme="minorHAnsi"/>
          <w:sz w:val="24"/>
          <w:szCs w:val="24"/>
        </w:rPr>
        <w:t>e</w:t>
      </w:r>
      <w:r w:rsidR="00654B4F" w:rsidRPr="00381DA2">
        <w:rPr>
          <w:rFonts w:asciiTheme="majorHAnsi" w:hAnsiTheme="majorHAnsi" w:cstheme="minorHAnsi"/>
          <w:sz w:val="24"/>
          <w:szCs w:val="24"/>
        </w:rPr>
        <w:t>ași zi</w:t>
      </w:r>
      <w:r w:rsidRPr="00381DA2">
        <w:rPr>
          <w:rFonts w:asciiTheme="majorHAnsi" w:hAnsiTheme="majorHAnsi" w:cstheme="minorHAnsi"/>
          <w:sz w:val="24"/>
          <w:szCs w:val="24"/>
        </w:rPr>
        <w:t>, deși nu a parti</w:t>
      </w:r>
      <w:r w:rsidR="00AF3072">
        <w:rPr>
          <w:rFonts w:asciiTheme="majorHAnsi" w:hAnsiTheme="majorHAnsi" w:cstheme="minorHAnsi"/>
          <w:sz w:val="24"/>
          <w:szCs w:val="24"/>
        </w:rPr>
        <w:t>cipat la ședința judecătorească;</w:t>
      </w:r>
    </w:p>
    <w:p w14:paraId="194DC237" w14:textId="01B8160F" w:rsidR="00B907A3" w:rsidRPr="00381DA2" w:rsidRDefault="00B907A3" w:rsidP="003A66EF">
      <w:pPr>
        <w:pStyle w:val="ListParagraph"/>
        <w:numPr>
          <w:ilvl w:val="0"/>
          <w:numId w:val="35"/>
        </w:numPr>
        <w:tabs>
          <w:tab w:val="left" w:pos="360"/>
          <w:tab w:val="left" w:pos="450"/>
        </w:tabs>
        <w:spacing w:after="120" w:line="276" w:lineRule="auto"/>
        <w:ind w:left="720"/>
        <w:contextualSpacing w:val="0"/>
        <w:jc w:val="both"/>
        <w:rPr>
          <w:rFonts w:asciiTheme="majorHAnsi" w:hAnsiTheme="majorHAnsi" w:cstheme="minorHAnsi"/>
          <w:sz w:val="24"/>
          <w:szCs w:val="24"/>
          <w:lang w:val="ro-MD"/>
        </w:rPr>
      </w:pPr>
      <w:r w:rsidRPr="00381DA2">
        <w:rPr>
          <w:rFonts w:asciiTheme="majorHAnsi" w:hAnsiTheme="majorHAnsi" w:cstheme="minorHAnsi"/>
          <w:i/>
          <w:sz w:val="24"/>
          <w:szCs w:val="24"/>
        </w:rPr>
        <w:t>achitarea acțiunilor de participare în ședință a avocaților în lipsa confirmării prezenței acestora în actele și deciziile emise de instanțele judecătoreșt</w:t>
      </w:r>
      <w:r w:rsidRPr="00381DA2">
        <w:rPr>
          <w:rFonts w:asciiTheme="majorHAnsi" w:hAnsiTheme="majorHAnsi" w:cstheme="minorHAnsi"/>
          <w:sz w:val="24"/>
          <w:szCs w:val="24"/>
        </w:rPr>
        <w:t xml:space="preserve">i. O situație defectuoasă se constată la raportarea și achitarea de către OT Chișinău a unor acțiuni, ulterior încetării acordării AJGS de către un avocat, </w:t>
      </w:r>
      <w:r w:rsidR="000C7804">
        <w:rPr>
          <w:rFonts w:asciiTheme="majorHAnsi" w:hAnsiTheme="majorHAnsi" w:cstheme="minorHAnsi"/>
          <w:sz w:val="24"/>
          <w:szCs w:val="24"/>
        </w:rPr>
        <w:t xml:space="preserve">din cauza </w:t>
      </w:r>
      <w:r w:rsidRPr="00381DA2">
        <w:rPr>
          <w:rFonts w:asciiTheme="majorHAnsi" w:hAnsiTheme="majorHAnsi" w:cstheme="minorHAnsi"/>
          <w:sz w:val="24"/>
          <w:szCs w:val="24"/>
        </w:rPr>
        <w:t>desemnării pe acest caz a unui alt apărător</w:t>
      </w:r>
      <w:r w:rsidR="00AF1411" w:rsidRPr="00381DA2">
        <w:rPr>
          <w:rFonts w:asciiTheme="majorHAnsi" w:hAnsiTheme="majorHAnsi" w:cstheme="minorHAnsi"/>
          <w:sz w:val="24"/>
          <w:szCs w:val="24"/>
        </w:rPr>
        <w:t>,</w:t>
      </w:r>
      <w:r w:rsidRPr="00381DA2">
        <w:rPr>
          <w:rFonts w:asciiTheme="majorHAnsi" w:hAnsiTheme="majorHAnsi" w:cstheme="minorHAnsi"/>
          <w:sz w:val="24"/>
          <w:szCs w:val="24"/>
        </w:rPr>
        <w:t xml:space="preserve"> la solicitarea beneficiarului. Astfel, deși conform deciziei coordonatorului OT avocatul a fost înlocuit la data de 23.02.2022</w:t>
      </w:r>
      <w:r w:rsidRPr="00381DA2">
        <w:rPr>
          <w:rStyle w:val="FootnoteReference"/>
          <w:rFonts w:asciiTheme="majorHAnsi" w:hAnsiTheme="majorHAnsi" w:cstheme="minorHAnsi"/>
          <w:sz w:val="24"/>
          <w:szCs w:val="24"/>
        </w:rPr>
        <w:footnoteReference w:id="54"/>
      </w:r>
      <w:r w:rsidRPr="00381DA2">
        <w:rPr>
          <w:rFonts w:asciiTheme="majorHAnsi" w:hAnsiTheme="majorHAnsi" w:cstheme="minorHAnsi"/>
          <w:sz w:val="24"/>
          <w:szCs w:val="24"/>
        </w:rPr>
        <w:t>, cel din urmă a raportat acțiuni</w:t>
      </w:r>
      <w:r w:rsidR="000C7804">
        <w:rPr>
          <w:rFonts w:asciiTheme="majorHAnsi" w:hAnsiTheme="majorHAnsi" w:cstheme="minorHAnsi"/>
          <w:sz w:val="24"/>
          <w:szCs w:val="24"/>
        </w:rPr>
        <w:t>le</w:t>
      </w:r>
      <w:r w:rsidRPr="00381DA2">
        <w:rPr>
          <w:rFonts w:asciiTheme="majorHAnsi" w:hAnsiTheme="majorHAnsi" w:cstheme="minorHAnsi"/>
          <w:sz w:val="24"/>
          <w:szCs w:val="24"/>
        </w:rPr>
        <w:t xml:space="preserve"> efectuate în perioada ulterioară</w:t>
      </w:r>
      <w:r w:rsidR="000C7804">
        <w:rPr>
          <w:rFonts w:asciiTheme="majorHAnsi" w:hAnsiTheme="majorHAnsi" w:cstheme="minorHAnsi"/>
          <w:sz w:val="24"/>
          <w:szCs w:val="24"/>
        </w:rPr>
        <w:t>,</w:t>
      </w:r>
      <w:r w:rsidRPr="00381DA2">
        <w:rPr>
          <w:rFonts w:asciiTheme="majorHAnsi" w:hAnsiTheme="majorHAnsi" w:cstheme="minorHAnsi"/>
          <w:sz w:val="24"/>
          <w:szCs w:val="24"/>
        </w:rPr>
        <w:t xml:space="preserve"> 01.03.22-20.04.22, fiindu-i achitată suma de 0,9 mii lei în condiții incerte. Mai mult </w:t>
      </w:r>
      <w:r w:rsidR="000C7804">
        <w:rPr>
          <w:rFonts w:asciiTheme="majorHAnsi" w:hAnsiTheme="majorHAnsi" w:cstheme="minorHAnsi"/>
          <w:sz w:val="24"/>
          <w:szCs w:val="24"/>
        </w:rPr>
        <w:t>decât</w:t>
      </w:r>
      <w:r w:rsidRPr="00381DA2">
        <w:rPr>
          <w:rFonts w:asciiTheme="majorHAnsi" w:hAnsiTheme="majorHAnsi" w:cstheme="minorHAnsi"/>
          <w:sz w:val="24"/>
          <w:szCs w:val="24"/>
        </w:rPr>
        <w:t xml:space="preserve"> atât</w:t>
      </w:r>
      <w:r w:rsidR="000C7804">
        <w:rPr>
          <w:rFonts w:asciiTheme="majorHAnsi" w:hAnsiTheme="majorHAnsi" w:cstheme="minorHAnsi"/>
          <w:sz w:val="24"/>
          <w:szCs w:val="24"/>
        </w:rPr>
        <w:t>,</w:t>
      </w:r>
      <w:r w:rsidRPr="00381DA2">
        <w:rPr>
          <w:rFonts w:asciiTheme="majorHAnsi" w:hAnsiTheme="majorHAnsi" w:cstheme="minorHAnsi"/>
          <w:sz w:val="24"/>
          <w:szCs w:val="24"/>
        </w:rPr>
        <w:t xml:space="preserve"> examinând actele justificative din dosarul de apărare prezentat echipei de audit, nu </w:t>
      </w:r>
      <w:r w:rsidR="00AF3072">
        <w:rPr>
          <w:rFonts w:asciiTheme="majorHAnsi" w:hAnsiTheme="majorHAnsi" w:cstheme="minorHAnsi"/>
          <w:sz w:val="24"/>
          <w:szCs w:val="24"/>
        </w:rPr>
        <w:t>s-a confirmat</w:t>
      </w:r>
      <w:r w:rsidRPr="00381DA2">
        <w:rPr>
          <w:rFonts w:asciiTheme="majorHAnsi" w:hAnsiTheme="majorHAnsi" w:cstheme="minorHAnsi"/>
          <w:sz w:val="24"/>
          <w:szCs w:val="24"/>
        </w:rPr>
        <w:t xml:space="preserve"> realizarea acțiunii privind participarea avocatului în ședința de judecată</w:t>
      </w:r>
      <w:r w:rsidRPr="00381DA2">
        <w:rPr>
          <w:rStyle w:val="FootnoteReference"/>
          <w:rFonts w:asciiTheme="majorHAnsi" w:hAnsiTheme="majorHAnsi" w:cstheme="minorHAnsi"/>
          <w:sz w:val="24"/>
          <w:szCs w:val="24"/>
        </w:rPr>
        <w:footnoteReference w:id="55"/>
      </w:r>
      <w:r w:rsidRPr="00381DA2">
        <w:rPr>
          <w:rFonts w:asciiTheme="majorHAnsi" w:hAnsiTheme="majorHAnsi" w:cstheme="minorHAnsi"/>
          <w:sz w:val="24"/>
          <w:szCs w:val="24"/>
        </w:rPr>
        <w:t xml:space="preserve"> indicată de către acesta în raport</w:t>
      </w:r>
      <w:r w:rsidRPr="00381DA2">
        <w:rPr>
          <w:rStyle w:val="FootnoteReference"/>
          <w:rFonts w:asciiTheme="majorHAnsi" w:hAnsiTheme="majorHAnsi" w:cstheme="minorHAnsi"/>
          <w:sz w:val="24"/>
          <w:szCs w:val="24"/>
        </w:rPr>
        <w:footnoteReference w:id="56"/>
      </w:r>
      <w:r w:rsidRPr="00381DA2">
        <w:rPr>
          <w:rFonts w:asciiTheme="majorHAnsi" w:hAnsiTheme="majorHAnsi" w:cstheme="minorHAnsi"/>
          <w:sz w:val="24"/>
          <w:szCs w:val="24"/>
        </w:rPr>
        <w:t>, întrucât în Procesul-verbal al ședinței de judecată</w:t>
      </w:r>
      <w:r w:rsidRPr="00381DA2">
        <w:rPr>
          <w:rStyle w:val="FootnoteReference"/>
          <w:rFonts w:asciiTheme="majorHAnsi" w:hAnsiTheme="majorHAnsi" w:cstheme="minorHAnsi"/>
          <w:sz w:val="24"/>
          <w:szCs w:val="24"/>
        </w:rPr>
        <w:footnoteReference w:id="57"/>
      </w:r>
      <w:r w:rsidRPr="00381DA2">
        <w:rPr>
          <w:rFonts w:asciiTheme="majorHAnsi" w:hAnsiTheme="majorHAnsi" w:cstheme="minorHAnsi"/>
          <w:sz w:val="24"/>
          <w:szCs w:val="24"/>
        </w:rPr>
        <w:t xml:space="preserve"> nu există înregistrare privind prezența acestuia la proces. De menționat că avocatul a solicitat și plata pentru întocmirea și depunerea unei cereri </w:t>
      </w:r>
      <w:r w:rsidR="000C7804">
        <w:rPr>
          <w:rFonts w:asciiTheme="majorHAnsi" w:hAnsiTheme="majorHAnsi" w:cstheme="minorHAnsi"/>
          <w:sz w:val="24"/>
          <w:szCs w:val="24"/>
        </w:rPr>
        <w:t>privind</w:t>
      </w:r>
      <w:r w:rsidRPr="00381DA2">
        <w:rPr>
          <w:rFonts w:asciiTheme="majorHAnsi" w:hAnsiTheme="majorHAnsi" w:cstheme="minorHAnsi"/>
          <w:sz w:val="24"/>
          <w:szCs w:val="24"/>
        </w:rPr>
        <w:t xml:space="preserve"> desfășurarea acțiunilor procesuale, or</w:t>
      </w:r>
      <w:r w:rsidR="000C7804">
        <w:rPr>
          <w:rFonts w:asciiTheme="majorHAnsi" w:hAnsiTheme="majorHAnsi" w:cstheme="minorHAnsi"/>
          <w:sz w:val="24"/>
          <w:szCs w:val="24"/>
        </w:rPr>
        <w:t>,</w:t>
      </w:r>
      <w:r w:rsidRPr="00381DA2">
        <w:rPr>
          <w:rFonts w:asciiTheme="majorHAnsi" w:hAnsiTheme="majorHAnsi" w:cstheme="minorHAnsi"/>
          <w:sz w:val="24"/>
          <w:szCs w:val="24"/>
        </w:rPr>
        <w:t xml:space="preserve"> în fapt acest document viza doar înlocuirea sa cu un alt avocat, acțiune care nu se încadrează în categoria celor aferente soluționării cazului</w:t>
      </w:r>
      <w:r w:rsidRPr="00381DA2">
        <w:rPr>
          <w:rStyle w:val="FootnoteReference"/>
          <w:rFonts w:asciiTheme="majorHAnsi" w:hAnsiTheme="majorHAnsi" w:cstheme="minorHAnsi"/>
          <w:sz w:val="24"/>
          <w:szCs w:val="24"/>
        </w:rPr>
        <w:footnoteReference w:id="58"/>
      </w:r>
      <w:r w:rsidRPr="00381DA2">
        <w:rPr>
          <w:rFonts w:asciiTheme="majorHAnsi" w:hAnsiTheme="majorHAnsi" w:cstheme="minorHAnsi"/>
          <w:sz w:val="24"/>
          <w:szCs w:val="24"/>
        </w:rPr>
        <w:t>.</w:t>
      </w:r>
    </w:p>
    <w:p w14:paraId="57207A97" w14:textId="00A1601D" w:rsidR="00B907A3" w:rsidRPr="00381DA2" w:rsidRDefault="00B907A3" w:rsidP="003A66EF">
      <w:p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În concluzie</w:t>
      </w:r>
      <w:r w:rsidR="000C7804">
        <w:rPr>
          <w:rFonts w:asciiTheme="majorHAnsi" w:hAnsiTheme="majorHAnsi" w:cstheme="minorHAnsi"/>
          <w:sz w:val="24"/>
          <w:szCs w:val="24"/>
        </w:rPr>
        <w:t>,</w:t>
      </w:r>
      <w:r w:rsidRPr="00381DA2">
        <w:rPr>
          <w:rFonts w:asciiTheme="majorHAnsi" w:hAnsiTheme="majorHAnsi" w:cstheme="minorHAnsi"/>
          <w:sz w:val="24"/>
          <w:szCs w:val="24"/>
        </w:rPr>
        <w:t xml:space="preserve"> </w:t>
      </w:r>
      <w:r w:rsidR="00224253">
        <w:rPr>
          <w:rFonts w:asciiTheme="majorHAnsi" w:hAnsiTheme="majorHAnsi" w:cstheme="minorHAnsi"/>
          <w:sz w:val="24"/>
          <w:szCs w:val="24"/>
        </w:rPr>
        <w:t xml:space="preserve">auditul </w:t>
      </w:r>
      <w:r w:rsidRPr="00381DA2">
        <w:rPr>
          <w:rFonts w:asciiTheme="majorHAnsi" w:hAnsiTheme="majorHAnsi" w:cstheme="minorHAnsi"/>
          <w:sz w:val="24"/>
          <w:szCs w:val="24"/>
        </w:rPr>
        <w:t>se</w:t>
      </w:r>
      <w:r w:rsidR="00224253">
        <w:rPr>
          <w:rFonts w:asciiTheme="majorHAnsi" w:hAnsiTheme="majorHAnsi" w:cstheme="minorHAnsi"/>
          <w:sz w:val="24"/>
          <w:szCs w:val="24"/>
        </w:rPr>
        <w:t>mnalează</w:t>
      </w:r>
      <w:r w:rsidRPr="00381DA2">
        <w:rPr>
          <w:rFonts w:asciiTheme="majorHAnsi" w:hAnsiTheme="majorHAnsi" w:cstheme="minorHAnsi"/>
          <w:sz w:val="24"/>
          <w:szCs w:val="24"/>
        </w:rPr>
        <w:t xml:space="preserve"> că situațiile expuse supra au fost determinate de lipsa unor activități de control eficiente</w:t>
      </w:r>
      <w:r w:rsidR="000C7804">
        <w:rPr>
          <w:rFonts w:asciiTheme="majorHAnsi" w:hAnsiTheme="majorHAnsi" w:cstheme="minorHAnsi"/>
          <w:sz w:val="24"/>
          <w:szCs w:val="24"/>
        </w:rPr>
        <w:t>,</w:t>
      </w:r>
      <w:r w:rsidRPr="00381DA2">
        <w:rPr>
          <w:rFonts w:asciiTheme="majorHAnsi" w:hAnsiTheme="majorHAnsi" w:cstheme="minorHAnsi"/>
          <w:sz w:val="24"/>
          <w:szCs w:val="24"/>
        </w:rPr>
        <w:t xml:space="preserve"> care ar fi proporționale situațiilor de risc asociate utilizării mijloacelor bugetare pentru remunerarea avocaților în cazurile identificate de audit. Merită de menționat că lipsește un nomenclator/list</w:t>
      </w:r>
      <w:r w:rsidR="00224253">
        <w:rPr>
          <w:rFonts w:asciiTheme="majorHAnsi" w:hAnsiTheme="majorHAnsi" w:cstheme="minorHAnsi"/>
          <w:sz w:val="24"/>
          <w:szCs w:val="24"/>
        </w:rPr>
        <w:t>ă</w:t>
      </w:r>
      <w:r w:rsidRPr="00381DA2">
        <w:rPr>
          <w:rFonts w:asciiTheme="majorHAnsi" w:hAnsiTheme="majorHAnsi" w:cstheme="minorHAnsi"/>
          <w:sz w:val="24"/>
          <w:szCs w:val="24"/>
        </w:rPr>
        <w:t xml:space="preserve"> care ar cuprinde tipurile de acte justificative aferente acțiunil</w:t>
      </w:r>
      <w:r w:rsidR="003B24B6">
        <w:rPr>
          <w:rFonts w:asciiTheme="majorHAnsi" w:hAnsiTheme="majorHAnsi" w:cstheme="minorHAnsi"/>
          <w:sz w:val="24"/>
          <w:szCs w:val="24"/>
        </w:rPr>
        <w:t>or</w:t>
      </w:r>
      <w:r w:rsidRPr="00381DA2">
        <w:rPr>
          <w:rFonts w:asciiTheme="majorHAnsi" w:hAnsiTheme="majorHAnsi" w:cstheme="minorHAnsi"/>
          <w:sz w:val="24"/>
          <w:szCs w:val="24"/>
        </w:rPr>
        <w:t xml:space="preserve"> remunerabile prestabilite prin Hotărârile</w:t>
      </w:r>
      <w:r w:rsidRPr="00381DA2">
        <w:rPr>
          <w:rStyle w:val="FootnoteReference"/>
          <w:rFonts w:asciiTheme="majorHAnsi" w:hAnsiTheme="majorHAnsi" w:cstheme="minorHAnsi"/>
        </w:rPr>
        <w:footnoteReference w:id="59"/>
      </w:r>
      <w:r w:rsidRPr="00381DA2">
        <w:rPr>
          <w:rFonts w:asciiTheme="majorHAnsi" w:hAnsiTheme="majorHAnsi" w:cstheme="minorHAnsi"/>
          <w:sz w:val="24"/>
          <w:szCs w:val="24"/>
        </w:rPr>
        <w:t xml:space="preserve"> CNAJGS și </w:t>
      </w:r>
      <w:r w:rsidR="00224253">
        <w:rPr>
          <w:rFonts w:asciiTheme="majorHAnsi" w:hAnsiTheme="majorHAnsi" w:cstheme="minorHAnsi"/>
          <w:sz w:val="24"/>
          <w:szCs w:val="24"/>
        </w:rPr>
        <w:t xml:space="preserve">pe </w:t>
      </w:r>
      <w:r w:rsidRPr="00381DA2">
        <w:rPr>
          <w:rFonts w:asciiTheme="majorHAnsi" w:hAnsiTheme="majorHAnsi" w:cstheme="minorHAnsi"/>
          <w:sz w:val="24"/>
          <w:szCs w:val="24"/>
        </w:rPr>
        <w:t xml:space="preserve">care avocații la cerere urmează să le dețină la dosar pentru cauzele penale și non-penale gestionate. </w:t>
      </w:r>
    </w:p>
    <w:p w14:paraId="140BDF0E" w14:textId="7B2A7557" w:rsidR="00B907A3" w:rsidRPr="00381DA2" w:rsidRDefault="00B907A3" w:rsidP="003A66EF">
      <w:pPr>
        <w:tabs>
          <w:tab w:val="left" w:pos="360"/>
        </w:tabs>
        <w:spacing w:after="0" w:line="276" w:lineRule="auto"/>
        <w:jc w:val="both"/>
        <w:rPr>
          <w:rFonts w:asciiTheme="majorHAnsi" w:hAnsiTheme="majorHAnsi" w:cstheme="minorHAnsi"/>
          <w:sz w:val="24"/>
          <w:szCs w:val="24"/>
        </w:rPr>
      </w:pPr>
      <w:r w:rsidRPr="00381DA2">
        <w:rPr>
          <w:rFonts w:asciiTheme="majorHAnsi" w:hAnsiTheme="majorHAnsi" w:cstheme="minorHAnsi"/>
          <w:sz w:val="24"/>
          <w:szCs w:val="24"/>
        </w:rPr>
        <w:lastRenderedPageBreak/>
        <w:t xml:space="preserve">La fel, un factor </w:t>
      </w:r>
      <w:r w:rsidR="00E17C90">
        <w:rPr>
          <w:rFonts w:asciiTheme="majorHAnsi" w:hAnsiTheme="majorHAnsi" w:cstheme="minorHAnsi"/>
          <w:sz w:val="24"/>
          <w:szCs w:val="24"/>
        </w:rPr>
        <w:t xml:space="preserve">care </w:t>
      </w:r>
      <w:r w:rsidRPr="00381DA2">
        <w:rPr>
          <w:rFonts w:asciiTheme="majorHAnsi" w:hAnsiTheme="majorHAnsi" w:cstheme="minorHAnsi"/>
          <w:sz w:val="24"/>
          <w:szCs w:val="24"/>
        </w:rPr>
        <w:t>determin</w:t>
      </w:r>
      <w:r w:rsidR="00E17C90">
        <w:rPr>
          <w:rFonts w:asciiTheme="majorHAnsi" w:hAnsiTheme="majorHAnsi" w:cstheme="minorHAnsi"/>
          <w:sz w:val="24"/>
          <w:szCs w:val="24"/>
        </w:rPr>
        <w:t>ă</w:t>
      </w:r>
      <w:r w:rsidRPr="00381DA2">
        <w:rPr>
          <w:rFonts w:asciiTheme="majorHAnsi" w:hAnsiTheme="majorHAnsi" w:cstheme="minorHAnsi"/>
          <w:sz w:val="24"/>
          <w:szCs w:val="24"/>
        </w:rPr>
        <w:t xml:space="preserve"> funcționalitatea parțială a activităților de control implementate în procesul de remunerare a activităților exercitate de către avocați este condiționat de lips</w:t>
      </w:r>
      <w:r w:rsidR="00E17C90">
        <w:rPr>
          <w:rFonts w:asciiTheme="majorHAnsi" w:hAnsiTheme="majorHAnsi" w:cstheme="minorHAnsi"/>
          <w:sz w:val="24"/>
          <w:szCs w:val="24"/>
        </w:rPr>
        <w:t>a</w:t>
      </w:r>
      <w:r w:rsidRPr="00381DA2">
        <w:rPr>
          <w:rFonts w:asciiTheme="majorHAnsi" w:hAnsiTheme="majorHAnsi" w:cstheme="minorHAnsi"/>
          <w:sz w:val="24"/>
          <w:szCs w:val="24"/>
        </w:rPr>
        <w:t xml:space="preserve"> formularel</w:t>
      </w:r>
      <w:r w:rsidR="00E17C90">
        <w:rPr>
          <w:rFonts w:asciiTheme="majorHAnsi" w:hAnsiTheme="majorHAnsi" w:cstheme="minorHAnsi"/>
          <w:sz w:val="24"/>
          <w:szCs w:val="24"/>
        </w:rPr>
        <w:t>or</w:t>
      </w:r>
      <w:r w:rsidRPr="00381DA2">
        <w:rPr>
          <w:rFonts w:asciiTheme="majorHAnsi" w:hAnsiTheme="majorHAnsi" w:cstheme="minorHAnsi"/>
          <w:sz w:val="24"/>
          <w:szCs w:val="24"/>
        </w:rPr>
        <w:t>-tip pentru documentarea unor acțiuni</w:t>
      </w:r>
      <w:r w:rsidR="003E1DE4">
        <w:rPr>
          <w:rStyle w:val="FootnoteReference"/>
          <w:rFonts w:asciiTheme="majorHAnsi" w:hAnsiTheme="majorHAnsi" w:cstheme="minorHAnsi"/>
          <w:sz w:val="24"/>
          <w:szCs w:val="24"/>
        </w:rPr>
        <w:footnoteReference w:id="60"/>
      </w:r>
      <w:r w:rsidRPr="00381DA2">
        <w:rPr>
          <w:rFonts w:asciiTheme="majorHAnsi" w:hAnsiTheme="majorHAnsi" w:cstheme="minorHAnsi"/>
          <w:sz w:val="24"/>
          <w:szCs w:val="24"/>
        </w:rPr>
        <w:t xml:space="preserve"> întreprinse de avocați în cadrul procesului de apărare</w:t>
      </w:r>
      <w:r w:rsidRPr="00381DA2">
        <w:rPr>
          <w:rStyle w:val="FootnoteReference"/>
          <w:rFonts w:asciiTheme="majorHAnsi" w:hAnsiTheme="majorHAnsi" w:cstheme="minorHAnsi"/>
        </w:rPr>
        <w:footnoteReference w:id="61"/>
      </w:r>
      <w:r w:rsidRPr="00381DA2">
        <w:rPr>
          <w:rFonts w:asciiTheme="majorHAnsi" w:hAnsiTheme="majorHAnsi" w:cstheme="minorHAnsi"/>
          <w:sz w:val="24"/>
          <w:szCs w:val="24"/>
        </w:rPr>
        <w:t xml:space="preserve"> a persoanelor, spre exemplu: </w:t>
      </w:r>
    </w:p>
    <w:p w14:paraId="2678DAA7" w14:textId="048643C8" w:rsidR="00B907A3" w:rsidRPr="00381DA2" w:rsidRDefault="00B907A3" w:rsidP="003A66EF">
      <w:pPr>
        <w:pStyle w:val="ListParagraph"/>
        <w:numPr>
          <w:ilvl w:val="0"/>
          <w:numId w:val="6"/>
        </w:num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luarea de cunoștință cu materialele cauzei în faza pregătirilor pentru desfășurarea acțiunii procesuale sau a ședinței de judecată</w:t>
      </w:r>
      <w:r w:rsidR="00E17C90">
        <w:rPr>
          <w:rFonts w:asciiTheme="majorHAnsi" w:hAnsiTheme="majorHAnsi" w:cstheme="minorHAnsi"/>
          <w:sz w:val="24"/>
          <w:szCs w:val="24"/>
        </w:rPr>
        <w:t>;</w:t>
      </w:r>
      <w:r w:rsidRPr="00381DA2">
        <w:rPr>
          <w:rFonts w:asciiTheme="majorHAnsi" w:hAnsiTheme="majorHAnsi" w:cstheme="minorHAnsi"/>
          <w:sz w:val="24"/>
          <w:szCs w:val="24"/>
        </w:rPr>
        <w:t xml:space="preserve">  </w:t>
      </w:r>
    </w:p>
    <w:p w14:paraId="056905D9" w14:textId="3237BDAE" w:rsidR="00B907A3" w:rsidRPr="00381DA2" w:rsidRDefault="00B907A3" w:rsidP="003A66EF">
      <w:pPr>
        <w:pStyle w:val="ListParagraph"/>
        <w:numPr>
          <w:ilvl w:val="0"/>
          <w:numId w:val="6"/>
        </w:num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așteptarea avocatului după ora stabilită pentru ședința de judecată sau acțiunea procesuală</w:t>
      </w:r>
      <w:r w:rsidR="00E17C90">
        <w:rPr>
          <w:rFonts w:asciiTheme="majorHAnsi" w:hAnsiTheme="majorHAnsi" w:cstheme="minorHAnsi"/>
          <w:sz w:val="24"/>
          <w:szCs w:val="24"/>
        </w:rPr>
        <w:t>;</w:t>
      </w:r>
      <w:r w:rsidRPr="00381DA2">
        <w:rPr>
          <w:rFonts w:asciiTheme="majorHAnsi" w:hAnsiTheme="majorHAnsi" w:cstheme="minorHAnsi"/>
          <w:sz w:val="24"/>
          <w:szCs w:val="24"/>
        </w:rPr>
        <w:t xml:space="preserve"> </w:t>
      </w:r>
    </w:p>
    <w:p w14:paraId="29120CC2" w14:textId="1FD9BE12" w:rsidR="00B907A3" w:rsidRPr="00381DA2" w:rsidRDefault="00B907A3" w:rsidP="003A66EF">
      <w:pPr>
        <w:pStyle w:val="ListParagraph"/>
        <w:numPr>
          <w:ilvl w:val="0"/>
          <w:numId w:val="6"/>
        </w:numPr>
        <w:tabs>
          <w:tab w:val="left" w:pos="360"/>
        </w:tabs>
        <w:spacing w:line="276" w:lineRule="auto"/>
        <w:contextualSpacing w:val="0"/>
        <w:jc w:val="both"/>
        <w:rPr>
          <w:rFonts w:asciiTheme="majorHAnsi" w:hAnsiTheme="majorHAnsi" w:cstheme="minorHAnsi"/>
          <w:sz w:val="24"/>
          <w:szCs w:val="24"/>
        </w:rPr>
      </w:pPr>
      <w:r w:rsidRPr="00381DA2">
        <w:rPr>
          <w:rFonts w:asciiTheme="majorHAnsi" w:hAnsiTheme="majorHAnsi" w:cstheme="minorHAnsi"/>
          <w:sz w:val="24"/>
          <w:szCs w:val="24"/>
        </w:rPr>
        <w:t xml:space="preserve">luarea de cunoștință </w:t>
      </w:r>
      <w:r w:rsidR="00E17C90">
        <w:rPr>
          <w:rFonts w:asciiTheme="majorHAnsi" w:hAnsiTheme="majorHAnsi" w:cstheme="minorHAnsi"/>
          <w:sz w:val="24"/>
          <w:szCs w:val="24"/>
        </w:rPr>
        <w:t>cu</w:t>
      </w:r>
      <w:r w:rsidRPr="00381DA2">
        <w:rPr>
          <w:rFonts w:asciiTheme="majorHAnsi" w:hAnsiTheme="majorHAnsi" w:cstheme="minorHAnsi"/>
          <w:sz w:val="24"/>
          <w:szCs w:val="24"/>
        </w:rPr>
        <w:t xml:space="preserve"> procesul-verbal al ședinței de judecată după terminarea acesteia etc.</w:t>
      </w:r>
    </w:p>
    <w:p w14:paraId="3480276C" w14:textId="18A63296" w:rsidR="00B907A3" w:rsidRPr="00381DA2" w:rsidRDefault="00B907A3" w:rsidP="003A66EF">
      <w:pPr>
        <w:tabs>
          <w:tab w:val="left" w:pos="36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În acest context, se remarcă necesitatea completării de către CNAJGS a dosarului</w:t>
      </w:r>
      <w:r w:rsidR="00E17C90">
        <w:rPr>
          <w:rFonts w:asciiTheme="majorHAnsi" w:hAnsiTheme="majorHAnsi" w:cstheme="minorHAnsi"/>
          <w:sz w:val="24"/>
          <w:szCs w:val="24"/>
        </w:rPr>
        <w:t>-</w:t>
      </w:r>
      <w:r w:rsidRPr="00381DA2">
        <w:rPr>
          <w:rFonts w:asciiTheme="majorHAnsi" w:hAnsiTheme="majorHAnsi" w:cstheme="minorHAnsi"/>
          <w:sz w:val="24"/>
          <w:szCs w:val="24"/>
        </w:rPr>
        <w:t xml:space="preserve"> </w:t>
      </w:r>
      <w:r w:rsidR="00E17C90">
        <w:rPr>
          <w:rFonts w:asciiTheme="majorHAnsi" w:hAnsiTheme="majorHAnsi" w:cstheme="minorHAnsi"/>
          <w:sz w:val="24"/>
          <w:szCs w:val="24"/>
        </w:rPr>
        <w:t xml:space="preserve">model </w:t>
      </w:r>
      <w:r w:rsidRPr="00381DA2">
        <w:rPr>
          <w:rFonts w:asciiTheme="majorHAnsi" w:hAnsiTheme="majorHAnsi" w:cstheme="minorHAnsi"/>
          <w:sz w:val="24"/>
          <w:szCs w:val="24"/>
        </w:rPr>
        <w:t>în apărare pe cauze ce urmează a fi ținut pe avocați, cu documente standardizate care ar confirma acțiunile întreprinse de avocat.</w:t>
      </w:r>
    </w:p>
    <w:p w14:paraId="337535DF" w14:textId="0B1CF61F" w:rsidR="00B907A3" w:rsidRPr="00381DA2" w:rsidRDefault="00B907A3" w:rsidP="003A66EF">
      <w:pPr>
        <w:pBdr>
          <w:top w:val="single" w:sz="4" w:space="1" w:color="auto"/>
          <w:left w:val="single" w:sz="4" w:space="4" w:color="auto"/>
          <w:bottom w:val="single" w:sz="4" w:space="1" w:color="auto"/>
          <w:right w:val="single" w:sz="4" w:space="4" w:color="auto"/>
        </w:pBdr>
        <w:spacing w:after="240" w:line="276" w:lineRule="auto"/>
        <w:jc w:val="both"/>
        <w:rPr>
          <w:rFonts w:asciiTheme="majorHAnsi" w:hAnsiTheme="majorHAnsi" w:cstheme="minorHAnsi"/>
          <w:sz w:val="24"/>
          <w:szCs w:val="24"/>
        </w:rPr>
      </w:pPr>
      <w:r w:rsidRPr="002E3358">
        <w:rPr>
          <w:rFonts w:asciiTheme="majorHAnsi" w:hAnsiTheme="majorHAnsi" w:cstheme="minorHAnsi"/>
          <w:i/>
          <w:sz w:val="24"/>
          <w:szCs w:val="24"/>
        </w:rPr>
        <w:t>Notă:</w:t>
      </w:r>
      <w:r w:rsidRPr="00381DA2">
        <w:rPr>
          <w:rFonts w:asciiTheme="majorHAnsi" w:hAnsiTheme="majorHAnsi" w:cstheme="minorHAnsi"/>
          <w:sz w:val="24"/>
          <w:szCs w:val="24"/>
        </w:rPr>
        <w:t xml:space="preserve"> Se ia act că</w:t>
      </w:r>
      <w:r w:rsidR="00BE408F">
        <w:rPr>
          <w:rFonts w:asciiTheme="majorHAnsi" w:hAnsiTheme="majorHAnsi" w:cstheme="minorHAnsi"/>
          <w:sz w:val="24"/>
          <w:szCs w:val="24"/>
        </w:rPr>
        <w:t>,</w:t>
      </w:r>
      <w:r w:rsidRPr="00381DA2">
        <w:rPr>
          <w:rFonts w:asciiTheme="majorHAnsi" w:hAnsiTheme="majorHAnsi" w:cstheme="minorHAnsi"/>
          <w:sz w:val="24"/>
          <w:szCs w:val="24"/>
        </w:rPr>
        <w:t xml:space="preserve"> pe parcursul desfășurării misiunii de audit, în conformitate cu Hotărârea CNAJGS nr. 17 din 22 noiembrie 2022</w:t>
      </w:r>
      <w:r w:rsidR="00BE408F">
        <w:rPr>
          <w:rFonts w:asciiTheme="majorHAnsi" w:hAnsiTheme="majorHAnsi" w:cstheme="minorHAnsi"/>
          <w:sz w:val="24"/>
          <w:szCs w:val="24"/>
        </w:rPr>
        <w:t>,</w:t>
      </w:r>
      <w:r w:rsidRPr="00381DA2">
        <w:rPr>
          <w:rFonts w:asciiTheme="majorHAnsi" w:hAnsiTheme="majorHAnsi" w:cstheme="minorHAnsi"/>
          <w:sz w:val="24"/>
          <w:szCs w:val="24"/>
        </w:rPr>
        <w:t xml:space="preserve"> începând cu data de 1 ianuarie 2023 s-a statuat că avocații care acordă asistență juridică garantată de stat, la depunerea rapoartelor de activitate în format electronic, s</w:t>
      </w:r>
      <w:r w:rsidR="00BE408F">
        <w:rPr>
          <w:rFonts w:asciiTheme="majorHAnsi" w:hAnsiTheme="majorHAnsi" w:cstheme="minorHAnsi"/>
          <w:sz w:val="24"/>
          <w:szCs w:val="24"/>
        </w:rPr>
        <w:t>u</w:t>
      </w:r>
      <w:r w:rsidRPr="00381DA2">
        <w:rPr>
          <w:rFonts w:asciiTheme="majorHAnsi" w:hAnsiTheme="majorHAnsi" w:cstheme="minorHAnsi"/>
          <w:sz w:val="24"/>
          <w:szCs w:val="24"/>
        </w:rPr>
        <w:t>nt obli</w:t>
      </w:r>
      <w:r w:rsidR="00355BC7" w:rsidRPr="00381DA2">
        <w:rPr>
          <w:rFonts w:asciiTheme="majorHAnsi" w:hAnsiTheme="majorHAnsi" w:cstheme="minorHAnsi"/>
          <w:sz w:val="24"/>
          <w:szCs w:val="24"/>
        </w:rPr>
        <w:t xml:space="preserve">gați să încarce </w:t>
      </w:r>
      <w:r w:rsidRPr="00381DA2">
        <w:rPr>
          <w:rFonts w:asciiTheme="majorHAnsi" w:hAnsiTheme="majorHAnsi" w:cstheme="minorHAnsi"/>
          <w:sz w:val="24"/>
          <w:szCs w:val="24"/>
        </w:rPr>
        <w:t xml:space="preserve">dosarele </w:t>
      </w:r>
      <w:r w:rsidR="00C70CF9">
        <w:rPr>
          <w:rFonts w:asciiTheme="majorHAnsi" w:hAnsiTheme="majorHAnsi" w:cstheme="minorHAnsi"/>
          <w:sz w:val="24"/>
          <w:szCs w:val="24"/>
        </w:rPr>
        <w:t>î</w:t>
      </w:r>
      <w:r w:rsidRPr="00381DA2">
        <w:rPr>
          <w:rFonts w:asciiTheme="majorHAnsi" w:hAnsiTheme="majorHAnsi" w:cstheme="minorHAnsi"/>
          <w:sz w:val="24"/>
          <w:szCs w:val="24"/>
        </w:rPr>
        <w:t xml:space="preserve">n apărare în format electronic pentru cauzele raportate. </w:t>
      </w:r>
    </w:p>
    <w:p w14:paraId="32A08B79" w14:textId="568B1B90" w:rsidR="00B907A3" w:rsidRPr="00381DA2" w:rsidRDefault="00B907A3" w:rsidP="003A66EF">
      <w:pPr>
        <w:pStyle w:val="ListParagraph"/>
        <w:numPr>
          <w:ilvl w:val="0"/>
          <w:numId w:val="20"/>
        </w:numPr>
        <w:tabs>
          <w:tab w:val="left" w:pos="360"/>
        </w:tabs>
        <w:spacing w:after="120" w:line="276" w:lineRule="auto"/>
        <w:ind w:left="360" w:hanging="360"/>
        <w:jc w:val="both"/>
        <w:rPr>
          <w:rFonts w:asciiTheme="majorHAnsi" w:hAnsiTheme="majorHAnsi" w:cstheme="minorHAnsi"/>
          <w:i/>
          <w:color w:val="0070C0"/>
          <w:sz w:val="24"/>
          <w:szCs w:val="24"/>
          <w:lang w:val="ro-MD"/>
        </w:rPr>
      </w:pPr>
      <w:r w:rsidRPr="00381DA2">
        <w:rPr>
          <w:rFonts w:asciiTheme="majorHAnsi" w:hAnsiTheme="majorHAnsi" w:cstheme="minorHAnsi"/>
          <w:i/>
          <w:color w:val="0070C0"/>
          <w:sz w:val="24"/>
          <w:szCs w:val="24"/>
        </w:rPr>
        <w:t xml:space="preserve">Există cazuri de </w:t>
      </w:r>
      <w:r w:rsidRPr="00381DA2">
        <w:rPr>
          <w:rFonts w:asciiTheme="majorHAnsi" w:hAnsiTheme="majorHAnsi" w:cstheme="minorHAnsi"/>
          <w:i/>
          <w:color w:val="0070C0"/>
          <w:sz w:val="24"/>
          <w:szCs w:val="24"/>
          <w:lang w:val="ro-MD"/>
        </w:rPr>
        <w:t>achitare</w:t>
      </w:r>
      <w:r w:rsidRPr="00381DA2">
        <w:rPr>
          <w:rFonts w:asciiTheme="majorHAnsi" w:hAnsiTheme="majorHAnsi" w:cstheme="minorHAnsi"/>
          <w:i/>
          <w:color w:val="0070C0"/>
          <w:sz w:val="24"/>
          <w:szCs w:val="24"/>
        </w:rPr>
        <w:t xml:space="preserve"> </w:t>
      </w:r>
      <w:r w:rsidRPr="00381DA2">
        <w:rPr>
          <w:rFonts w:asciiTheme="majorHAnsi" w:hAnsiTheme="majorHAnsi" w:cstheme="minorHAnsi"/>
          <w:i/>
          <w:color w:val="0070C0"/>
          <w:sz w:val="24"/>
          <w:szCs w:val="24"/>
          <w:lang w:val="ro-MD"/>
        </w:rPr>
        <w:t xml:space="preserve">nejustificată a unor acțiuni </w:t>
      </w:r>
      <w:r w:rsidRPr="00381DA2">
        <w:rPr>
          <w:rFonts w:asciiTheme="majorHAnsi" w:hAnsiTheme="majorHAnsi" w:cstheme="minorHAnsi"/>
          <w:i/>
          <w:color w:val="0070C0"/>
          <w:sz w:val="24"/>
          <w:szCs w:val="24"/>
        </w:rPr>
        <w:t xml:space="preserve">raportate </w:t>
      </w:r>
      <w:r w:rsidRPr="00381DA2">
        <w:rPr>
          <w:rFonts w:asciiTheme="majorHAnsi" w:hAnsiTheme="majorHAnsi" w:cstheme="minorHAnsi"/>
          <w:i/>
          <w:color w:val="0070C0"/>
          <w:sz w:val="24"/>
          <w:szCs w:val="24"/>
          <w:lang w:val="ro-MD"/>
        </w:rPr>
        <w:t>de către avocați pe cauzele gestionate</w:t>
      </w:r>
      <w:r w:rsidR="00BE408F">
        <w:rPr>
          <w:rFonts w:asciiTheme="majorHAnsi" w:hAnsiTheme="majorHAnsi" w:cstheme="minorHAnsi"/>
          <w:i/>
          <w:color w:val="0070C0"/>
          <w:sz w:val="24"/>
          <w:szCs w:val="24"/>
          <w:lang w:val="ro-MD"/>
        </w:rPr>
        <w:t>.</w:t>
      </w:r>
      <w:r w:rsidRPr="00381DA2">
        <w:rPr>
          <w:rFonts w:asciiTheme="majorHAnsi" w:hAnsiTheme="majorHAnsi" w:cstheme="minorHAnsi"/>
          <w:i/>
          <w:color w:val="0070C0"/>
          <w:sz w:val="24"/>
          <w:szCs w:val="24"/>
          <w:lang w:val="ro-MD"/>
        </w:rPr>
        <w:t xml:space="preserve"> </w:t>
      </w:r>
    </w:p>
    <w:p w14:paraId="5413642B" w14:textId="2731A7D0" w:rsidR="00B907A3" w:rsidRPr="00381DA2" w:rsidRDefault="00BE408F" w:rsidP="003A66EF">
      <w:pPr>
        <w:tabs>
          <w:tab w:val="left" w:pos="360"/>
          <w:tab w:val="left" w:pos="450"/>
        </w:tabs>
        <w:spacing w:after="120" w:line="276" w:lineRule="auto"/>
        <w:jc w:val="both"/>
        <w:rPr>
          <w:rFonts w:asciiTheme="majorHAnsi" w:hAnsiTheme="majorHAnsi" w:cstheme="minorHAnsi"/>
          <w:sz w:val="24"/>
          <w:szCs w:val="24"/>
        </w:rPr>
      </w:pPr>
      <w:r>
        <w:rPr>
          <w:rFonts w:asciiTheme="majorHAnsi" w:hAnsiTheme="majorHAnsi" w:cstheme="minorHAnsi"/>
          <w:sz w:val="24"/>
          <w:szCs w:val="24"/>
        </w:rPr>
        <w:t>Î</w:t>
      </w:r>
      <w:r w:rsidR="00B907A3" w:rsidRPr="00381DA2">
        <w:rPr>
          <w:rFonts w:asciiTheme="majorHAnsi" w:hAnsiTheme="majorHAnsi" w:cstheme="minorHAnsi"/>
          <w:sz w:val="24"/>
          <w:szCs w:val="24"/>
        </w:rPr>
        <w:t xml:space="preserve">n scopul determinării circumstanțelor reale ale cazului </w:t>
      </w:r>
      <w:r>
        <w:rPr>
          <w:rFonts w:asciiTheme="majorHAnsi" w:hAnsiTheme="majorHAnsi" w:cstheme="minorHAnsi"/>
          <w:sz w:val="24"/>
          <w:szCs w:val="24"/>
        </w:rPr>
        <w:t xml:space="preserve">și </w:t>
      </w:r>
      <w:r w:rsidR="00EC7E65" w:rsidRPr="00381DA2">
        <w:rPr>
          <w:rFonts w:asciiTheme="majorHAnsi" w:hAnsiTheme="majorHAnsi" w:cstheme="minorHAnsi"/>
          <w:sz w:val="24"/>
          <w:szCs w:val="24"/>
        </w:rPr>
        <w:t xml:space="preserve">stabilirii </w:t>
      </w:r>
      <w:r w:rsidR="00B907A3" w:rsidRPr="00381DA2">
        <w:rPr>
          <w:rFonts w:asciiTheme="majorHAnsi" w:hAnsiTheme="majorHAnsi" w:cstheme="minorHAnsi"/>
          <w:sz w:val="24"/>
          <w:szCs w:val="24"/>
        </w:rPr>
        <w:t xml:space="preserve">tacticii și strategiei de apărare </w:t>
      </w:r>
      <w:r w:rsidR="00EC7E65" w:rsidRPr="00381DA2">
        <w:rPr>
          <w:rFonts w:asciiTheme="majorHAnsi" w:hAnsiTheme="majorHAnsi" w:cstheme="minorHAnsi"/>
          <w:sz w:val="24"/>
          <w:szCs w:val="24"/>
        </w:rPr>
        <w:t xml:space="preserve">a beneficiarului, </w:t>
      </w:r>
      <w:r>
        <w:rPr>
          <w:rFonts w:asciiTheme="majorHAnsi" w:hAnsiTheme="majorHAnsi" w:cstheme="minorHAnsi"/>
          <w:sz w:val="24"/>
          <w:szCs w:val="24"/>
        </w:rPr>
        <w:t xml:space="preserve">avocatul </w:t>
      </w:r>
      <w:r w:rsidR="00B907A3" w:rsidRPr="00381DA2">
        <w:rPr>
          <w:rFonts w:asciiTheme="majorHAnsi" w:hAnsiTheme="majorHAnsi" w:cstheme="minorHAnsi"/>
          <w:sz w:val="24"/>
          <w:szCs w:val="24"/>
        </w:rPr>
        <w:t xml:space="preserve">trebuie să comunice nemijlocit cu clienții săi. Astfel, pe parcursul urmăririi penale sau procesului judiciar în cazul </w:t>
      </w:r>
      <w:r>
        <w:rPr>
          <w:rFonts w:asciiTheme="majorHAnsi" w:hAnsiTheme="majorHAnsi" w:cstheme="minorHAnsi"/>
          <w:sz w:val="24"/>
          <w:szCs w:val="24"/>
        </w:rPr>
        <w:t>în care</w:t>
      </w:r>
      <w:r w:rsidR="00B907A3" w:rsidRPr="00381DA2">
        <w:rPr>
          <w:rFonts w:asciiTheme="majorHAnsi" w:hAnsiTheme="majorHAnsi" w:cstheme="minorHAnsi"/>
          <w:sz w:val="24"/>
          <w:szCs w:val="24"/>
        </w:rPr>
        <w:t xml:space="preserve"> beneficiarii/clienții s</w:t>
      </w:r>
      <w:r>
        <w:rPr>
          <w:rFonts w:asciiTheme="majorHAnsi" w:hAnsiTheme="majorHAnsi" w:cstheme="minorHAnsi"/>
          <w:sz w:val="24"/>
          <w:szCs w:val="24"/>
        </w:rPr>
        <w:t>u</w:t>
      </w:r>
      <w:r w:rsidR="00B907A3" w:rsidRPr="00381DA2">
        <w:rPr>
          <w:rFonts w:asciiTheme="majorHAnsi" w:hAnsiTheme="majorHAnsi" w:cstheme="minorHAnsi"/>
          <w:sz w:val="24"/>
          <w:szCs w:val="24"/>
        </w:rPr>
        <w:t>nt reținuți sau se află în detenție preventivă, avocatul urmează să îi viziteze în locurile de detenție. Este important ca până la întrevederea propriu</w:t>
      </w:r>
      <w:r>
        <w:rPr>
          <w:rFonts w:asciiTheme="majorHAnsi" w:hAnsiTheme="majorHAnsi" w:cstheme="minorHAnsi"/>
          <w:sz w:val="24"/>
          <w:szCs w:val="24"/>
        </w:rPr>
        <w:t>-</w:t>
      </w:r>
      <w:r w:rsidR="00B907A3" w:rsidRPr="00381DA2">
        <w:rPr>
          <w:rFonts w:asciiTheme="majorHAnsi" w:hAnsiTheme="majorHAnsi" w:cstheme="minorHAnsi"/>
          <w:sz w:val="24"/>
          <w:szCs w:val="24"/>
        </w:rPr>
        <w:t>zis</w:t>
      </w:r>
      <w:r w:rsidR="00C70CF9">
        <w:rPr>
          <w:rFonts w:asciiTheme="majorHAnsi" w:hAnsiTheme="majorHAnsi" w:cstheme="minorHAnsi"/>
          <w:sz w:val="24"/>
          <w:szCs w:val="24"/>
        </w:rPr>
        <w:t>ă</w:t>
      </w:r>
      <w:r w:rsidR="00B907A3" w:rsidRPr="00381DA2">
        <w:rPr>
          <w:rFonts w:asciiTheme="majorHAnsi" w:hAnsiTheme="majorHAnsi"/>
          <w:vertAlign w:val="superscript"/>
        </w:rPr>
        <w:footnoteReference w:id="62"/>
      </w:r>
      <w:r w:rsidR="00B907A3" w:rsidRPr="00381DA2">
        <w:rPr>
          <w:rFonts w:asciiTheme="majorHAnsi" w:hAnsiTheme="majorHAnsi" w:cstheme="minorHAnsi"/>
          <w:sz w:val="24"/>
          <w:szCs w:val="24"/>
        </w:rPr>
        <w:t>, avocatul să întreprindă măsuri orientate spre asigurarea calității pe tot parcursul reprezentării cazului, inclusiv să pregătească întrebări specifice referitoare la infracțiunea în privința căreia este pornită urmărirea penală.</w:t>
      </w:r>
    </w:p>
    <w:p w14:paraId="06F69CD7" w14:textId="3A713CD3" w:rsidR="00B907A3" w:rsidRPr="00381DA2" w:rsidRDefault="00B907A3"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Potrivit pct.3 alin</w:t>
      </w:r>
      <w:r w:rsidR="00C70CF9">
        <w:rPr>
          <w:rFonts w:asciiTheme="majorHAnsi" w:hAnsiTheme="majorHAnsi" w:cstheme="minorHAnsi"/>
          <w:sz w:val="24"/>
          <w:szCs w:val="24"/>
        </w:rPr>
        <w:t xml:space="preserve">.(2) lit. b) din Regulamentul </w:t>
      </w:r>
      <w:r w:rsidRPr="00381DA2">
        <w:rPr>
          <w:rFonts w:asciiTheme="majorHAnsi" w:hAnsiTheme="majorHAnsi" w:cstheme="minorHAnsi"/>
          <w:sz w:val="24"/>
          <w:szCs w:val="24"/>
        </w:rPr>
        <w:t>cu privire la mărimea și modul de remunerare a avocaților</w:t>
      </w:r>
      <w:r w:rsidRPr="00381DA2">
        <w:rPr>
          <w:rFonts w:asciiTheme="majorHAnsi" w:hAnsiTheme="majorHAnsi" w:cstheme="minorHAnsi"/>
          <w:sz w:val="24"/>
          <w:szCs w:val="24"/>
          <w:vertAlign w:val="superscript"/>
        </w:rPr>
        <w:footnoteReference w:id="63"/>
      </w:r>
      <w:r w:rsidRPr="00381DA2">
        <w:rPr>
          <w:rFonts w:asciiTheme="majorHAnsi" w:hAnsiTheme="majorHAnsi" w:cstheme="minorHAnsi"/>
          <w:sz w:val="24"/>
          <w:szCs w:val="24"/>
        </w:rPr>
        <w:t>,  întrevederi</w:t>
      </w:r>
      <w:r w:rsidR="00C70CF9">
        <w:rPr>
          <w:rFonts w:asciiTheme="majorHAnsi" w:hAnsiTheme="majorHAnsi" w:cstheme="minorHAnsi"/>
          <w:sz w:val="24"/>
          <w:szCs w:val="24"/>
        </w:rPr>
        <w:t>le cu beneficiarii asistenței juridice</w:t>
      </w:r>
      <w:r w:rsidR="003B24B6">
        <w:rPr>
          <w:rFonts w:asciiTheme="majorHAnsi" w:hAnsiTheme="majorHAnsi" w:cstheme="minorHAnsi"/>
          <w:sz w:val="24"/>
          <w:szCs w:val="24"/>
        </w:rPr>
        <w:t xml:space="preserve"> calificat</w:t>
      </w:r>
      <w:r w:rsidR="00C70CF9">
        <w:rPr>
          <w:rFonts w:asciiTheme="majorHAnsi" w:hAnsiTheme="majorHAnsi" w:cstheme="minorHAnsi"/>
          <w:sz w:val="24"/>
          <w:szCs w:val="24"/>
        </w:rPr>
        <w:t>e</w:t>
      </w:r>
      <w:r w:rsidRPr="00381DA2">
        <w:rPr>
          <w:rFonts w:asciiTheme="majorHAnsi" w:hAnsiTheme="majorHAnsi" w:cstheme="minorHAnsi"/>
          <w:sz w:val="24"/>
          <w:szCs w:val="24"/>
        </w:rPr>
        <w:t xml:space="preserve"> care se află în locurile de detenție</w:t>
      </w:r>
      <w:r w:rsidRPr="00381DA2">
        <w:rPr>
          <w:rFonts w:asciiTheme="majorHAnsi" w:hAnsiTheme="majorHAnsi" w:cstheme="minorHAnsi"/>
          <w:sz w:val="24"/>
          <w:szCs w:val="24"/>
          <w:vertAlign w:val="superscript"/>
        </w:rPr>
        <w:footnoteReference w:id="64"/>
      </w:r>
      <w:r w:rsidRPr="00381DA2">
        <w:rPr>
          <w:rFonts w:asciiTheme="majorHAnsi" w:hAnsiTheme="majorHAnsi" w:cstheme="minorHAnsi"/>
          <w:sz w:val="24"/>
          <w:szCs w:val="24"/>
          <w:vertAlign w:val="superscript"/>
        </w:rPr>
        <w:t xml:space="preserve"> </w:t>
      </w:r>
      <w:r w:rsidRPr="00381DA2">
        <w:rPr>
          <w:rFonts w:asciiTheme="majorHAnsi" w:hAnsiTheme="majorHAnsi" w:cstheme="minorHAnsi"/>
          <w:sz w:val="24"/>
          <w:szCs w:val="24"/>
        </w:rPr>
        <w:t>s</w:t>
      </w:r>
      <w:r w:rsidR="00BE408F">
        <w:rPr>
          <w:rFonts w:asciiTheme="majorHAnsi" w:hAnsiTheme="majorHAnsi" w:cstheme="minorHAnsi"/>
          <w:sz w:val="24"/>
          <w:szCs w:val="24"/>
        </w:rPr>
        <w:t>u</w:t>
      </w:r>
      <w:r w:rsidRPr="00381DA2">
        <w:rPr>
          <w:rFonts w:asciiTheme="majorHAnsi" w:hAnsiTheme="majorHAnsi" w:cstheme="minorHAnsi"/>
          <w:sz w:val="24"/>
          <w:szCs w:val="24"/>
        </w:rPr>
        <w:t>nt remunerate în mărime de 3 unități convenționale</w:t>
      </w:r>
      <w:r w:rsidRPr="00381DA2">
        <w:rPr>
          <w:rFonts w:asciiTheme="majorHAnsi" w:hAnsiTheme="majorHAnsi" w:cstheme="minorHAnsi"/>
          <w:sz w:val="24"/>
          <w:szCs w:val="24"/>
          <w:vertAlign w:val="superscript"/>
        </w:rPr>
        <w:footnoteReference w:id="65"/>
      </w:r>
      <w:r w:rsidRPr="00381DA2">
        <w:rPr>
          <w:rFonts w:asciiTheme="majorHAnsi" w:hAnsiTheme="majorHAnsi" w:cstheme="minorHAnsi"/>
          <w:sz w:val="24"/>
          <w:szCs w:val="24"/>
        </w:rPr>
        <w:t>. O altă speță a acestui punct o reprezintă faptul că s</w:t>
      </w:r>
      <w:r w:rsidR="00190A79">
        <w:rPr>
          <w:rFonts w:asciiTheme="majorHAnsi" w:hAnsiTheme="majorHAnsi" w:cstheme="minorHAnsi"/>
          <w:sz w:val="24"/>
          <w:szCs w:val="24"/>
        </w:rPr>
        <w:t>u</w:t>
      </w:r>
      <w:r w:rsidRPr="00381DA2">
        <w:rPr>
          <w:rFonts w:asciiTheme="majorHAnsi" w:hAnsiTheme="majorHAnsi" w:cstheme="minorHAnsi"/>
          <w:sz w:val="24"/>
          <w:szCs w:val="24"/>
        </w:rPr>
        <w:t xml:space="preserve">nt remunerabile nu mai mult de cinci întrevederi pe o cauză penală sau contravențională pe tot parcursul procesului, iar pe cauze civile și de contencios administrativ </w:t>
      </w:r>
      <w:r w:rsidR="00190A79">
        <w:rPr>
          <w:rFonts w:asciiTheme="majorHAnsi" w:hAnsiTheme="majorHAnsi" w:cstheme="minorHAnsi"/>
          <w:sz w:val="24"/>
          <w:szCs w:val="24"/>
        </w:rPr>
        <w:t xml:space="preserve">– </w:t>
      </w:r>
      <w:r w:rsidRPr="00381DA2">
        <w:rPr>
          <w:rFonts w:asciiTheme="majorHAnsi" w:hAnsiTheme="majorHAnsi" w:cstheme="minorHAnsi"/>
          <w:sz w:val="24"/>
          <w:szCs w:val="24"/>
        </w:rPr>
        <w:lastRenderedPageBreak/>
        <w:t>nu mai mult de o întâlnire pentru fiecare fază a procesului (prima instanță, apel, recurs, revizuire, executarea silită).</w:t>
      </w:r>
    </w:p>
    <w:p w14:paraId="3DEBA811" w14:textId="7DFB2EDC" w:rsidR="00B907A3" w:rsidRPr="00381DA2" w:rsidRDefault="00B907A3"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Verificarea cheltuielilor bugetare achitate în acest scop relevă neconformități legate </w:t>
      </w:r>
      <w:r w:rsidR="00190A79">
        <w:rPr>
          <w:rFonts w:asciiTheme="majorHAnsi" w:hAnsiTheme="majorHAnsi" w:cstheme="minorHAnsi"/>
          <w:sz w:val="24"/>
          <w:szCs w:val="24"/>
        </w:rPr>
        <w:t xml:space="preserve">atât </w:t>
      </w:r>
      <w:r w:rsidRPr="00381DA2">
        <w:rPr>
          <w:rFonts w:asciiTheme="majorHAnsi" w:hAnsiTheme="majorHAnsi" w:cstheme="minorHAnsi"/>
          <w:sz w:val="24"/>
          <w:szCs w:val="24"/>
        </w:rPr>
        <w:t>de nerespectarea procedurilor de justificare a plăților solicitate de avocați pentru acțiunile procesuale menționate</w:t>
      </w:r>
      <w:r w:rsidR="00C70CF9">
        <w:rPr>
          <w:rFonts w:asciiTheme="majorHAnsi" w:hAnsiTheme="majorHAnsi" w:cstheme="minorHAnsi"/>
          <w:sz w:val="24"/>
          <w:szCs w:val="24"/>
        </w:rPr>
        <w:t>,</w:t>
      </w:r>
      <w:r w:rsidRPr="00381DA2">
        <w:rPr>
          <w:rFonts w:asciiTheme="majorHAnsi" w:hAnsiTheme="majorHAnsi" w:cstheme="minorHAnsi"/>
          <w:sz w:val="24"/>
          <w:szCs w:val="24"/>
        </w:rPr>
        <w:t xml:space="preserve"> cât și </w:t>
      </w:r>
      <w:r w:rsidR="00190A79">
        <w:rPr>
          <w:rFonts w:asciiTheme="majorHAnsi" w:hAnsiTheme="majorHAnsi" w:cstheme="minorHAnsi"/>
          <w:sz w:val="24"/>
          <w:szCs w:val="24"/>
        </w:rPr>
        <w:t xml:space="preserve">de </w:t>
      </w:r>
      <w:r w:rsidRPr="00381DA2">
        <w:rPr>
          <w:rFonts w:asciiTheme="majorHAnsi" w:hAnsiTheme="majorHAnsi" w:cstheme="minorHAnsi"/>
          <w:sz w:val="24"/>
          <w:szCs w:val="24"/>
        </w:rPr>
        <w:t xml:space="preserve">lipsa unei monitorizări riguroase din partea OT ale CNAJGS </w:t>
      </w:r>
      <w:r w:rsidR="00190A79">
        <w:rPr>
          <w:rFonts w:asciiTheme="majorHAnsi" w:hAnsiTheme="majorHAnsi" w:cstheme="minorHAnsi"/>
          <w:sz w:val="24"/>
          <w:szCs w:val="24"/>
        </w:rPr>
        <w:t>asupra</w:t>
      </w:r>
      <w:r w:rsidRPr="00381DA2">
        <w:rPr>
          <w:rFonts w:asciiTheme="majorHAnsi" w:hAnsiTheme="majorHAnsi" w:cstheme="minorHAnsi"/>
          <w:sz w:val="24"/>
          <w:szCs w:val="24"/>
        </w:rPr>
        <w:t xml:space="preserve"> remuner</w:t>
      </w:r>
      <w:r w:rsidR="00190A79">
        <w:rPr>
          <w:rFonts w:asciiTheme="majorHAnsi" w:hAnsiTheme="majorHAnsi" w:cstheme="minorHAnsi"/>
          <w:sz w:val="24"/>
          <w:szCs w:val="24"/>
        </w:rPr>
        <w:t>ării</w:t>
      </w:r>
      <w:r w:rsidRPr="00381DA2">
        <w:rPr>
          <w:rFonts w:asciiTheme="majorHAnsi" w:hAnsiTheme="majorHAnsi" w:cstheme="minorHAnsi"/>
          <w:sz w:val="24"/>
          <w:szCs w:val="24"/>
        </w:rPr>
        <w:t xml:space="preserve"> acestora. Astfel, verificând 63 de vizite raportate de către avocați, în cadrul a 20%</w:t>
      </w:r>
      <w:r w:rsidRPr="00381DA2">
        <w:rPr>
          <w:rStyle w:val="FootnoteReference"/>
          <w:rFonts w:asciiTheme="majorHAnsi" w:hAnsiTheme="majorHAnsi" w:cstheme="minorHAnsi"/>
          <w:sz w:val="24"/>
          <w:szCs w:val="24"/>
        </w:rPr>
        <w:footnoteReference w:id="66"/>
      </w:r>
      <w:r w:rsidR="00C70CF9">
        <w:rPr>
          <w:rFonts w:asciiTheme="majorHAnsi" w:hAnsiTheme="majorHAnsi" w:cstheme="minorHAnsi"/>
          <w:sz w:val="24"/>
          <w:szCs w:val="24"/>
        </w:rPr>
        <w:t xml:space="preserve"> dintre acestea, </w:t>
      </w:r>
      <w:r w:rsidR="00190A79">
        <w:rPr>
          <w:rFonts w:asciiTheme="majorHAnsi" w:hAnsiTheme="majorHAnsi" w:cstheme="minorHAnsi"/>
          <w:sz w:val="24"/>
          <w:szCs w:val="24"/>
        </w:rPr>
        <w:t xml:space="preserve">auditul </w:t>
      </w:r>
      <w:r w:rsidR="00C70CF9">
        <w:rPr>
          <w:rFonts w:asciiTheme="majorHAnsi" w:hAnsiTheme="majorHAnsi" w:cstheme="minorHAnsi"/>
          <w:sz w:val="24"/>
          <w:szCs w:val="24"/>
        </w:rPr>
        <w:t xml:space="preserve">a </w:t>
      </w:r>
      <w:r w:rsidRPr="00381DA2">
        <w:rPr>
          <w:rFonts w:asciiTheme="majorHAnsi" w:hAnsiTheme="majorHAnsi" w:cstheme="minorHAnsi"/>
          <w:sz w:val="24"/>
          <w:szCs w:val="24"/>
        </w:rPr>
        <w:t xml:space="preserve">identificat erori și neconformități la achitarea lor. În acest context se </w:t>
      </w:r>
      <w:r w:rsidR="00190A79">
        <w:rPr>
          <w:rFonts w:asciiTheme="majorHAnsi" w:hAnsiTheme="majorHAnsi" w:cstheme="minorHAnsi"/>
          <w:sz w:val="24"/>
          <w:szCs w:val="24"/>
        </w:rPr>
        <w:t>relevă</w:t>
      </w:r>
      <w:r w:rsidR="00190A79" w:rsidRPr="00381DA2">
        <w:rPr>
          <w:rFonts w:asciiTheme="majorHAnsi" w:hAnsiTheme="majorHAnsi" w:cstheme="minorHAnsi"/>
          <w:sz w:val="24"/>
          <w:szCs w:val="24"/>
        </w:rPr>
        <w:t xml:space="preserve"> </w:t>
      </w:r>
      <w:r w:rsidRPr="00381DA2">
        <w:rPr>
          <w:rFonts w:asciiTheme="majorHAnsi" w:hAnsiTheme="majorHAnsi" w:cstheme="minorHAnsi"/>
          <w:sz w:val="24"/>
          <w:szCs w:val="24"/>
        </w:rPr>
        <w:t>următoarele</w:t>
      </w:r>
      <w:r w:rsidR="00190A79">
        <w:rPr>
          <w:rFonts w:asciiTheme="majorHAnsi" w:hAnsiTheme="majorHAnsi" w:cstheme="minorHAnsi"/>
          <w:sz w:val="24"/>
          <w:szCs w:val="24"/>
        </w:rPr>
        <w:t>:</w:t>
      </w:r>
      <w:r w:rsidRPr="00381DA2">
        <w:rPr>
          <w:rFonts w:asciiTheme="majorHAnsi" w:hAnsiTheme="majorHAnsi" w:cstheme="minorHAnsi"/>
          <w:sz w:val="24"/>
          <w:szCs w:val="24"/>
        </w:rPr>
        <w:t xml:space="preserve"> </w:t>
      </w:r>
    </w:p>
    <w:p w14:paraId="149B645A" w14:textId="59271AED" w:rsidR="00B907A3" w:rsidRPr="00D341A8" w:rsidRDefault="00190A79" w:rsidP="003A66EF">
      <w:pPr>
        <w:pStyle w:val="ListParagraph"/>
        <w:numPr>
          <w:ilvl w:val="0"/>
          <w:numId w:val="25"/>
        </w:numPr>
        <w:spacing w:after="120" w:line="276" w:lineRule="auto"/>
        <w:jc w:val="both"/>
        <w:rPr>
          <w:rFonts w:asciiTheme="majorHAnsi" w:hAnsiTheme="majorHAnsi" w:cstheme="minorHAnsi"/>
          <w:sz w:val="24"/>
          <w:szCs w:val="24"/>
          <w:lang w:val="ro-MD"/>
        </w:rPr>
      </w:pPr>
      <w:r>
        <w:rPr>
          <w:rFonts w:asciiTheme="majorHAnsi" w:hAnsiTheme="majorHAnsi" w:cstheme="minorHAnsi"/>
          <w:sz w:val="24"/>
          <w:szCs w:val="24"/>
          <w:lang w:val="ro-MD"/>
        </w:rPr>
        <w:t>la</w:t>
      </w:r>
      <w:r w:rsidR="00B907A3" w:rsidRPr="00381DA2">
        <w:rPr>
          <w:rFonts w:asciiTheme="majorHAnsi" w:hAnsiTheme="majorHAnsi" w:cstheme="minorHAnsi"/>
          <w:sz w:val="24"/>
          <w:szCs w:val="24"/>
          <w:lang w:val="ro-MD"/>
        </w:rPr>
        <w:t xml:space="preserve"> contrapuner</w:t>
      </w:r>
      <w:r>
        <w:rPr>
          <w:rFonts w:asciiTheme="majorHAnsi" w:hAnsiTheme="majorHAnsi" w:cstheme="minorHAnsi"/>
          <w:sz w:val="24"/>
          <w:szCs w:val="24"/>
          <w:lang w:val="ro-MD"/>
        </w:rPr>
        <w:t>ea</w:t>
      </w:r>
      <w:r w:rsidR="00B907A3" w:rsidRPr="00381DA2">
        <w:rPr>
          <w:rStyle w:val="FootnoteReference"/>
          <w:rFonts w:asciiTheme="majorHAnsi" w:hAnsiTheme="majorHAnsi" w:cstheme="minorHAnsi"/>
          <w:sz w:val="24"/>
          <w:szCs w:val="24"/>
        </w:rPr>
        <w:footnoteReference w:id="67"/>
      </w:r>
      <w:r w:rsidR="00B907A3" w:rsidRPr="00381DA2">
        <w:rPr>
          <w:rFonts w:asciiTheme="majorHAnsi" w:hAnsiTheme="majorHAnsi" w:cstheme="minorHAnsi"/>
          <w:sz w:val="24"/>
          <w:szCs w:val="24"/>
          <w:lang w:val="ro-MD"/>
        </w:rPr>
        <w:t xml:space="preserve"> datelor din Rapoartele de activitate al</w:t>
      </w:r>
      <w:r w:rsidR="00C70CF9">
        <w:rPr>
          <w:rFonts w:asciiTheme="majorHAnsi" w:hAnsiTheme="majorHAnsi" w:cstheme="minorHAnsi"/>
          <w:sz w:val="24"/>
          <w:szCs w:val="24"/>
          <w:lang w:val="ro-MD"/>
        </w:rPr>
        <w:t>e</w:t>
      </w:r>
      <w:r w:rsidR="00B907A3" w:rsidRPr="00381DA2">
        <w:rPr>
          <w:rFonts w:asciiTheme="majorHAnsi" w:hAnsiTheme="majorHAnsi" w:cstheme="minorHAnsi"/>
          <w:sz w:val="24"/>
          <w:szCs w:val="24"/>
          <w:lang w:val="ro-MD"/>
        </w:rPr>
        <w:t xml:space="preserve"> avocaților cu informați</w:t>
      </w:r>
      <w:r>
        <w:rPr>
          <w:rFonts w:asciiTheme="majorHAnsi" w:hAnsiTheme="majorHAnsi" w:cstheme="minorHAnsi"/>
          <w:sz w:val="24"/>
          <w:szCs w:val="24"/>
          <w:lang w:val="ro-MD"/>
        </w:rPr>
        <w:t>ile</w:t>
      </w:r>
      <w:r w:rsidR="00B907A3" w:rsidRPr="00381DA2">
        <w:rPr>
          <w:rFonts w:asciiTheme="majorHAnsi" w:hAnsiTheme="majorHAnsi" w:cstheme="minorHAnsi"/>
          <w:sz w:val="24"/>
          <w:szCs w:val="24"/>
          <w:lang w:val="ro-MD"/>
        </w:rPr>
        <w:t xml:space="preserve"> din Registrele de evidență a</w:t>
      </w:r>
      <w:r>
        <w:rPr>
          <w:rFonts w:asciiTheme="majorHAnsi" w:hAnsiTheme="majorHAnsi" w:cstheme="minorHAnsi"/>
          <w:sz w:val="24"/>
          <w:szCs w:val="24"/>
          <w:lang w:val="ro-MD"/>
        </w:rPr>
        <w:t>le</w:t>
      </w:r>
      <w:r w:rsidR="00B907A3" w:rsidRPr="00381DA2">
        <w:rPr>
          <w:rFonts w:asciiTheme="majorHAnsi" w:hAnsiTheme="majorHAnsi" w:cstheme="minorHAnsi"/>
          <w:sz w:val="24"/>
          <w:szCs w:val="24"/>
          <w:lang w:val="ro-MD"/>
        </w:rPr>
        <w:t xml:space="preserve"> Penitenciarului nr.13 – Chișinău, s-a</w:t>
      </w:r>
      <w:r>
        <w:rPr>
          <w:rFonts w:asciiTheme="majorHAnsi" w:hAnsiTheme="majorHAnsi" w:cstheme="minorHAnsi"/>
          <w:sz w:val="24"/>
          <w:szCs w:val="24"/>
          <w:lang w:val="ro-MD"/>
        </w:rPr>
        <w:t xml:space="preserve"> stabilit</w:t>
      </w:r>
      <w:r w:rsidR="00B907A3" w:rsidRPr="00381DA2">
        <w:rPr>
          <w:rFonts w:asciiTheme="majorHAnsi" w:hAnsiTheme="majorHAnsi" w:cstheme="minorHAnsi"/>
          <w:sz w:val="24"/>
          <w:szCs w:val="24"/>
          <w:lang w:val="ro-MD"/>
        </w:rPr>
        <w:t xml:space="preserve"> că</w:t>
      </w:r>
      <w:r>
        <w:rPr>
          <w:rFonts w:asciiTheme="majorHAnsi" w:hAnsiTheme="majorHAnsi" w:cstheme="minorHAnsi"/>
          <w:sz w:val="24"/>
          <w:szCs w:val="24"/>
          <w:lang w:val="ro-MD"/>
        </w:rPr>
        <w:t>,</w:t>
      </w:r>
      <w:r w:rsidR="00B907A3" w:rsidRPr="00381DA2">
        <w:rPr>
          <w:rFonts w:asciiTheme="majorHAnsi" w:hAnsiTheme="majorHAnsi" w:cstheme="minorHAnsi"/>
          <w:sz w:val="24"/>
          <w:szCs w:val="24"/>
          <w:lang w:val="ro-MD"/>
        </w:rPr>
        <w:t xml:space="preserve"> în cazul a 4 avocați</w:t>
      </w:r>
      <w:r>
        <w:rPr>
          <w:rFonts w:asciiTheme="majorHAnsi" w:hAnsiTheme="majorHAnsi" w:cstheme="minorHAnsi"/>
          <w:sz w:val="24"/>
          <w:szCs w:val="24"/>
          <w:lang w:val="ro-MD"/>
        </w:rPr>
        <w:t>,</w:t>
      </w:r>
      <w:r w:rsidR="00B907A3" w:rsidRPr="00381DA2">
        <w:rPr>
          <w:rFonts w:asciiTheme="majorHAnsi" w:hAnsiTheme="majorHAnsi" w:cstheme="minorHAnsi"/>
          <w:sz w:val="24"/>
          <w:szCs w:val="24"/>
          <w:lang w:val="ro-MD"/>
        </w:rPr>
        <w:t xml:space="preserve"> nu există înscrieri privind 5 vizite efectuate în penitenciar, deși acestea au fost raportate și</w:t>
      </w:r>
      <w:r>
        <w:rPr>
          <w:rFonts w:asciiTheme="majorHAnsi" w:hAnsiTheme="majorHAnsi" w:cstheme="minorHAnsi"/>
          <w:sz w:val="24"/>
          <w:szCs w:val="24"/>
          <w:lang w:val="ro-MD"/>
        </w:rPr>
        <w:t>,</w:t>
      </w:r>
      <w:r w:rsidR="00B907A3" w:rsidRPr="00381DA2">
        <w:rPr>
          <w:rFonts w:asciiTheme="majorHAnsi" w:hAnsiTheme="majorHAnsi" w:cstheme="minorHAnsi"/>
          <w:sz w:val="24"/>
          <w:szCs w:val="24"/>
          <w:lang w:val="ro-MD"/>
        </w:rPr>
        <w:t xml:space="preserve"> respectiv</w:t>
      </w:r>
      <w:r>
        <w:rPr>
          <w:rFonts w:asciiTheme="majorHAnsi" w:hAnsiTheme="majorHAnsi" w:cstheme="minorHAnsi"/>
          <w:sz w:val="24"/>
          <w:szCs w:val="24"/>
          <w:lang w:val="ro-MD"/>
        </w:rPr>
        <w:t>,</w:t>
      </w:r>
      <w:r w:rsidR="00B907A3" w:rsidRPr="00381DA2">
        <w:rPr>
          <w:rFonts w:asciiTheme="majorHAnsi" w:hAnsiTheme="majorHAnsi" w:cstheme="minorHAnsi"/>
          <w:sz w:val="24"/>
          <w:szCs w:val="24"/>
          <w:lang w:val="ro-MD"/>
        </w:rPr>
        <w:t xml:space="preserve"> au fost achitate. </w:t>
      </w:r>
      <w:r>
        <w:rPr>
          <w:rFonts w:asciiTheme="majorHAnsi" w:hAnsiTheme="majorHAnsi" w:cstheme="minorHAnsi"/>
          <w:sz w:val="24"/>
          <w:szCs w:val="24"/>
          <w:lang w:val="ro-MD"/>
        </w:rPr>
        <w:t>Deși</w:t>
      </w:r>
      <w:r w:rsidR="00B907A3" w:rsidRPr="00381DA2">
        <w:rPr>
          <w:rFonts w:asciiTheme="majorHAnsi" w:hAnsiTheme="majorHAnsi" w:cstheme="minorHAnsi"/>
          <w:sz w:val="24"/>
          <w:szCs w:val="24"/>
          <w:lang w:val="ro-MD"/>
        </w:rPr>
        <w:t xml:space="preserve"> echipei </w:t>
      </w:r>
      <w:r w:rsidR="00C70CF9">
        <w:rPr>
          <w:rFonts w:asciiTheme="majorHAnsi" w:hAnsiTheme="majorHAnsi" w:cstheme="minorHAnsi"/>
          <w:sz w:val="24"/>
          <w:szCs w:val="24"/>
          <w:lang w:val="ro-MD"/>
        </w:rPr>
        <w:t xml:space="preserve">de audit </w:t>
      </w:r>
      <w:r w:rsidR="00B907A3" w:rsidRPr="00381DA2">
        <w:rPr>
          <w:rFonts w:asciiTheme="majorHAnsi" w:hAnsiTheme="majorHAnsi" w:cstheme="minorHAnsi"/>
          <w:sz w:val="24"/>
          <w:szCs w:val="24"/>
          <w:lang w:val="ro-MD"/>
        </w:rPr>
        <w:t>i-au fost prezentate unele documente, acestea nu demonstrează efectiv realizarea acțiuni</w:t>
      </w:r>
      <w:r w:rsidR="00C70CF9">
        <w:rPr>
          <w:rFonts w:asciiTheme="majorHAnsi" w:hAnsiTheme="majorHAnsi" w:cstheme="minorHAnsi"/>
          <w:sz w:val="24"/>
          <w:szCs w:val="24"/>
          <w:lang w:val="ro-MD"/>
        </w:rPr>
        <w:t>lor nominalizate</w:t>
      </w:r>
      <w:r w:rsidR="00B907A3" w:rsidRPr="00381DA2">
        <w:rPr>
          <w:rFonts w:asciiTheme="majorHAnsi" w:hAnsiTheme="majorHAnsi" w:cstheme="minorHAnsi"/>
          <w:sz w:val="24"/>
          <w:szCs w:val="24"/>
          <w:lang w:val="ro-MD"/>
        </w:rPr>
        <w:t>. Or, în setul de acte nu se regăsesc anexate cererile prestabilite</w:t>
      </w:r>
      <w:r w:rsidR="00B907A3" w:rsidRPr="00381DA2">
        <w:rPr>
          <w:rStyle w:val="FootnoteReference"/>
          <w:rFonts w:asciiTheme="majorHAnsi" w:hAnsiTheme="majorHAnsi" w:cstheme="minorHAnsi"/>
          <w:sz w:val="24"/>
          <w:szCs w:val="24"/>
          <w:lang w:val="ro-MD"/>
        </w:rPr>
        <w:footnoteReference w:id="68"/>
      </w:r>
      <w:r w:rsidR="00B907A3" w:rsidRPr="00381DA2">
        <w:rPr>
          <w:rFonts w:asciiTheme="majorHAnsi" w:hAnsiTheme="majorHAnsi" w:cstheme="minorHAnsi"/>
          <w:sz w:val="24"/>
          <w:szCs w:val="24"/>
          <w:lang w:val="ro-MD"/>
        </w:rPr>
        <w:t xml:space="preserve"> de MJ privind efectuarea întrevederilor a</w:t>
      </w:r>
      <w:r>
        <w:rPr>
          <w:rFonts w:asciiTheme="majorHAnsi" w:hAnsiTheme="majorHAnsi" w:cstheme="minorHAnsi"/>
          <w:sz w:val="24"/>
          <w:szCs w:val="24"/>
          <w:lang w:val="ro-MD"/>
        </w:rPr>
        <w:t>le</w:t>
      </w:r>
      <w:r w:rsidR="00B907A3" w:rsidRPr="00381DA2">
        <w:rPr>
          <w:rFonts w:asciiTheme="majorHAnsi" w:hAnsiTheme="majorHAnsi" w:cstheme="minorHAnsi"/>
          <w:sz w:val="24"/>
          <w:szCs w:val="24"/>
          <w:lang w:val="ro-MD"/>
        </w:rPr>
        <w:t xml:space="preserve"> tuturor persoanelor care intră/ies din penitenciare</w:t>
      </w:r>
      <w:r>
        <w:rPr>
          <w:rFonts w:asciiTheme="majorHAnsi" w:hAnsiTheme="majorHAnsi" w:cstheme="minorHAnsi"/>
          <w:sz w:val="24"/>
          <w:szCs w:val="24"/>
          <w:lang w:val="ro-MD"/>
        </w:rPr>
        <w:t>,</w:t>
      </w:r>
      <w:r w:rsidR="00B907A3" w:rsidRPr="00381DA2">
        <w:rPr>
          <w:rFonts w:asciiTheme="majorHAnsi" w:hAnsiTheme="majorHAnsi" w:cstheme="minorHAnsi"/>
          <w:sz w:val="24"/>
          <w:szCs w:val="24"/>
          <w:lang w:val="ro-MD"/>
        </w:rPr>
        <w:t xml:space="preserve"> precum și formular</w:t>
      </w:r>
      <w:r>
        <w:rPr>
          <w:rFonts w:asciiTheme="majorHAnsi" w:hAnsiTheme="majorHAnsi" w:cstheme="minorHAnsi"/>
          <w:sz w:val="24"/>
          <w:szCs w:val="24"/>
          <w:lang w:val="ro-MD"/>
        </w:rPr>
        <w:t>ele</w:t>
      </w:r>
      <w:r w:rsidR="00B907A3" w:rsidRPr="00381DA2">
        <w:rPr>
          <w:rFonts w:asciiTheme="majorHAnsi" w:hAnsiTheme="majorHAnsi" w:cstheme="minorHAnsi"/>
          <w:sz w:val="24"/>
          <w:szCs w:val="24"/>
          <w:lang w:val="ro-MD"/>
        </w:rPr>
        <w:t xml:space="preserve">  aprobat</w:t>
      </w:r>
      <w:r>
        <w:rPr>
          <w:rFonts w:asciiTheme="majorHAnsi" w:hAnsiTheme="majorHAnsi" w:cstheme="minorHAnsi"/>
          <w:sz w:val="24"/>
          <w:szCs w:val="24"/>
          <w:lang w:val="ro-MD"/>
        </w:rPr>
        <w:t>e</w:t>
      </w:r>
      <w:r w:rsidR="00B907A3" w:rsidRPr="00381DA2">
        <w:rPr>
          <w:rFonts w:asciiTheme="majorHAnsi" w:hAnsiTheme="majorHAnsi" w:cstheme="minorHAnsi"/>
          <w:sz w:val="24"/>
          <w:szCs w:val="24"/>
          <w:lang w:val="ro-MD"/>
        </w:rPr>
        <w:t xml:space="preserve"> de CNAJGS </w:t>
      </w:r>
      <w:r w:rsidR="00B907A3" w:rsidRPr="00D341A8">
        <w:rPr>
          <w:rFonts w:asciiTheme="majorHAnsi" w:hAnsiTheme="majorHAnsi" w:cstheme="minorHAnsi"/>
          <w:sz w:val="24"/>
          <w:szCs w:val="24"/>
          <w:lang w:val="ro-MD"/>
        </w:rPr>
        <w:t>pentru confirmarea vizitelor, act</w:t>
      </w:r>
      <w:r w:rsidRPr="00D341A8">
        <w:rPr>
          <w:rFonts w:asciiTheme="majorHAnsi" w:hAnsiTheme="majorHAnsi" w:cstheme="minorHAnsi"/>
          <w:sz w:val="24"/>
          <w:szCs w:val="24"/>
          <w:lang w:val="ro-MD"/>
        </w:rPr>
        <w:t>e</w:t>
      </w:r>
      <w:r w:rsidR="00B907A3" w:rsidRPr="00D341A8">
        <w:rPr>
          <w:rFonts w:asciiTheme="majorHAnsi" w:hAnsiTheme="majorHAnsi" w:cstheme="minorHAnsi"/>
          <w:sz w:val="24"/>
          <w:szCs w:val="24"/>
          <w:lang w:val="ro-MD"/>
        </w:rPr>
        <w:t xml:space="preserve"> obligatori</w:t>
      </w:r>
      <w:r w:rsidRPr="00D341A8">
        <w:rPr>
          <w:rFonts w:asciiTheme="majorHAnsi" w:hAnsiTheme="majorHAnsi" w:cstheme="minorHAnsi"/>
          <w:sz w:val="24"/>
          <w:szCs w:val="24"/>
          <w:lang w:val="ro-MD"/>
        </w:rPr>
        <w:t>i</w:t>
      </w:r>
      <w:r w:rsidR="00B907A3" w:rsidRPr="00D341A8">
        <w:rPr>
          <w:rFonts w:asciiTheme="majorHAnsi" w:hAnsiTheme="majorHAnsi" w:cstheme="minorHAnsi"/>
          <w:sz w:val="24"/>
          <w:szCs w:val="24"/>
          <w:lang w:val="ro-MD"/>
        </w:rPr>
        <w:t xml:space="preserve"> </w:t>
      </w:r>
      <w:r w:rsidRPr="00D341A8">
        <w:rPr>
          <w:rFonts w:asciiTheme="majorHAnsi" w:hAnsiTheme="majorHAnsi" w:cstheme="minorHAnsi"/>
          <w:sz w:val="24"/>
          <w:szCs w:val="24"/>
          <w:lang w:val="ro-MD"/>
        </w:rPr>
        <w:t>care</w:t>
      </w:r>
      <w:r w:rsidR="00B907A3" w:rsidRPr="00D341A8">
        <w:rPr>
          <w:rFonts w:asciiTheme="majorHAnsi" w:hAnsiTheme="majorHAnsi" w:cstheme="minorHAnsi"/>
          <w:sz w:val="24"/>
          <w:szCs w:val="24"/>
          <w:lang w:val="ro-MD"/>
        </w:rPr>
        <w:t xml:space="preserve"> necesită a fi anexat</w:t>
      </w:r>
      <w:r w:rsidRPr="00D341A8">
        <w:rPr>
          <w:rFonts w:asciiTheme="majorHAnsi" w:hAnsiTheme="majorHAnsi" w:cstheme="minorHAnsi"/>
          <w:sz w:val="24"/>
          <w:szCs w:val="24"/>
          <w:lang w:val="ro-MD"/>
        </w:rPr>
        <w:t>e</w:t>
      </w:r>
      <w:r w:rsidR="00B907A3" w:rsidRPr="00D341A8">
        <w:rPr>
          <w:rFonts w:asciiTheme="majorHAnsi" w:hAnsiTheme="majorHAnsi" w:cstheme="minorHAnsi"/>
          <w:sz w:val="24"/>
          <w:szCs w:val="24"/>
          <w:lang w:val="ro-MD"/>
        </w:rPr>
        <w:t xml:space="preserve"> la dosarul în apărare ținut de </w:t>
      </w:r>
      <w:r w:rsidR="00500CCE" w:rsidRPr="00D341A8">
        <w:rPr>
          <w:rFonts w:asciiTheme="majorHAnsi" w:hAnsiTheme="majorHAnsi" w:cstheme="minorHAnsi"/>
          <w:sz w:val="24"/>
          <w:szCs w:val="24"/>
          <w:lang w:val="ro-MD"/>
        </w:rPr>
        <w:t>avocați</w:t>
      </w:r>
      <w:r w:rsidR="00B907A3" w:rsidRPr="00D341A8">
        <w:rPr>
          <w:rFonts w:asciiTheme="majorHAnsi" w:hAnsiTheme="majorHAnsi" w:cstheme="minorHAnsi"/>
          <w:sz w:val="24"/>
          <w:szCs w:val="24"/>
          <w:lang w:val="ro-MD"/>
        </w:rPr>
        <w:t xml:space="preserve">. </w:t>
      </w:r>
    </w:p>
    <w:p w14:paraId="286591CF" w14:textId="156CEFB2" w:rsidR="00B907A3" w:rsidRPr="00381DA2" w:rsidRDefault="00B907A3" w:rsidP="003A66EF">
      <w:pPr>
        <w:pStyle w:val="ListParagraph"/>
        <w:spacing w:after="120" w:line="276" w:lineRule="auto"/>
        <w:contextualSpacing w:val="0"/>
        <w:jc w:val="both"/>
        <w:rPr>
          <w:rFonts w:asciiTheme="majorHAnsi" w:hAnsiTheme="majorHAnsi" w:cstheme="minorHAnsi"/>
          <w:sz w:val="24"/>
          <w:szCs w:val="24"/>
          <w:lang w:val="ro-MD"/>
        </w:rPr>
      </w:pPr>
      <w:r w:rsidRPr="00D341A8">
        <w:rPr>
          <w:rFonts w:asciiTheme="majorHAnsi" w:hAnsiTheme="majorHAnsi" w:cstheme="minorHAnsi"/>
          <w:sz w:val="24"/>
          <w:szCs w:val="24"/>
          <w:lang w:val="ro-MD"/>
        </w:rPr>
        <w:t>Cu toate că apărătorii insistă asupra realizării acțiunilor raportate</w:t>
      </w:r>
      <w:r w:rsidRPr="00381DA2">
        <w:rPr>
          <w:rFonts w:asciiTheme="majorHAnsi" w:hAnsiTheme="majorHAnsi" w:cstheme="minorHAnsi"/>
          <w:sz w:val="24"/>
          <w:szCs w:val="24"/>
          <w:lang w:val="ro-MD"/>
        </w:rPr>
        <w:t>, din informați</w:t>
      </w:r>
      <w:r w:rsidR="00BB01FB">
        <w:rPr>
          <w:rFonts w:asciiTheme="majorHAnsi" w:hAnsiTheme="majorHAnsi" w:cstheme="minorHAnsi"/>
          <w:sz w:val="24"/>
          <w:szCs w:val="24"/>
          <w:lang w:val="ro-MD"/>
        </w:rPr>
        <w:t>ile</w:t>
      </w:r>
      <w:r w:rsidRPr="00381DA2">
        <w:rPr>
          <w:rFonts w:asciiTheme="majorHAnsi" w:hAnsiTheme="majorHAnsi" w:cstheme="minorHAnsi"/>
          <w:sz w:val="24"/>
          <w:szCs w:val="24"/>
          <w:lang w:val="ro-MD"/>
        </w:rPr>
        <w:t xml:space="preserve"> prezentat</w:t>
      </w:r>
      <w:r w:rsidR="00BB01FB">
        <w:rPr>
          <w:rFonts w:asciiTheme="majorHAnsi" w:hAnsiTheme="majorHAnsi" w:cstheme="minorHAnsi"/>
          <w:sz w:val="24"/>
          <w:szCs w:val="24"/>
          <w:lang w:val="ro-MD"/>
        </w:rPr>
        <w:t>e</w:t>
      </w:r>
      <w:r w:rsidRPr="00381DA2">
        <w:rPr>
          <w:rFonts w:asciiTheme="majorHAnsi" w:hAnsiTheme="majorHAnsi" w:cstheme="minorHAnsi"/>
          <w:sz w:val="24"/>
          <w:szCs w:val="24"/>
          <w:lang w:val="ro-MD"/>
        </w:rPr>
        <w:t xml:space="preserve"> de </w:t>
      </w:r>
      <w:r w:rsidR="00BB01FB">
        <w:rPr>
          <w:rFonts w:asciiTheme="majorHAnsi" w:hAnsiTheme="majorHAnsi" w:cstheme="minorHAnsi"/>
          <w:sz w:val="24"/>
          <w:szCs w:val="24"/>
          <w:lang w:val="ro-MD"/>
        </w:rPr>
        <w:t xml:space="preserve">administrația </w:t>
      </w:r>
      <w:r w:rsidRPr="00381DA2">
        <w:rPr>
          <w:rFonts w:asciiTheme="majorHAnsi" w:hAnsiTheme="majorHAnsi" w:cstheme="minorHAnsi"/>
          <w:sz w:val="24"/>
          <w:szCs w:val="24"/>
          <w:lang w:val="ro-MD"/>
        </w:rPr>
        <w:t>Penitenciarul</w:t>
      </w:r>
      <w:r w:rsidR="00BB01FB">
        <w:rPr>
          <w:rFonts w:asciiTheme="majorHAnsi" w:hAnsiTheme="majorHAnsi" w:cstheme="minorHAnsi"/>
          <w:sz w:val="24"/>
          <w:szCs w:val="24"/>
          <w:lang w:val="ro-MD"/>
        </w:rPr>
        <w:t>ui</w:t>
      </w:r>
      <w:r w:rsidRPr="00381DA2">
        <w:rPr>
          <w:rFonts w:asciiTheme="majorHAnsi" w:hAnsiTheme="majorHAnsi" w:cstheme="minorHAnsi"/>
          <w:sz w:val="24"/>
          <w:szCs w:val="24"/>
          <w:lang w:val="ro-MD"/>
        </w:rPr>
        <w:t xml:space="preserve"> nr.13</w:t>
      </w:r>
      <w:r w:rsidRPr="00381DA2">
        <w:rPr>
          <w:rStyle w:val="FootnoteReference"/>
          <w:rFonts w:asciiTheme="majorHAnsi" w:hAnsiTheme="majorHAnsi" w:cstheme="minorHAnsi"/>
          <w:sz w:val="24"/>
          <w:szCs w:val="24"/>
          <w:lang w:val="ro-MD"/>
        </w:rPr>
        <w:footnoteReference w:id="69"/>
      </w:r>
      <w:r w:rsidRPr="00381DA2">
        <w:rPr>
          <w:rFonts w:asciiTheme="majorHAnsi" w:hAnsiTheme="majorHAnsi" w:cstheme="minorHAnsi"/>
          <w:sz w:val="24"/>
          <w:szCs w:val="24"/>
          <w:lang w:val="ro-MD"/>
        </w:rPr>
        <w:t xml:space="preserve"> </w:t>
      </w:r>
      <w:r w:rsidR="007806FE">
        <w:rPr>
          <w:rFonts w:asciiTheme="majorHAnsi" w:hAnsiTheme="majorHAnsi" w:cstheme="minorHAnsi"/>
          <w:sz w:val="24"/>
          <w:szCs w:val="24"/>
          <w:lang w:val="ro-MD"/>
        </w:rPr>
        <w:t>rezultă</w:t>
      </w:r>
      <w:r w:rsidRPr="00381DA2">
        <w:rPr>
          <w:rFonts w:asciiTheme="majorHAnsi" w:hAnsiTheme="majorHAnsi" w:cstheme="minorHAnsi"/>
          <w:sz w:val="24"/>
          <w:szCs w:val="24"/>
          <w:lang w:val="ro-MD"/>
        </w:rPr>
        <w:t xml:space="preserve"> că efectuarea vizitelor în instituția de detenție este asigurată în condiții regulamentare și</w:t>
      </w:r>
      <w:r w:rsidR="007806FE">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indiferent de scopul vizitei, toate persoanele, fără excepție, s</w:t>
      </w:r>
      <w:r w:rsidR="00BB01FB">
        <w:rPr>
          <w:rFonts w:asciiTheme="majorHAnsi" w:hAnsiTheme="majorHAnsi" w:cstheme="minorHAnsi"/>
          <w:sz w:val="24"/>
          <w:szCs w:val="24"/>
          <w:lang w:val="ro-MD"/>
        </w:rPr>
        <w:t>u</w:t>
      </w:r>
      <w:r w:rsidRPr="00381DA2">
        <w:rPr>
          <w:rFonts w:asciiTheme="majorHAnsi" w:hAnsiTheme="majorHAnsi" w:cstheme="minorHAnsi"/>
          <w:sz w:val="24"/>
          <w:szCs w:val="24"/>
          <w:lang w:val="ro-MD"/>
        </w:rPr>
        <w:t>nt înregistrate în Registrul de evidență a persoanelor ce acced în/din penitenciar</w:t>
      </w:r>
      <w:r w:rsidRPr="00381DA2">
        <w:rPr>
          <w:rStyle w:val="FootnoteReference"/>
          <w:rFonts w:asciiTheme="majorHAnsi" w:hAnsiTheme="majorHAnsi" w:cstheme="minorHAnsi"/>
          <w:sz w:val="24"/>
          <w:szCs w:val="24"/>
          <w:lang w:val="ro-MD"/>
        </w:rPr>
        <w:footnoteReference w:id="70"/>
      </w:r>
      <w:r w:rsidR="00BB01FB">
        <w:rPr>
          <w:rFonts w:asciiTheme="majorHAnsi" w:hAnsiTheme="majorHAnsi" w:cstheme="minorHAnsi"/>
          <w:sz w:val="24"/>
          <w:szCs w:val="24"/>
          <w:lang w:val="ro-MD"/>
        </w:rPr>
        <w:t>;</w:t>
      </w:r>
    </w:p>
    <w:p w14:paraId="5B97861E" w14:textId="3BDE2009" w:rsidR="0038782A" w:rsidRPr="00381DA2" w:rsidRDefault="007806FE" w:rsidP="003A66EF">
      <w:pPr>
        <w:pStyle w:val="ListParagraph"/>
        <w:numPr>
          <w:ilvl w:val="0"/>
          <w:numId w:val="25"/>
        </w:numPr>
        <w:spacing w:after="160" w:line="276" w:lineRule="auto"/>
        <w:contextualSpacing w:val="0"/>
        <w:jc w:val="both"/>
        <w:rPr>
          <w:rFonts w:asciiTheme="majorHAnsi" w:hAnsiTheme="majorHAnsi" w:cstheme="minorHAnsi"/>
          <w:sz w:val="24"/>
          <w:szCs w:val="24"/>
          <w:lang w:val="ro-MD"/>
        </w:rPr>
      </w:pPr>
      <w:r>
        <w:rPr>
          <w:rFonts w:asciiTheme="majorHAnsi" w:hAnsiTheme="majorHAnsi" w:cstheme="minorHAnsi"/>
          <w:sz w:val="24"/>
          <w:szCs w:val="24"/>
          <w:lang w:val="ro-MD"/>
        </w:rPr>
        <w:t>l</w:t>
      </w:r>
      <w:r w:rsidR="00B907A3" w:rsidRPr="00381DA2">
        <w:rPr>
          <w:rFonts w:asciiTheme="majorHAnsi" w:hAnsiTheme="majorHAnsi" w:cstheme="minorHAnsi"/>
          <w:sz w:val="24"/>
          <w:szCs w:val="24"/>
          <w:lang w:val="ro-MD"/>
        </w:rPr>
        <w:t>a raportarea serviciilor juridice acordate de către un avocat</w:t>
      </w:r>
      <w:r w:rsidR="00B907A3" w:rsidRPr="00381DA2">
        <w:rPr>
          <w:rStyle w:val="FootnoteReference"/>
          <w:rFonts w:asciiTheme="majorHAnsi" w:hAnsiTheme="majorHAnsi" w:cstheme="minorHAnsi"/>
          <w:sz w:val="24"/>
          <w:szCs w:val="24"/>
          <w:lang w:val="ro-MD"/>
        </w:rPr>
        <w:footnoteReference w:id="71"/>
      </w:r>
      <w:r w:rsidR="0038782A" w:rsidRPr="00381DA2">
        <w:rPr>
          <w:rFonts w:asciiTheme="majorHAnsi" w:hAnsiTheme="majorHAnsi" w:cstheme="minorHAnsi"/>
          <w:sz w:val="24"/>
          <w:szCs w:val="24"/>
          <w:lang w:val="ro-MD"/>
        </w:rPr>
        <w:t xml:space="preserve"> în anul 2022,</w:t>
      </w:r>
      <w:r w:rsidR="00B907A3" w:rsidRPr="00381DA2">
        <w:rPr>
          <w:rFonts w:asciiTheme="majorHAnsi" w:hAnsiTheme="majorHAnsi" w:cstheme="minorHAnsi"/>
          <w:sz w:val="24"/>
          <w:szCs w:val="24"/>
          <w:lang w:val="ro-MD"/>
        </w:rPr>
        <w:t xml:space="preserve"> în două cazuri n</w:t>
      </w:r>
      <w:r>
        <w:rPr>
          <w:rFonts w:asciiTheme="majorHAnsi" w:hAnsiTheme="majorHAnsi" w:cstheme="minorHAnsi"/>
          <w:sz w:val="24"/>
          <w:szCs w:val="24"/>
          <w:lang w:val="ro-MD"/>
        </w:rPr>
        <w:t xml:space="preserve">u </w:t>
      </w:r>
      <w:r w:rsidR="00B907A3" w:rsidRPr="00381DA2">
        <w:rPr>
          <w:rFonts w:asciiTheme="majorHAnsi" w:hAnsiTheme="majorHAnsi" w:cstheme="minorHAnsi"/>
          <w:sz w:val="24"/>
          <w:szCs w:val="24"/>
          <w:lang w:val="ro-MD"/>
        </w:rPr>
        <w:t xml:space="preserve">a fost respectat plafonul limită de cel mult cinci întrevederi pe o cauză penală pe tot parcursul procesului, </w:t>
      </w:r>
      <w:r>
        <w:rPr>
          <w:rFonts w:asciiTheme="majorHAnsi" w:hAnsiTheme="majorHAnsi" w:cstheme="minorHAnsi"/>
          <w:sz w:val="24"/>
          <w:szCs w:val="24"/>
          <w:lang w:val="ro-MD"/>
        </w:rPr>
        <w:t xml:space="preserve">fiindu-i </w:t>
      </w:r>
      <w:r w:rsidR="00B907A3" w:rsidRPr="00381DA2">
        <w:rPr>
          <w:rFonts w:asciiTheme="majorHAnsi" w:hAnsiTheme="majorHAnsi" w:cstheme="minorHAnsi"/>
          <w:sz w:val="24"/>
          <w:szCs w:val="24"/>
          <w:lang w:val="ro-MD"/>
        </w:rPr>
        <w:t>achit</w:t>
      </w:r>
      <w:r>
        <w:rPr>
          <w:rFonts w:asciiTheme="majorHAnsi" w:hAnsiTheme="majorHAnsi" w:cstheme="minorHAnsi"/>
          <w:sz w:val="24"/>
          <w:szCs w:val="24"/>
          <w:lang w:val="ro-MD"/>
        </w:rPr>
        <w:t>ate</w:t>
      </w:r>
      <w:r w:rsidR="00B907A3" w:rsidRPr="00381DA2">
        <w:rPr>
          <w:rFonts w:asciiTheme="majorHAnsi" w:hAnsiTheme="majorHAnsi" w:cstheme="minorHAnsi"/>
          <w:sz w:val="24"/>
          <w:szCs w:val="24"/>
          <w:lang w:val="ro-MD"/>
        </w:rPr>
        <w:t xml:space="preserve"> cu 8 vizite mai mult, sau efectu</w:t>
      </w:r>
      <w:r>
        <w:rPr>
          <w:rFonts w:asciiTheme="majorHAnsi" w:hAnsiTheme="majorHAnsi" w:cstheme="minorHAnsi"/>
          <w:sz w:val="24"/>
          <w:szCs w:val="24"/>
          <w:lang w:val="ro-MD"/>
        </w:rPr>
        <w:t>â</w:t>
      </w:r>
      <w:r w:rsidR="00B907A3" w:rsidRPr="00381DA2">
        <w:rPr>
          <w:rFonts w:asciiTheme="majorHAnsi" w:hAnsiTheme="majorHAnsi" w:cstheme="minorHAnsi"/>
          <w:sz w:val="24"/>
          <w:szCs w:val="24"/>
          <w:lang w:val="ro-MD"/>
        </w:rPr>
        <w:t>ndu-se cheltuieli neregulamentare în sumă de 1,6 mii lei.</w:t>
      </w:r>
      <w:r w:rsidR="0038782A" w:rsidRPr="00381DA2">
        <w:rPr>
          <w:rFonts w:asciiTheme="majorHAnsi" w:hAnsiTheme="majorHAnsi" w:cstheme="minorHAnsi"/>
          <w:sz w:val="24"/>
          <w:szCs w:val="24"/>
          <w:lang w:val="ro-MD"/>
        </w:rPr>
        <w:t xml:space="preserve"> </w:t>
      </w:r>
    </w:p>
    <w:tbl>
      <w:tblPr>
        <w:tblStyle w:val="TableGrid"/>
        <w:tblW w:w="0" w:type="auto"/>
        <w:tblLook w:val="04A0" w:firstRow="1" w:lastRow="0" w:firstColumn="1" w:lastColumn="0" w:noHBand="0" w:noVBand="1"/>
      </w:tblPr>
      <w:tblGrid>
        <w:gridCol w:w="9347"/>
      </w:tblGrid>
      <w:tr w:rsidR="0038782A" w:rsidRPr="00381DA2" w14:paraId="47F0355D" w14:textId="77777777" w:rsidTr="0038782A">
        <w:tc>
          <w:tcPr>
            <w:tcW w:w="9347" w:type="dxa"/>
          </w:tcPr>
          <w:p w14:paraId="5F011785" w14:textId="0D00A2BF" w:rsidR="0038782A" w:rsidRPr="00381DA2" w:rsidRDefault="0038782A" w:rsidP="003A66EF">
            <w:pPr>
              <w:spacing w:line="276" w:lineRule="auto"/>
              <w:jc w:val="both"/>
              <w:rPr>
                <w:rFonts w:asciiTheme="majorHAnsi" w:hAnsiTheme="majorHAnsi" w:cstheme="minorHAnsi"/>
                <w:sz w:val="24"/>
                <w:szCs w:val="24"/>
              </w:rPr>
            </w:pPr>
            <w:r w:rsidRPr="002E3358">
              <w:rPr>
                <w:rFonts w:asciiTheme="majorHAnsi" w:hAnsiTheme="majorHAnsi" w:cstheme="minorHAnsi"/>
                <w:i/>
                <w:sz w:val="24"/>
                <w:szCs w:val="24"/>
              </w:rPr>
              <w:t>Notă:</w:t>
            </w:r>
            <w:r w:rsidRPr="00381DA2">
              <w:rPr>
                <w:rFonts w:asciiTheme="majorHAnsi" w:hAnsiTheme="majorHAnsi" w:cstheme="minorHAnsi"/>
                <w:sz w:val="24"/>
                <w:szCs w:val="24"/>
              </w:rPr>
              <w:t xml:space="preserve"> Pe parcursul exercitării auditului</w:t>
            </w:r>
            <w:r w:rsidR="007806FE">
              <w:rPr>
                <w:rFonts w:asciiTheme="majorHAnsi" w:hAnsiTheme="majorHAnsi" w:cstheme="minorHAnsi"/>
                <w:sz w:val="24"/>
                <w:szCs w:val="24"/>
              </w:rPr>
              <w:t>,</w:t>
            </w:r>
            <w:r w:rsidRPr="00381DA2">
              <w:rPr>
                <w:rFonts w:asciiTheme="majorHAnsi" w:hAnsiTheme="majorHAnsi" w:cstheme="minorHAnsi"/>
                <w:sz w:val="24"/>
                <w:szCs w:val="24"/>
              </w:rPr>
              <w:t xml:space="preserve"> suma de 1,6 mii lei achitată neconform a</w:t>
            </w:r>
            <w:r w:rsidR="003A66EF">
              <w:rPr>
                <w:rFonts w:asciiTheme="majorHAnsi" w:hAnsiTheme="majorHAnsi" w:cstheme="minorHAnsi"/>
                <w:sz w:val="24"/>
                <w:szCs w:val="24"/>
              </w:rPr>
              <w:t xml:space="preserve"> fost restituită.</w:t>
            </w:r>
            <w:r w:rsidRPr="00381DA2">
              <w:rPr>
                <w:rFonts w:asciiTheme="majorHAnsi" w:hAnsiTheme="majorHAnsi" w:cstheme="minorHAnsi"/>
                <w:sz w:val="24"/>
                <w:szCs w:val="24"/>
              </w:rPr>
              <w:t xml:space="preserve"> </w:t>
            </w:r>
          </w:p>
        </w:tc>
      </w:tr>
    </w:tbl>
    <w:p w14:paraId="653C07C6" w14:textId="77777777" w:rsidR="0038782A" w:rsidRPr="00381DA2" w:rsidRDefault="0038782A" w:rsidP="003A66EF">
      <w:pPr>
        <w:spacing w:line="276" w:lineRule="auto"/>
        <w:jc w:val="both"/>
        <w:rPr>
          <w:rFonts w:asciiTheme="majorHAnsi" w:hAnsiTheme="majorHAnsi" w:cstheme="minorHAnsi"/>
          <w:sz w:val="24"/>
          <w:szCs w:val="24"/>
        </w:rPr>
      </w:pPr>
    </w:p>
    <w:p w14:paraId="4B0332B6" w14:textId="5BAB2EBC" w:rsidR="00B907A3" w:rsidRPr="00381DA2" w:rsidRDefault="007806FE" w:rsidP="003A66EF">
      <w:pPr>
        <w:pStyle w:val="ListParagraph"/>
        <w:numPr>
          <w:ilvl w:val="0"/>
          <w:numId w:val="20"/>
        </w:numPr>
        <w:tabs>
          <w:tab w:val="left" w:pos="360"/>
        </w:tabs>
        <w:spacing w:after="120" w:line="276" w:lineRule="auto"/>
        <w:ind w:left="360" w:hanging="360"/>
        <w:jc w:val="both"/>
        <w:rPr>
          <w:rFonts w:asciiTheme="majorHAnsi" w:hAnsiTheme="majorHAnsi" w:cstheme="minorHAnsi"/>
          <w:i/>
          <w:color w:val="0070C0"/>
          <w:sz w:val="24"/>
          <w:szCs w:val="24"/>
          <w:lang w:val="ro-MD"/>
        </w:rPr>
      </w:pPr>
      <w:r>
        <w:rPr>
          <w:rFonts w:asciiTheme="majorHAnsi" w:hAnsiTheme="majorHAnsi" w:cstheme="minorHAnsi"/>
          <w:i/>
          <w:color w:val="0070C0"/>
          <w:sz w:val="24"/>
          <w:szCs w:val="24"/>
          <w:lang w:val="ro-MD"/>
        </w:rPr>
        <w:t>L</w:t>
      </w:r>
      <w:r w:rsidR="00B907A3" w:rsidRPr="00381DA2">
        <w:rPr>
          <w:rFonts w:asciiTheme="majorHAnsi" w:hAnsiTheme="majorHAnsi" w:cstheme="minorHAnsi"/>
          <w:i/>
          <w:color w:val="0070C0"/>
          <w:sz w:val="24"/>
          <w:szCs w:val="24"/>
          <w:lang w:val="ro-MD"/>
        </w:rPr>
        <w:t>ipsa proceduri</w:t>
      </w:r>
      <w:r>
        <w:rPr>
          <w:rFonts w:asciiTheme="majorHAnsi" w:hAnsiTheme="majorHAnsi" w:cstheme="minorHAnsi"/>
          <w:i/>
          <w:color w:val="0070C0"/>
          <w:sz w:val="24"/>
          <w:szCs w:val="24"/>
          <w:lang w:val="ro-MD"/>
        </w:rPr>
        <w:t>lor</w:t>
      </w:r>
      <w:r w:rsidR="00B907A3" w:rsidRPr="00381DA2">
        <w:rPr>
          <w:rFonts w:asciiTheme="majorHAnsi" w:hAnsiTheme="majorHAnsi" w:cstheme="minorHAnsi"/>
          <w:i/>
          <w:color w:val="0070C0"/>
          <w:sz w:val="24"/>
          <w:szCs w:val="24"/>
          <w:lang w:val="ro-MD"/>
        </w:rPr>
        <w:t xml:space="preserve"> operaționale privind gestionarea cauzelor de acordare a AJGS pentru care avocații nu au prezentat rapoarte de activitate</w:t>
      </w:r>
      <w:r>
        <w:rPr>
          <w:rFonts w:asciiTheme="majorHAnsi" w:hAnsiTheme="majorHAnsi" w:cstheme="minorHAnsi"/>
          <w:i/>
          <w:color w:val="0070C0"/>
          <w:sz w:val="24"/>
          <w:szCs w:val="24"/>
          <w:lang w:val="ro-MD"/>
        </w:rPr>
        <w:t>.</w:t>
      </w:r>
    </w:p>
    <w:p w14:paraId="54BD4CA7" w14:textId="36D044D4" w:rsidR="00B907A3" w:rsidRPr="00381DA2" w:rsidRDefault="00B907A3" w:rsidP="003A66EF">
      <w:pPr>
        <w:pStyle w:val="NormalWeb"/>
        <w:spacing w:after="120" w:line="276" w:lineRule="auto"/>
        <w:ind w:firstLine="0"/>
        <w:rPr>
          <w:rFonts w:asciiTheme="majorHAnsi" w:hAnsiTheme="majorHAnsi" w:cstheme="minorHAnsi"/>
          <w:lang w:val="ro-MD"/>
        </w:rPr>
      </w:pPr>
      <w:r w:rsidRPr="00381DA2">
        <w:rPr>
          <w:rFonts w:asciiTheme="majorHAnsi" w:hAnsiTheme="majorHAnsi" w:cstheme="minorHAnsi"/>
          <w:lang w:val="ro-MD"/>
        </w:rPr>
        <w:t>Potrivit Regulamentul</w:t>
      </w:r>
      <w:r w:rsidR="00C70CF9">
        <w:rPr>
          <w:rFonts w:asciiTheme="majorHAnsi" w:hAnsiTheme="majorHAnsi" w:cstheme="minorHAnsi"/>
          <w:lang w:val="ro-MD"/>
        </w:rPr>
        <w:t>ui</w:t>
      </w:r>
      <w:r w:rsidRPr="00381DA2">
        <w:rPr>
          <w:rFonts w:asciiTheme="majorHAnsi" w:hAnsiTheme="majorHAnsi" w:cstheme="minorHAnsi"/>
          <w:lang w:val="ro-MD"/>
        </w:rPr>
        <w:t xml:space="preserve"> cu privire la mărimea și modul de remunerare a avocaților la cerere</w:t>
      </w:r>
      <w:r w:rsidRPr="00381DA2">
        <w:rPr>
          <w:rStyle w:val="FootnoteReference"/>
          <w:rFonts w:asciiTheme="majorHAnsi" w:hAnsiTheme="majorHAnsi" w:cstheme="minorHAnsi"/>
        </w:rPr>
        <w:footnoteReference w:id="72"/>
      </w:r>
      <w:r w:rsidRPr="00381DA2">
        <w:rPr>
          <w:rFonts w:asciiTheme="majorHAnsi" w:hAnsiTheme="majorHAnsi" w:cstheme="minorHAnsi"/>
          <w:lang w:val="ro-MD"/>
        </w:rPr>
        <w:t>, avocații desemnați să presteze servicii juridice, pentru a fi remunerați</w:t>
      </w:r>
      <w:r w:rsidR="00763670">
        <w:rPr>
          <w:rFonts w:asciiTheme="majorHAnsi" w:hAnsiTheme="majorHAnsi" w:cstheme="minorHAnsi"/>
          <w:lang w:val="ro-MD"/>
        </w:rPr>
        <w:t>,</w:t>
      </w:r>
      <w:r w:rsidRPr="00381DA2">
        <w:rPr>
          <w:rFonts w:asciiTheme="majorHAnsi" w:hAnsiTheme="majorHAnsi" w:cstheme="minorHAnsi"/>
          <w:lang w:val="ro-MD"/>
        </w:rPr>
        <w:t xml:space="preserve"> urmează să prezinte O</w:t>
      </w:r>
      <w:r w:rsidR="00763670">
        <w:rPr>
          <w:rFonts w:asciiTheme="majorHAnsi" w:hAnsiTheme="majorHAnsi" w:cstheme="minorHAnsi"/>
          <w:lang w:val="ro-MD"/>
        </w:rPr>
        <w:t>T</w:t>
      </w:r>
      <w:r w:rsidRPr="00381DA2">
        <w:rPr>
          <w:rFonts w:asciiTheme="majorHAnsi" w:hAnsiTheme="majorHAnsi" w:cstheme="minorHAnsi"/>
          <w:lang w:val="ro-MD"/>
        </w:rPr>
        <w:t xml:space="preserve"> </w:t>
      </w:r>
      <w:r w:rsidRPr="00381DA2">
        <w:rPr>
          <w:rFonts w:asciiTheme="majorHAnsi" w:hAnsiTheme="majorHAnsi" w:cstheme="minorHAnsi"/>
          <w:lang w:val="ro-MD"/>
        </w:rPr>
        <w:lastRenderedPageBreak/>
        <w:t>corespunzătoare jurisdicției în care activează, rapoartele de activitate, principalele reguli fiind următoarele:</w:t>
      </w:r>
    </w:p>
    <w:p w14:paraId="7D328904" w14:textId="32BC613A" w:rsidR="00B907A3" w:rsidRPr="00381DA2" w:rsidRDefault="00B907A3" w:rsidP="003A66EF">
      <w:pPr>
        <w:pStyle w:val="NormalWeb"/>
        <w:numPr>
          <w:ilvl w:val="0"/>
          <w:numId w:val="6"/>
        </w:numPr>
        <w:spacing w:line="276" w:lineRule="auto"/>
        <w:rPr>
          <w:rFonts w:asciiTheme="majorHAnsi" w:hAnsiTheme="majorHAnsi" w:cstheme="minorHAnsi"/>
          <w:lang w:val="ro-RO"/>
        </w:rPr>
      </w:pPr>
      <w:r w:rsidRPr="00381DA2">
        <w:rPr>
          <w:rFonts w:asciiTheme="majorHAnsi" w:hAnsiTheme="majorHAnsi" w:cstheme="minorHAnsi"/>
          <w:lang w:val="ro-RO"/>
        </w:rPr>
        <w:t>în cel mult trei luni după încetarea acordării asistenței juridice calificate de către avocatul desemnat în cauza respectivă</w:t>
      </w:r>
      <w:r w:rsidR="00763670">
        <w:rPr>
          <w:rFonts w:asciiTheme="majorHAnsi" w:hAnsiTheme="majorHAnsi" w:cstheme="minorHAnsi"/>
          <w:lang w:val="ro-RO"/>
        </w:rPr>
        <w:t>;</w:t>
      </w:r>
      <w:r w:rsidRPr="00381DA2">
        <w:rPr>
          <w:rFonts w:asciiTheme="majorHAnsi" w:hAnsiTheme="majorHAnsi" w:cstheme="minorHAnsi"/>
          <w:lang w:val="ro-RO"/>
        </w:rPr>
        <w:t xml:space="preserve"> </w:t>
      </w:r>
    </w:p>
    <w:p w14:paraId="16BF634E" w14:textId="7FEAC1D6" w:rsidR="00B907A3" w:rsidRPr="00381DA2" w:rsidRDefault="00B907A3" w:rsidP="003A66EF">
      <w:pPr>
        <w:pStyle w:val="NormalWeb"/>
        <w:numPr>
          <w:ilvl w:val="0"/>
          <w:numId w:val="6"/>
        </w:numPr>
        <w:spacing w:line="276" w:lineRule="auto"/>
        <w:rPr>
          <w:rFonts w:asciiTheme="majorHAnsi" w:hAnsiTheme="majorHAnsi" w:cstheme="minorHAnsi"/>
          <w:lang w:val="ro-RO"/>
        </w:rPr>
      </w:pPr>
      <w:r w:rsidRPr="00381DA2">
        <w:rPr>
          <w:rFonts w:asciiTheme="majorHAnsi" w:hAnsiTheme="majorHAnsi" w:cstheme="minorHAnsi"/>
          <w:lang w:val="ro-RO"/>
        </w:rPr>
        <w:t>drept rezultat al încetării urmăririi penale sau a procesului penal</w:t>
      </w:r>
      <w:r w:rsidR="00763670">
        <w:rPr>
          <w:rFonts w:asciiTheme="majorHAnsi" w:hAnsiTheme="majorHAnsi" w:cstheme="minorHAnsi"/>
          <w:lang w:val="ro-RO"/>
        </w:rPr>
        <w:t>;</w:t>
      </w:r>
    </w:p>
    <w:p w14:paraId="47515CC2" w14:textId="6C1B31CA" w:rsidR="00B907A3" w:rsidRPr="00381DA2" w:rsidRDefault="00B907A3" w:rsidP="003A66EF">
      <w:pPr>
        <w:pStyle w:val="NormalWeb"/>
        <w:numPr>
          <w:ilvl w:val="0"/>
          <w:numId w:val="6"/>
        </w:numPr>
        <w:spacing w:line="276" w:lineRule="auto"/>
        <w:rPr>
          <w:rFonts w:asciiTheme="majorHAnsi" w:hAnsiTheme="majorHAnsi" w:cstheme="minorHAnsi"/>
          <w:lang w:val="ro-RO"/>
        </w:rPr>
      </w:pPr>
      <w:r w:rsidRPr="00381DA2">
        <w:rPr>
          <w:rFonts w:asciiTheme="majorHAnsi" w:hAnsiTheme="majorHAnsi" w:cstheme="minorHAnsi"/>
          <w:lang w:val="ro-RO"/>
        </w:rPr>
        <w:t>renunțării de către beneficiar la apărător</w:t>
      </w:r>
      <w:r w:rsidR="00763670">
        <w:rPr>
          <w:rFonts w:asciiTheme="majorHAnsi" w:hAnsiTheme="majorHAnsi" w:cstheme="minorHAnsi"/>
          <w:lang w:val="ro-RO"/>
        </w:rPr>
        <w:t>;</w:t>
      </w:r>
      <w:r w:rsidRPr="00381DA2">
        <w:rPr>
          <w:rFonts w:asciiTheme="majorHAnsi" w:hAnsiTheme="majorHAnsi" w:cstheme="minorHAnsi"/>
          <w:lang w:val="ro-RO"/>
        </w:rPr>
        <w:t xml:space="preserve"> </w:t>
      </w:r>
    </w:p>
    <w:p w14:paraId="17606BE0" w14:textId="77777777" w:rsidR="00B907A3" w:rsidRPr="00381DA2" w:rsidRDefault="00B907A3" w:rsidP="003A66EF">
      <w:pPr>
        <w:pStyle w:val="NormalWeb"/>
        <w:numPr>
          <w:ilvl w:val="0"/>
          <w:numId w:val="6"/>
        </w:numPr>
        <w:spacing w:line="276" w:lineRule="auto"/>
        <w:rPr>
          <w:rFonts w:asciiTheme="majorHAnsi" w:hAnsiTheme="majorHAnsi" w:cstheme="minorHAnsi"/>
          <w:lang w:val="ro-RO"/>
        </w:rPr>
      </w:pPr>
      <w:r w:rsidRPr="00381DA2">
        <w:rPr>
          <w:rFonts w:asciiTheme="majorHAnsi" w:hAnsiTheme="majorHAnsi" w:cstheme="minorHAnsi"/>
          <w:lang w:val="ro-RO"/>
        </w:rPr>
        <w:t>înlocuirii avocatului desemnat cu un avocat ales</w:t>
      </w:r>
      <w:r w:rsidR="00C70CF9">
        <w:rPr>
          <w:rFonts w:asciiTheme="majorHAnsi" w:hAnsiTheme="majorHAnsi" w:cstheme="minorHAnsi"/>
          <w:lang w:val="ro-RO"/>
        </w:rPr>
        <w:t>,</w:t>
      </w:r>
      <w:r w:rsidRPr="00381DA2">
        <w:rPr>
          <w:rFonts w:asciiTheme="majorHAnsi" w:hAnsiTheme="majorHAnsi" w:cstheme="minorHAnsi"/>
          <w:lang w:val="ro-RO"/>
        </w:rPr>
        <w:t xml:space="preserve"> precum și </w:t>
      </w:r>
    </w:p>
    <w:p w14:paraId="69172B57" w14:textId="6A5206BF" w:rsidR="00B907A3" w:rsidRPr="00381DA2" w:rsidRDefault="00B907A3" w:rsidP="003A66EF">
      <w:pPr>
        <w:pStyle w:val="NormalWeb"/>
        <w:numPr>
          <w:ilvl w:val="0"/>
          <w:numId w:val="6"/>
        </w:numPr>
        <w:spacing w:after="120" w:line="276" w:lineRule="auto"/>
        <w:rPr>
          <w:rFonts w:asciiTheme="majorHAnsi" w:hAnsiTheme="majorHAnsi" w:cstheme="minorHAnsi"/>
          <w:lang w:val="ro-RO"/>
        </w:rPr>
      </w:pPr>
      <w:r w:rsidRPr="00381DA2">
        <w:rPr>
          <w:rFonts w:asciiTheme="majorHAnsi" w:hAnsiTheme="majorHAnsi" w:cstheme="minorHAnsi"/>
          <w:lang w:val="ro-RO"/>
        </w:rPr>
        <w:t xml:space="preserve">rămânerii definitive a hotărârii instanței de judecată sau a altor circumstanțe care nu permit continuarea acordării asistenței juridice garantate de stat. </w:t>
      </w:r>
    </w:p>
    <w:p w14:paraId="38E6A6EF" w14:textId="325B829E" w:rsidR="00B907A3" w:rsidRPr="00381DA2" w:rsidRDefault="00B907A3" w:rsidP="003A66EF">
      <w:pPr>
        <w:pStyle w:val="ListParagraph"/>
        <w:tabs>
          <w:tab w:val="left" w:pos="360"/>
        </w:tabs>
        <w:spacing w:after="120" w:line="276" w:lineRule="auto"/>
        <w:ind w:left="0"/>
        <w:contextualSpacing w:val="0"/>
        <w:jc w:val="both"/>
        <w:rPr>
          <w:rFonts w:asciiTheme="majorHAnsi" w:eastAsiaTheme="minorEastAsia" w:hAnsiTheme="majorHAnsi" w:cstheme="minorHAnsi"/>
          <w:sz w:val="24"/>
          <w:szCs w:val="24"/>
          <w:lang w:val="ro-MD"/>
        </w:rPr>
      </w:pPr>
      <w:r w:rsidRPr="00381DA2">
        <w:rPr>
          <w:rFonts w:asciiTheme="majorHAnsi" w:eastAsiaTheme="minorEastAsia" w:hAnsiTheme="majorHAnsi" w:cstheme="minorHAnsi"/>
          <w:sz w:val="24"/>
          <w:szCs w:val="24"/>
          <w:lang w:val="ro-MD"/>
        </w:rPr>
        <w:t xml:space="preserve">Verificările de audit la acest aspect </w:t>
      </w:r>
      <w:r w:rsidR="00C70CF9">
        <w:rPr>
          <w:rFonts w:asciiTheme="majorHAnsi" w:eastAsiaTheme="minorEastAsia" w:hAnsiTheme="majorHAnsi" w:cstheme="minorHAnsi"/>
          <w:sz w:val="24"/>
          <w:szCs w:val="24"/>
          <w:lang w:val="ro-MD"/>
        </w:rPr>
        <w:t>denotă că</w:t>
      </w:r>
      <w:r w:rsidR="000A646F">
        <w:rPr>
          <w:rFonts w:asciiTheme="majorHAnsi" w:eastAsiaTheme="minorEastAsia" w:hAnsiTheme="majorHAnsi" w:cstheme="minorHAnsi"/>
          <w:sz w:val="24"/>
          <w:szCs w:val="24"/>
          <w:lang w:val="ro-MD"/>
        </w:rPr>
        <w:t>,</w:t>
      </w:r>
      <w:r w:rsidR="00C70CF9">
        <w:rPr>
          <w:rFonts w:asciiTheme="majorHAnsi" w:eastAsiaTheme="minorEastAsia" w:hAnsiTheme="majorHAnsi" w:cstheme="minorHAnsi"/>
          <w:sz w:val="24"/>
          <w:szCs w:val="24"/>
          <w:lang w:val="ro-MD"/>
        </w:rPr>
        <w:t xml:space="preserve"> deși la solicitarea</w:t>
      </w:r>
      <w:r w:rsidRPr="00381DA2">
        <w:rPr>
          <w:rFonts w:asciiTheme="majorHAnsi" w:eastAsiaTheme="minorEastAsia" w:hAnsiTheme="majorHAnsi" w:cstheme="minorHAnsi"/>
          <w:sz w:val="24"/>
          <w:szCs w:val="24"/>
          <w:lang w:val="ro-MD"/>
        </w:rPr>
        <w:t xml:space="preserve"> AJGS coordonatorii OT ale CNAJGS, în cadrul </w:t>
      </w:r>
      <w:r w:rsidRPr="00381DA2">
        <w:rPr>
          <w:rFonts w:asciiTheme="majorHAnsi" w:hAnsiTheme="majorHAnsi" w:cstheme="minorHAnsi"/>
          <w:sz w:val="24"/>
          <w:szCs w:val="24"/>
        </w:rPr>
        <w:t>procesului de acordare a asistenței juridice garantate de stat</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asigură numirea și desemnarea</w:t>
      </w:r>
      <w:r w:rsidR="00AF1411" w:rsidRPr="00381DA2">
        <w:rPr>
          <w:rFonts w:asciiTheme="majorHAnsi" w:eastAsiaTheme="minorEastAsia" w:hAnsiTheme="majorHAnsi" w:cstheme="minorHAnsi"/>
          <w:sz w:val="24"/>
          <w:szCs w:val="24"/>
          <w:lang w:val="ro-MD"/>
        </w:rPr>
        <w:t xml:space="preserve"> avocaților</w:t>
      </w:r>
      <w:r w:rsidRPr="00381DA2">
        <w:rPr>
          <w:rStyle w:val="FootnoteReference"/>
          <w:rFonts w:asciiTheme="majorHAnsi" w:eastAsiaTheme="minorEastAsia" w:hAnsiTheme="majorHAnsi" w:cstheme="minorHAnsi"/>
        </w:rPr>
        <w:footnoteReference w:id="73"/>
      </w:r>
      <w:r w:rsidRPr="00381DA2">
        <w:rPr>
          <w:rFonts w:asciiTheme="majorHAnsi" w:eastAsiaTheme="minorEastAsia" w:hAnsiTheme="majorHAnsi" w:cstheme="minorHAnsi"/>
          <w:sz w:val="24"/>
          <w:szCs w:val="24"/>
          <w:lang w:val="ro-MD"/>
        </w:rPr>
        <w:t>, cei din urmă nu în toate cazurile confirmă acordarea serviciilor juridice garantate de stat, neprezentând rapoarte</w:t>
      </w:r>
      <w:r w:rsidR="000A646F">
        <w:rPr>
          <w:rFonts w:asciiTheme="majorHAnsi" w:eastAsiaTheme="minorEastAsia" w:hAnsiTheme="majorHAnsi" w:cstheme="minorHAnsi"/>
          <w:sz w:val="24"/>
          <w:szCs w:val="24"/>
          <w:lang w:val="ro-MD"/>
        </w:rPr>
        <w:t>le</w:t>
      </w:r>
      <w:r w:rsidRPr="00381DA2">
        <w:rPr>
          <w:rFonts w:asciiTheme="majorHAnsi" w:eastAsiaTheme="minorEastAsia" w:hAnsiTheme="majorHAnsi" w:cstheme="minorHAnsi"/>
          <w:sz w:val="24"/>
          <w:szCs w:val="24"/>
          <w:lang w:val="ro-MD"/>
        </w:rPr>
        <w:t xml:space="preserve"> de activitate privind acțiunile întreprinse pe</w:t>
      </w:r>
      <w:r w:rsidR="000A646F">
        <w:rPr>
          <w:rFonts w:asciiTheme="majorHAnsi" w:eastAsiaTheme="minorEastAsia" w:hAnsiTheme="majorHAnsi" w:cstheme="minorHAnsi"/>
          <w:sz w:val="24"/>
          <w:szCs w:val="24"/>
          <w:lang w:val="ro-MD"/>
        </w:rPr>
        <w:t xml:space="preserve"> </w:t>
      </w:r>
      <w:r w:rsidRPr="00381DA2">
        <w:rPr>
          <w:rFonts w:asciiTheme="majorHAnsi" w:eastAsiaTheme="minorEastAsia" w:hAnsiTheme="majorHAnsi" w:cstheme="minorHAnsi"/>
          <w:sz w:val="24"/>
          <w:szCs w:val="24"/>
          <w:lang w:val="ro-MD"/>
        </w:rPr>
        <w:t>caz</w:t>
      </w:r>
      <w:r w:rsidR="000A646F">
        <w:rPr>
          <w:rFonts w:asciiTheme="majorHAnsi" w:eastAsiaTheme="minorEastAsia" w:hAnsiTheme="majorHAnsi" w:cstheme="minorHAnsi"/>
          <w:sz w:val="24"/>
          <w:szCs w:val="24"/>
          <w:lang w:val="ro-MD"/>
        </w:rPr>
        <w:t>ul</w:t>
      </w:r>
      <w:r w:rsidRPr="00381DA2">
        <w:rPr>
          <w:rFonts w:asciiTheme="majorHAnsi" w:eastAsiaTheme="minorEastAsia" w:hAnsiTheme="majorHAnsi" w:cstheme="minorHAnsi"/>
          <w:sz w:val="24"/>
          <w:szCs w:val="24"/>
          <w:lang w:val="ro-MD"/>
        </w:rPr>
        <w:t xml:space="preserve"> preluat. </w:t>
      </w:r>
    </w:p>
    <w:p w14:paraId="039F021C" w14:textId="7BAEA9A2" w:rsidR="00B907A3" w:rsidRPr="00381DA2" w:rsidRDefault="00B907A3" w:rsidP="003A66EF">
      <w:pPr>
        <w:pStyle w:val="ListParagraph"/>
        <w:tabs>
          <w:tab w:val="left" w:pos="360"/>
        </w:tabs>
        <w:spacing w:after="120" w:line="276" w:lineRule="auto"/>
        <w:ind w:left="0"/>
        <w:contextualSpacing w:val="0"/>
        <w:jc w:val="both"/>
        <w:rPr>
          <w:rFonts w:asciiTheme="majorHAnsi" w:eastAsiaTheme="minorEastAsia" w:hAnsiTheme="majorHAnsi" w:cstheme="minorHAnsi"/>
          <w:sz w:val="24"/>
          <w:szCs w:val="24"/>
          <w:lang w:val="ro-MD"/>
        </w:rPr>
      </w:pPr>
      <w:r w:rsidRPr="00381DA2">
        <w:rPr>
          <w:rFonts w:asciiTheme="majorHAnsi" w:eastAsiaTheme="minorEastAsia" w:hAnsiTheme="majorHAnsi" w:cstheme="minorHAnsi"/>
          <w:sz w:val="24"/>
          <w:szCs w:val="24"/>
          <w:lang w:val="ro-MD"/>
        </w:rPr>
        <w:t>Astfel, datele înregistrate în SI al CNAJGS privind numărul de decizii de acordare a AJGS pe cauze ordinare</w:t>
      </w:r>
      <w:r w:rsidRPr="00381DA2">
        <w:rPr>
          <w:rStyle w:val="FootnoteReference"/>
          <w:rFonts w:asciiTheme="majorHAnsi" w:eastAsiaTheme="minorEastAsia" w:hAnsiTheme="majorHAnsi" w:cstheme="minorHAnsi"/>
        </w:rPr>
        <w:footnoteReference w:id="74"/>
      </w:r>
      <w:r w:rsidRPr="00381DA2">
        <w:rPr>
          <w:rFonts w:asciiTheme="majorHAnsi" w:eastAsiaTheme="minorEastAsia" w:hAnsiTheme="majorHAnsi" w:cstheme="minorHAnsi"/>
          <w:sz w:val="24"/>
          <w:szCs w:val="24"/>
          <w:lang w:val="ro-MD"/>
        </w:rPr>
        <w:t xml:space="preserve"> la care nu au fost anexate rapoarte de activitate privind serviciile juridice acordate de către avocați, în perioada 2020-2021, se prezintă în tabelul nr. 4.</w:t>
      </w:r>
    </w:p>
    <w:p w14:paraId="06209323" w14:textId="77777777" w:rsidR="00B907A3" w:rsidRPr="009761AD" w:rsidRDefault="00B907A3" w:rsidP="009761AD">
      <w:pPr>
        <w:pStyle w:val="NormalWeb"/>
        <w:spacing w:line="276" w:lineRule="auto"/>
        <w:ind w:firstLine="0"/>
        <w:jc w:val="right"/>
        <w:rPr>
          <w:rFonts w:asciiTheme="majorHAnsi" w:eastAsia="Times New Roman" w:hAnsiTheme="majorHAnsi" w:cstheme="minorHAnsi"/>
          <w:b/>
          <w:lang w:val="ro-MD"/>
        </w:rPr>
      </w:pPr>
      <w:r w:rsidRPr="009761AD">
        <w:rPr>
          <w:rFonts w:asciiTheme="majorHAnsi" w:eastAsia="Times New Roman" w:hAnsiTheme="majorHAnsi" w:cstheme="minorHAnsi"/>
          <w:b/>
          <w:lang w:val="ro-MD"/>
        </w:rPr>
        <w:t>Tabelul nr.4</w:t>
      </w:r>
    </w:p>
    <w:p w14:paraId="2AB96A93" w14:textId="1ACA0132" w:rsidR="00B907A3" w:rsidRPr="00381DA2" w:rsidRDefault="00D76B74" w:rsidP="003A66EF">
      <w:pPr>
        <w:spacing w:after="0" w:line="276" w:lineRule="auto"/>
        <w:jc w:val="center"/>
        <w:rPr>
          <w:rFonts w:asciiTheme="majorHAnsi" w:hAnsiTheme="majorHAnsi" w:cstheme="minorHAnsi"/>
        </w:rPr>
      </w:pPr>
      <w:r w:rsidRPr="00D76B74">
        <w:rPr>
          <w:noProof/>
          <w:lang w:val="en-US"/>
        </w:rPr>
        <w:drawing>
          <wp:inline distT="0" distB="0" distL="0" distR="0" wp14:anchorId="3D99D4F8" wp14:editId="24984AE7">
            <wp:extent cx="5091545" cy="105761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0529" cy="1061557"/>
                    </a:xfrm>
                    <a:prstGeom prst="rect">
                      <a:avLst/>
                    </a:prstGeom>
                    <a:noFill/>
                    <a:ln>
                      <a:noFill/>
                    </a:ln>
                  </pic:spPr>
                </pic:pic>
              </a:graphicData>
            </a:graphic>
          </wp:inline>
        </w:drawing>
      </w:r>
    </w:p>
    <w:p w14:paraId="263A6079" w14:textId="0832BFB5" w:rsidR="00B907A3" w:rsidRPr="00381DA2" w:rsidRDefault="00B907A3" w:rsidP="003A66EF">
      <w:pPr>
        <w:spacing w:line="276" w:lineRule="auto"/>
        <w:jc w:val="center"/>
        <w:rPr>
          <w:rFonts w:asciiTheme="majorHAnsi" w:eastAsia="Times New Roman" w:hAnsiTheme="majorHAnsi" w:cstheme="minorHAnsi"/>
          <w:i/>
          <w:sz w:val="20"/>
          <w:szCs w:val="20"/>
        </w:rPr>
      </w:pPr>
      <w:r w:rsidRPr="00381DA2">
        <w:rPr>
          <w:rFonts w:asciiTheme="majorHAnsi" w:hAnsiTheme="majorHAnsi" w:cstheme="minorHAnsi"/>
          <w:b/>
          <w:bCs/>
          <w:i/>
          <w:sz w:val="20"/>
          <w:szCs w:val="20"/>
        </w:rPr>
        <w:t>Sursă:</w:t>
      </w:r>
      <w:r w:rsidRPr="00381DA2">
        <w:rPr>
          <w:rFonts w:asciiTheme="majorHAnsi" w:hAnsiTheme="majorHAnsi" w:cstheme="minorHAnsi"/>
          <w:i/>
          <w:sz w:val="20"/>
          <w:szCs w:val="20"/>
        </w:rPr>
        <w:t xml:space="preserve"> Informațiile totalizatoare prezentate de către CNAJGS</w:t>
      </w:r>
      <w:r w:rsidRPr="00381DA2">
        <w:rPr>
          <w:rFonts w:asciiTheme="majorHAnsi" w:eastAsia="Times New Roman" w:hAnsiTheme="majorHAnsi" w:cstheme="minorHAnsi"/>
          <w:i/>
          <w:sz w:val="20"/>
          <w:szCs w:val="20"/>
        </w:rPr>
        <w:t xml:space="preserve"> pentru p</w:t>
      </w:r>
      <w:r w:rsidR="003A66EF">
        <w:rPr>
          <w:rFonts w:asciiTheme="majorHAnsi" w:eastAsia="Times New Roman" w:hAnsiTheme="majorHAnsi" w:cstheme="minorHAnsi"/>
          <w:i/>
          <w:sz w:val="20"/>
          <w:szCs w:val="20"/>
        </w:rPr>
        <w:t>erioada 2020</w:t>
      </w:r>
      <w:r w:rsidR="000A646F">
        <w:rPr>
          <w:rFonts w:asciiTheme="majorHAnsi" w:eastAsia="Times New Roman" w:hAnsiTheme="majorHAnsi" w:cstheme="minorHAnsi"/>
          <w:i/>
          <w:sz w:val="20"/>
          <w:szCs w:val="20"/>
        </w:rPr>
        <w:t>-</w:t>
      </w:r>
      <w:r w:rsidR="003A66EF">
        <w:rPr>
          <w:rFonts w:asciiTheme="majorHAnsi" w:eastAsia="Times New Roman" w:hAnsiTheme="majorHAnsi" w:cstheme="minorHAnsi"/>
          <w:i/>
          <w:sz w:val="20"/>
          <w:szCs w:val="20"/>
        </w:rPr>
        <w:t>2021.</w:t>
      </w:r>
    </w:p>
    <w:p w14:paraId="2893B7FB" w14:textId="73D1CAB0" w:rsidR="00B907A3" w:rsidRPr="00381DA2" w:rsidRDefault="00B907A3"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rPr>
        <w:t>Informați</w:t>
      </w:r>
      <w:r w:rsidR="000A646F">
        <w:rPr>
          <w:rFonts w:asciiTheme="majorHAnsi" w:hAnsiTheme="majorHAnsi" w:cstheme="minorHAnsi"/>
          <w:sz w:val="24"/>
          <w:szCs w:val="24"/>
        </w:rPr>
        <w:t>ile</w:t>
      </w:r>
      <w:r w:rsidRPr="00381DA2">
        <w:rPr>
          <w:rFonts w:asciiTheme="majorHAnsi" w:hAnsiTheme="majorHAnsi" w:cstheme="minorHAnsi"/>
          <w:sz w:val="24"/>
          <w:szCs w:val="24"/>
        </w:rPr>
        <w:t xml:space="preserve"> expus</w:t>
      </w:r>
      <w:r w:rsidR="000A646F">
        <w:rPr>
          <w:rFonts w:asciiTheme="majorHAnsi" w:hAnsiTheme="majorHAnsi" w:cstheme="minorHAnsi"/>
          <w:sz w:val="24"/>
          <w:szCs w:val="24"/>
        </w:rPr>
        <w:t>e</w:t>
      </w:r>
      <w:r w:rsidRPr="00381DA2">
        <w:rPr>
          <w:rFonts w:asciiTheme="majorHAnsi" w:hAnsiTheme="majorHAnsi" w:cstheme="minorHAnsi"/>
          <w:sz w:val="24"/>
          <w:szCs w:val="24"/>
        </w:rPr>
        <w:t xml:space="preserve"> supra relevă că ponderea deciziilor de acordare a AJGS pe cauze ordinare neconfirmate cu rapoarte ale avocaților </w:t>
      </w:r>
      <w:r w:rsidR="0096682B">
        <w:rPr>
          <w:rFonts w:asciiTheme="majorHAnsi" w:hAnsiTheme="majorHAnsi" w:cstheme="minorHAnsi"/>
          <w:sz w:val="24"/>
          <w:szCs w:val="24"/>
        </w:rPr>
        <w:t xml:space="preserve">privind prestarea sau neprestarea serviciilor juridice, </w:t>
      </w:r>
      <w:r w:rsidRPr="00381DA2">
        <w:rPr>
          <w:rFonts w:asciiTheme="majorHAnsi" w:hAnsiTheme="majorHAnsi" w:cstheme="minorHAnsi"/>
          <w:sz w:val="24"/>
          <w:szCs w:val="24"/>
        </w:rPr>
        <w:t>este una semnificativă, cu tendință anuală de creștere. Or, în anii 2020-2021</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aceasta a constituit</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respectiv</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circa 17% și 19%, astfel majorându-se</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în anul 2021 față de anul 2020</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cu 1</w:t>
      </w:r>
      <w:r w:rsidR="000A646F">
        <w:rPr>
          <w:rFonts w:asciiTheme="majorHAnsi" w:hAnsiTheme="majorHAnsi" w:cstheme="minorHAnsi"/>
          <w:sz w:val="24"/>
          <w:szCs w:val="24"/>
        </w:rPr>
        <w:t>.</w:t>
      </w:r>
      <w:r w:rsidRPr="00381DA2">
        <w:rPr>
          <w:rFonts w:asciiTheme="majorHAnsi" w:hAnsiTheme="majorHAnsi" w:cstheme="minorHAnsi"/>
          <w:sz w:val="24"/>
          <w:szCs w:val="24"/>
        </w:rPr>
        <w:t>512 de cazuri.</w:t>
      </w:r>
    </w:p>
    <w:p w14:paraId="4605F099" w14:textId="0CDFA066" w:rsidR="00B907A3" w:rsidRPr="00381DA2" w:rsidRDefault="00B907A3" w:rsidP="003A66EF">
      <w:pPr>
        <w:spacing w:after="120" w:line="276" w:lineRule="auto"/>
        <w:jc w:val="both"/>
        <w:rPr>
          <w:rFonts w:asciiTheme="majorHAnsi" w:hAnsiTheme="majorHAnsi" w:cstheme="minorHAnsi"/>
          <w:i/>
          <w:color w:val="0070C0"/>
          <w:sz w:val="24"/>
          <w:szCs w:val="24"/>
        </w:rPr>
      </w:pPr>
      <w:r w:rsidRPr="00381DA2">
        <w:rPr>
          <w:rFonts w:asciiTheme="majorHAnsi" w:eastAsiaTheme="minorEastAsia" w:hAnsiTheme="majorHAnsi" w:cstheme="minorHAnsi"/>
          <w:sz w:val="24"/>
          <w:szCs w:val="24"/>
        </w:rPr>
        <w:t>De menționat că CNAJGS nu are elaborată și aprobată o procedură internă care să prevadă cum s</w:t>
      </w:r>
      <w:r w:rsidR="000A646F">
        <w:rPr>
          <w:rFonts w:asciiTheme="majorHAnsi" w:eastAsiaTheme="minorEastAsia" w:hAnsiTheme="majorHAnsi" w:cstheme="minorHAnsi"/>
          <w:sz w:val="24"/>
          <w:szCs w:val="24"/>
        </w:rPr>
        <w:t>u</w:t>
      </w:r>
      <w:r w:rsidRPr="00381DA2">
        <w:rPr>
          <w:rFonts w:asciiTheme="majorHAnsi" w:eastAsiaTheme="minorEastAsia" w:hAnsiTheme="majorHAnsi" w:cstheme="minorHAnsi"/>
          <w:sz w:val="24"/>
          <w:szCs w:val="24"/>
        </w:rPr>
        <w:t>nt gestionate cazurile la care apărătorii nu prez</w:t>
      </w:r>
      <w:r w:rsidR="000A646F">
        <w:rPr>
          <w:rFonts w:asciiTheme="majorHAnsi" w:eastAsiaTheme="minorEastAsia" w:hAnsiTheme="majorHAnsi" w:cstheme="minorHAnsi"/>
          <w:sz w:val="24"/>
          <w:szCs w:val="24"/>
        </w:rPr>
        <w:t>i</w:t>
      </w:r>
      <w:r w:rsidRPr="00381DA2">
        <w:rPr>
          <w:rFonts w:asciiTheme="majorHAnsi" w:eastAsiaTheme="minorEastAsia" w:hAnsiTheme="majorHAnsi" w:cstheme="minorHAnsi"/>
          <w:sz w:val="24"/>
          <w:szCs w:val="24"/>
        </w:rPr>
        <w:t xml:space="preserve">ntă rapoarte pe o perioadă îndelungată de timp. La fel, rămâne incertă situația privind impactul și finalitatea asistenței juridice prestate per- caz solicitat de beneficiari, precum și influența acestora asupra statisticilor raportate de CNAJGS.  </w:t>
      </w:r>
    </w:p>
    <w:p w14:paraId="6CEC044E" w14:textId="41203C07" w:rsidR="00687BC7" w:rsidRPr="00EC1E85" w:rsidRDefault="00687BC7" w:rsidP="003A66EF">
      <w:pPr>
        <w:pStyle w:val="Heading3"/>
        <w:numPr>
          <w:ilvl w:val="2"/>
          <w:numId w:val="26"/>
        </w:numPr>
        <w:tabs>
          <w:tab w:val="left" w:pos="360"/>
          <w:tab w:val="left" w:pos="540"/>
          <w:tab w:val="left" w:pos="630"/>
        </w:tabs>
        <w:spacing w:before="240" w:after="120" w:line="276" w:lineRule="auto"/>
        <w:ind w:left="0" w:firstLine="0"/>
        <w:jc w:val="both"/>
        <w:rPr>
          <w:rFonts w:cstheme="minorHAnsi"/>
          <w:b/>
        </w:rPr>
      </w:pPr>
      <w:bookmarkStart w:id="38" w:name="_Toc128640818"/>
      <w:r w:rsidRPr="00EC1E85">
        <w:rPr>
          <w:rFonts w:cstheme="minorHAnsi"/>
          <w:b/>
          <w:i/>
          <w:color w:val="0070C0"/>
        </w:rPr>
        <w:t xml:space="preserve">OT ale CNAJGS nu au respectat </w:t>
      </w:r>
      <w:r w:rsidR="000A646F">
        <w:rPr>
          <w:rFonts w:cstheme="minorHAnsi"/>
          <w:b/>
          <w:i/>
          <w:color w:val="0070C0"/>
        </w:rPr>
        <w:t xml:space="preserve">punctual </w:t>
      </w:r>
      <w:r w:rsidRPr="00EC1E85">
        <w:rPr>
          <w:rFonts w:cstheme="minorHAnsi"/>
          <w:b/>
          <w:i/>
          <w:color w:val="0070C0"/>
        </w:rPr>
        <w:t>reglementările privind achitarea în avans a remunerării avocaților pentru serviciile juridice oferite</w:t>
      </w:r>
      <w:r w:rsidR="000A646F">
        <w:rPr>
          <w:rFonts w:cstheme="minorHAnsi"/>
          <w:b/>
          <w:i/>
          <w:color w:val="0070C0"/>
        </w:rPr>
        <w:t>.</w:t>
      </w:r>
      <w:bookmarkEnd w:id="38"/>
    </w:p>
    <w:p w14:paraId="356E25AA" w14:textId="3CFB825A" w:rsidR="00687BC7" w:rsidRPr="00381DA2" w:rsidRDefault="00687BC7"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Asistența juridică calificată prestată de avocații contractați la cerere se achită integral din contul mijloacelor de la bugetul de stat și </w:t>
      </w:r>
      <w:r w:rsidR="000A646F">
        <w:rPr>
          <w:rFonts w:asciiTheme="majorHAnsi" w:hAnsiTheme="majorHAnsi" w:cstheme="minorHAnsi"/>
          <w:sz w:val="24"/>
          <w:szCs w:val="24"/>
        </w:rPr>
        <w:t xml:space="preserve">din </w:t>
      </w:r>
      <w:r w:rsidRPr="00381DA2">
        <w:rPr>
          <w:rFonts w:asciiTheme="majorHAnsi" w:hAnsiTheme="majorHAnsi" w:cstheme="minorHAnsi"/>
          <w:sz w:val="24"/>
          <w:szCs w:val="24"/>
        </w:rPr>
        <w:t xml:space="preserve">alte surse neinterzise de lege în conformitate cu Regulamentul cu privire la mărimea și modul de remunerare a avocaților pentru acordarea </w:t>
      </w:r>
      <w:r w:rsidRPr="00381DA2">
        <w:rPr>
          <w:rFonts w:asciiTheme="majorHAnsi" w:hAnsiTheme="majorHAnsi" w:cstheme="minorHAnsi"/>
          <w:sz w:val="24"/>
          <w:szCs w:val="24"/>
        </w:rPr>
        <w:lastRenderedPageBreak/>
        <w:t>asistenței juridice calificate garantate de stat</w:t>
      </w:r>
      <w:r w:rsidR="000A646F">
        <w:rPr>
          <w:rFonts w:asciiTheme="majorHAnsi" w:hAnsiTheme="majorHAnsi" w:cstheme="minorHAnsi"/>
          <w:sz w:val="24"/>
          <w:szCs w:val="24"/>
        </w:rPr>
        <w:t>,</w:t>
      </w:r>
      <w:r w:rsidRPr="00381DA2">
        <w:rPr>
          <w:rFonts w:asciiTheme="majorHAnsi" w:hAnsiTheme="majorHAnsi" w:cstheme="minorHAnsi"/>
          <w:sz w:val="24"/>
          <w:szCs w:val="24"/>
        </w:rPr>
        <w:t xml:space="preserve"> aprobat prin Hotărârea CNAJGS nr.22 din 19.12.2008.</w:t>
      </w:r>
    </w:p>
    <w:p w14:paraId="5DA7B203" w14:textId="173661CE" w:rsidR="00687BC7" w:rsidRPr="00381DA2" w:rsidRDefault="00687BC7" w:rsidP="003A66EF">
      <w:pPr>
        <w:spacing w:after="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Pentru a fi remunerat pentru asistența juridică acordată, avocatul care </w:t>
      </w:r>
      <w:r w:rsidR="00C70CF9">
        <w:rPr>
          <w:rFonts w:asciiTheme="majorHAnsi" w:hAnsiTheme="majorHAnsi" w:cstheme="minorHAnsi"/>
          <w:sz w:val="24"/>
          <w:szCs w:val="24"/>
        </w:rPr>
        <w:t>oferă</w:t>
      </w:r>
      <w:r w:rsidRPr="00381DA2">
        <w:rPr>
          <w:rFonts w:asciiTheme="majorHAnsi" w:hAnsiTheme="majorHAnsi" w:cstheme="minorHAnsi"/>
          <w:sz w:val="24"/>
          <w:szCs w:val="24"/>
        </w:rPr>
        <w:t xml:space="preserve"> asistență juridică la cerere prezintă Oficiului teritorial corespunzător raportul de activitate pe cauză, conform modelului aprobat de Consiliul National. Raportul de activitate pe cauză se prezintă în cel mult trei luni după încetarea acordării asistenței juridice calificate de către avocatul desemnat în cauza respectivă în următoarele cazuri:</w:t>
      </w:r>
    </w:p>
    <w:p w14:paraId="05651355" w14:textId="4FFB7D7F" w:rsidR="00687BC7" w:rsidRPr="00381DA2" w:rsidRDefault="00687BC7" w:rsidP="003A66EF">
      <w:pPr>
        <w:pStyle w:val="ListParagraph"/>
        <w:numPr>
          <w:ilvl w:val="0"/>
          <w:numId w:val="7"/>
        </w:numPr>
        <w:spacing w:line="276" w:lineRule="auto"/>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încetarea urm</w:t>
      </w:r>
      <w:r w:rsidR="009B2BA2">
        <w:rPr>
          <w:rFonts w:asciiTheme="majorHAnsi" w:hAnsiTheme="majorHAnsi" w:cstheme="minorHAnsi"/>
          <w:sz w:val="24"/>
          <w:szCs w:val="24"/>
          <w:lang w:val="ro-MD"/>
        </w:rPr>
        <w:t>ăririi penale sau a procesului p</w:t>
      </w:r>
      <w:r w:rsidRPr="00381DA2">
        <w:rPr>
          <w:rFonts w:asciiTheme="majorHAnsi" w:hAnsiTheme="majorHAnsi" w:cstheme="minorHAnsi"/>
          <w:sz w:val="24"/>
          <w:szCs w:val="24"/>
          <w:lang w:val="ro-MD"/>
        </w:rPr>
        <w:t>enal</w:t>
      </w:r>
      <w:r w:rsidR="000A646F">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w:t>
      </w:r>
    </w:p>
    <w:p w14:paraId="11A3491F" w14:textId="2F020C15" w:rsidR="00687BC7" w:rsidRPr="00381DA2" w:rsidRDefault="00687BC7" w:rsidP="003A66EF">
      <w:pPr>
        <w:pStyle w:val="ListParagraph"/>
        <w:numPr>
          <w:ilvl w:val="0"/>
          <w:numId w:val="7"/>
        </w:numPr>
        <w:spacing w:line="276" w:lineRule="auto"/>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renunțarea la apărător sau înlocuirea avocatului desemnat cu un avocat ales</w:t>
      </w:r>
      <w:r w:rsidR="000A646F">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w:t>
      </w:r>
    </w:p>
    <w:p w14:paraId="4038E84D" w14:textId="6AC639C1" w:rsidR="00687BC7" w:rsidRPr="00381DA2" w:rsidRDefault="00687BC7" w:rsidP="003A66EF">
      <w:pPr>
        <w:pStyle w:val="ListParagraph"/>
        <w:numPr>
          <w:ilvl w:val="0"/>
          <w:numId w:val="7"/>
        </w:numPr>
        <w:spacing w:after="120" w:line="276" w:lineRule="auto"/>
        <w:contextualSpacing w:val="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menținer</w:t>
      </w:r>
      <w:r w:rsidR="000A646F">
        <w:rPr>
          <w:rFonts w:asciiTheme="majorHAnsi" w:hAnsiTheme="majorHAnsi" w:cstheme="minorHAnsi"/>
          <w:sz w:val="24"/>
          <w:szCs w:val="24"/>
          <w:lang w:val="ro-MD"/>
        </w:rPr>
        <w:t>ea</w:t>
      </w:r>
      <w:r w:rsidRPr="00381DA2">
        <w:rPr>
          <w:rFonts w:asciiTheme="majorHAnsi" w:hAnsiTheme="majorHAnsi" w:cstheme="minorHAnsi"/>
          <w:sz w:val="24"/>
          <w:szCs w:val="24"/>
          <w:lang w:val="ro-MD"/>
        </w:rPr>
        <w:t xml:space="preserve"> definitiv</w:t>
      </w:r>
      <w:r w:rsidR="000A646F">
        <w:rPr>
          <w:rFonts w:asciiTheme="majorHAnsi" w:hAnsiTheme="majorHAnsi" w:cstheme="minorHAnsi"/>
          <w:sz w:val="24"/>
          <w:szCs w:val="24"/>
          <w:lang w:val="ro-MD"/>
        </w:rPr>
        <w:t>ă</w:t>
      </w:r>
      <w:r w:rsidRPr="00381DA2">
        <w:rPr>
          <w:rFonts w:asciiTheme="majorHAnsi" w:hAnsiTheme="majorHAnsi" w:cstheme="minorHAnsi"/>
          <w:sz w:val="24"/>
          <w:szCs w:val="24"/>
          <w:lang w:val="ro-MD"/>
        </w:rPr>
        <w:t xml:space="preserve"> a hotărârii instanței de judecată sau a altor circumstanțe care nu permit continuarea acordării asistenței juridice garantate de stat.</w:t>
      </w:r>
    </w:p>
    <w:p w14:paraId="6234BB18" w14:textId="63871B0A" w:rsidR="00687BC7" w:rsidRPr="00381DA2" w:rsidRDefault="00687BC7" w:rsidP="003A66EF">
      <w:pPr>
        <w:spacing w:after="120" w:line="276" w:lineRule="auto"/>
        <w:jc w:val="both"/>
        <w:rPr>
          <w:rFonts w:asciiTheme="majorHAnsi" w:hAnsiTheme="majorHAnsi" w:cstheme="minorHAnsi"/>
          <w:bCs/>
          <w:sz w:val="24"/>
          <w:szCs w:val="24"/>
        </w:rPr>
      </w:pPr>
      <w:r w:rsidRPr="00381DA2">
        <w:rPr>
          <w:rFonts w:asciiTheme="majorHAnsi" w:hAnsiTheme="majorHAnsi" w:cstheme="minorHAnsi"/>
          <w:sz w:val="24"/>
          <w:szCs w:val="24"/>
        </w:rPr>
        <w:t>Concomitent, potrivit pct. 24 din Regulamentul privind remunerarea avocaților, se prevede</w:t>
      </w:r>
      <w:r w:rsidR="00EE2A97">
        <w:rPr>
          <w:rFonts w:asciiTheme="majorHAnsi" w:hAnsiTheme="majorHAnsi" w:cstheme="minorHAnsi"/>
          <w:sz w:val="24"/>
          <w:szCs w:val="24"/>
        </w:rPr>
        <w:t xml:space="preserve">, </w:t>
      </w:r>
      <w:r w:rsidR="00EE2A97" w:rsidRPr="00381DA2">
        <w:rPr>
          <w:rFonts w:asciiTheme="majorHAnsi" w:hAnsiTheme="majorHAnsi" w:cstheme="minorHAnsi"/>
          <w:sz w:val="24"/>
          <w:szCs w:val="24"/>
        </w:rPr>
        <w:t>ca excepție,</w:t>
      </w:r>
      <w:r w:rsidRPr="00381DA2">
        <w:rPr>
          <w:rFonts w:asciiTheme="majorHAnsi" w:hAnsiTheme="majorHAnsi" w:cstheme="minorHAnsi"/>
          <w:sz w:val="24"/>
          <w:szCs w:val="24"/>
        </w:rPr>
        <w:t xml:space="preserve"> posibilitatea </w:t>
      </w:r>
      <w:r w:rsidRPr="00381DA2">
        <w:rPr>
          <w:rFonts w:asciiTheme="majorHAnsi" w:hAnsiTheme="majorHAnsi" w:cstheme="minorHAnsi"/>
          <w:bCs/>
          <w:sz w:val="24"/>
          <w:szCs w:val="24"/>
        </w:rPr>
        <w:t xml:space="preserve">remunerării </w:t>
      </w:r>
      <w:r w:rsidRPr="00381DA2">
        <w:rPr>
          <w:rFonts w:asciiTheme="majorHAnsi" w:hAnsiTheme="majorHAnsi" w:cstheme="minorHAnsi"/>
          <w:bCs/>
          <w:i/>
          <w:sz w:val="24"/>
          <w:szCs w:val="24"/>
        </w:rPr>
        <w:t>în avans</w:t>
      </w:r>
      <w:r w:rsidRPr="00381DA2">
        <w:rPr>
          <w:rFonts w:asciiTheme="majorHAnsi" w:hAnsiTheme="majorHAnsi" w:cstheme="minorHAnsi"/>
          <w:bCs/>
          <w:sz w:val="24"/>
          <w:szCs w:val="24"/>
        </w:rPr>
        <w:t xml:space="preserve"> a serviciilor juridice prestate de avocați pentru acțiunile întreprinse în cazul acordării asistenței pe cauze, </w:t>
      </w:r>
      <w:r w:rsidR="00EE2A97">
        <w:rPr>
          <w:rFonts w:asciiTheme="majorHAnsi" w:hAnsiTheme="majorHAnsi" w:cstheme="minorHAnsi"/>
          <w:bCs/>
          <w:sz w:val="24"/>
          <w:szCs w:val="24"/>
        </w:rPr>
        <w:t xml:space="preserve">a căror </w:t>
      </w:r>
      <w:r w:rsidRPr="00381DA2">
        <w:rPr>
          <w:rFonts w:asciiTheme="majorHAnsi" w:hAnsiTheme="majorHAnsi" w:cstheme="minorHAnsi"/>
          <w:bCs/>
          <w:sz w:val="24"/>
          <w:szCs w:val="24"/>
        </w:rPr>
        <w:t xml:space="preserve">examinare durează mai mult de trei luni.  </w:t>
      </w:r>
    </w:p>
    <w:p w14:paraId="1BFA81DB" w14:textId="66E8C0BD" w:rsidR="00687BC7" w:rsidRPr="00381DA2" w:rsidRDefault="00ED1F88" w:rsidP="003A66EF">
      <w:pPr>
        <w:spacing w:after="120" w:line="276" w:lineRule="auto"/>
        <w:jc w:val="both"/>
        <w:rPr>
          <w:rFonts w:asciiTheme="majorHAnsi" w:hAnsiTheme="majorHAnsi" w:cstheme="minorHAnsi"/>
          <w:bCs/>
          <w:sz w:val="24"/>
          <w:szCs w:val="24"/>
        </w:rPr>
      </w:pPr>
      <w:r>
        <w:rPr>
          <w:rFonts w:asciiTheme="majorHAnsi" w:hAnsiTheme="majorHAnsi" w:cstheme="minorHAnsi"/>
          <w:bCs/>
          <w:sz w:val="24"/>
          <w:szCs w:val="24"/>
        </w:rPr>
        <w:t>Misiunea de audit relevă că</w:t>
      </w:r>
      <w:r w:rsidR="00687BC7" w:rsidRPr="00381DA2">
        <w:rPr>
          <w:rFonts w:asciiTheme="majorHAnsi" w:hAnsiTheme="majorHAnsi" w:cstheme="minorHAnsi"/>
          <w:bCs/>
          <w:sz w:val="24"/>
          <w:szCs w:val="24"/>
        </w:rPr>
        <w:t xml:space="preserve"> a fost identificat un număr semnificativ de cazuri</w:t>
      </w:r>
      <w:r w:rsidR="00687BC7" w:rsidRPr="00381DA2">
        <w:rPr>
          <w:rStyle w:val="FootnoteReference"/>
          <w:rFonts w:asciiTheme="majorHAnsi" w:hAnsiTheme="majorHAnsi" w:cstheme="minorHAnsi"/>
          <w:bCs/>
          <w:sz w:val="24"/>
          <w:szCs w:val="24"/>
        </w:rPr>
        <w:footnoteReference w:id="75"/>
      </w:r>
      <w:r w:rsidR="00687BC7" w:rsidRPr="00381DA2">
        <w:rPr>
          <w:rFonts w:asciiTheme="majorHAnsi" w:hAnsiTheme="majorHAnsi" w:cstheme="minorHAnsi"/>
          <w:bCs/>
          <w:sz w:val="24"/>
          <w:szCs w:val="24"/>
        </w:rPr>
        <w:t xml:space="preserve"> de nerespectare a acestei norme. Astfel</w:t>
      </w:r>
      <w:r>
        <w:rPr>
          <w:rFonts w:asciiTheme="majorHAnsi" w:hAnsiTheme="majorHAnsi" w:cstheme="minorHAnsi"/>
          <w:bCs/>
          <w:sz w:val="24"/>
          <w:szCs w:val="24"/>
        </w:rPr>
        <w:t>,</w:t>
      </w:r>
      <w:r w:rsidR="00687BC7" w:rsidRPr="00381DA2">
        <w:rPr>
          <w:rFonts w:asciiTheme="majorHAnsi" w:hAnsiTheme="majorHAnsi" w:cstheme="minorHAnsi"/>
          <w:bCs/>
          <w:sz w:val="24"/>
          <w:szCs w:val="24"/>
        </w:rPr>
        <w:t xml:space="preserve"> OT a</w:t>
      </w:r>
      <w:r>
        <w:rPr>
          <w:rFonts w:asciiTheme="majorHAnsi" w:hAnsiTheme="majorHAnsi" w:cstheme="minorHAnsi"/>
          <w:bCs/>
          <w:sz w:val="24"/>
          <w:szCs w:val="24"/>
        </w:rPr>
        <w:t>le</w:t>
      </w:r>
      <w:r w:rsidR="00687BC7" w:rsidRPr="00381DA2">
        <w:rPr>
          <w:rFonts w:asciiTheme="majorHAnsi" w:hAnsiTheme="majorHAnsi" w:cstheme="minorHAnsi"/>
          <w:bCs/>
          <w:sz w:val="24"/>
          <w:szCs w:val="24"/>
        </w:rPr>
        <w:t xml:space="preserve"> CNAJGS au achitat în avans serviciile juridice ale avocaților pe dosarele cu termen extins de examinare sau până la expirarea termenului legal prestabilit de 3 luni de la data desemnării avocatului</w:t>
      </w:r>
      <w:r w:rsidR="004B12EE" w:rsidRPr="00381DA2">
        <w:rPr>
          <w:rFonts w:asciiTheme="majorHAnsi" w:hAnsiTheme="majorHAnsi" w:cstheme="minorHAnsi"/>
          <w:bCs/>
          <w:sz w:val="24"/>
          <w:szCs w:val="24"/>
        </w:rPr>
        <w:t>.</w:t>
      </w:r>
      <w:r w:rsidR="00687BC7" w:rsidRPr="00381DA2">
        <w:rPr>
          <w:rFonts w:asciiTheme="majorHAnsi" w:hAnsiTheme="majorHAnsi" w:cstheme="minorHAnsi"/>
          <w:bCs/>
          <w:sz w:val="24"/>
          <w:szCs w:val="24"/>
        </w:rPr>
        <w:t xml:space="preserve"> La acordarea neregulamentară a avansurilor pentru asistența juridică calificată</w:t>
      </w:r>
      <w:r>
        <w:rPr>
          <w:rFonts w:asciiTheme="majorHAnsi" w:hAnsiTheme="majorHAnsi" w:cstheme="minorHAnsi"/>
          <w:bCs/>
          <w:sz w:val="24"/>
          <w:szCs w:val="24"/>
        </w:rPr>
        <w:t>,</w:t>
      </w:r>
      <w:r w:rsidR="00687BC7" w:rsidRPr="00381DA2">
        <w:rPr>
          <w:rFonts w:asciiTheme="majorHAnsi" w:hAnsiTheme="majorHAnsi" w:cstheme="minorHAnsi"/>
          <w:bCs/>
          <w:sz w:val="24"/>
          <w:szCs w:val="24"/>
        </w:rPr>
        <w:t xml:space="preserve"> nu s-a ținut cont de </w:t>
      </w:r>
      <w:r w:rsidR="00C70CF9">
        <w:rPr>
          <w:rFonts w:asciiTheme="majorHAnsi" w:hAnsiTheme="majorHAnsi" w:cstheme="minorHAnsi"/>
          <w:sz w:val="24"/>
          <w:szCs w:val="24"/>
        </w:rPr>
        <w:t>art.80 alin. (1) din Legea</w:t>
      </w:r>
      <w:r w:rsidR="00687BC7" w:rsidRPr="00381DA2">
        <w:rPr>
          <w:rFonts w:asciiTheme="majorHAnsi" w:hAnsiTheme="majorHAnsi" w:cstheme="minorHAnsi"/>
          <w:sz w:val="24"/>
          <w:szCs w:val="24"/>
        </w:rPr>
        <w:t xml:space="preserve"> </w:t>
      </w:r>
      <w:r>
        <w:rPr>
          <w:rFonts w:asciiTheme="majorHAnsi" w:hAnsiTheme="majorHAnsi" w:cstheme="minorHAnsi"/>
          <w:sz w:val="24"/>
          <w:szCs w:val="24"/>
        </w:rPr>
        <w:t>nr.</w:t>
      </w:r>
      <w:r w:rsidR="00687BC7" w:rsidRPr="00381DA2">
        <w:rPr>
          <w:rFonts w:asciiTheme="majorHAnsi" w:hAnsiTheme="majorHAnsi" w:cstheme="minorHAnsi"/>
          <w:sz w:val="24"/>
          <w:szCs w:val="24"/>
        </w:rPr>
        <w:t>181/2014</w:t>
      </w:r>
      <w:r w:rsidR="00687BC7" w:rsidRPr="00381DA2">
        <w:rPr>
          <w:rStyle w:val="FootnoteReference"/>
          <w:rFonts w:asciiTheme="majorHAnsi" w:hAnsiTheme="majorHAnsi" w:cstheme="minorHAnsi"/>
          <w:sz w:val="24"/>
          <w:szCs w:val="24"/>
        </w:rPr>
        <w:footnoteReference w:id="76"/>
      </w:r>
      <w:r>
        <w:rPr>
          <w:rFonts w:asciiTheme="majorHAnsi" w:hAnsiTheme="majorHAnsi" w:cstheme="minorHAnsi"/>
          <w:sz w:val="24"/>
          <w:szCs w:val="24"/>
        </w:rPr>
        <w:t>,</w:t>
      </w:r>
      <w:r w:rsidR="00687BC7" w:rsidRPr="00381DA2">
        <w:rPr>
          <w:rFonts w:asciiTheme="majorHAnsi" w:hAnsiTheme="majorHAnsi" w:cstheme="minorHAnsi"/>
          <w:sz w:val="24"/>
          <w:szCs w:val="24"/>
        </w:rPr>
        <w:t xml:space="preserve"> care statuează că se interzice dezafectarea mijloacelor bănești din conturile bancare ale Trezoreriei de Stat și ale trezoreriilor regionale ale Ministerului Finanțelor.</w:t>
      </w:r>
    </w:p>
    <w:p w14:paraId="745464E1" w14:textId="77777777" w:rsidR="00687BC7" w:rsidRPr="00381DA2" w:rsidRDefault="00687BC7" w:rsidP="003A66EF">
      <w:pPr>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Deficiența respectivă a fost cauzată </w:t>
      </w:r>
      <w:r w:rsidR="00856765" w:rsidRPr="00381DA2">
        <w:rPr>
          <w:rFonts w:asciiTheme="majorHAnsi" w:hAnsiTheme="majorHAnsi" w:cstheme="minorHAnsi"/>
          <w:sz w:val="24"/>
          <w:szCs w:val="24"/>
        </w:rPr>
        <w:t>atât</w:t>
      </w:r>
      <w:r w:rsidRPr="00381DA2">
        <w:rPr>
          <w:rFonts w:asciiTheme="majorHAnsi" w:hAnsiTheme="majorHAnsi" w:cstheme="minorHAnsi"/>
          <w:sz w:val="24"/>
          <w:szCs w:val="24"/>
        </w:rPr>
        <w:t xml:space="preserve"> de lipsa unor controale ale aplicațiilor în sistemul informațional utilizat de O</w:t>
      </w:r>
      <w:r w:rsidR="000C747E">
        <w:rPr>
          <w:rFonts w:asciiTheme="majorHAnsi" w:hAnsiTheme="majorHAnsi" w:cstheme="minorHAnsi"/>
          <w:sz w:val="24"/>
          <w:szCs w:val="24"/>
        </w:rPr>
        <w:t xml:space="preserve">T ale CNAJGS, precum </w:t>
      </w:r>
      <w:r w:rsidRPr="00381DA2">
        <w:rPr>
          <w:rFonts w:asciiTheme="majorHAnsi" w:hAnsiTheme="majorHAnsi" w:cstheme="minorHAnsi"/>
          <w:sz w:val="24"/>
          <w:szCs w:val="24"/>
        </w:rPr>
        <w:t>și de lipsa stabilirii distincte a responsabilităților angajaților la componenta respectivă.</w:t>
      </w:r>
    </w:p>
    <w:tbl>
      <w:tblPr>
        <w:tblStyle w:val="TableGrid"/>
        <w:tblW w:w="0" w:type="auto"/>
        <w:tblLook w:val="04A0" w:firstRow="1" w:lastRow="0" w:firstColumn="1" w:lastColumn="0" w:noHBand="0" w:noVBand="1"/>
      </w:tblPr>
      <w:tblGrid>
        <w:gridCol w:w="9347"/>
      </w:tblGrid>
      <w:tr w:rsidR="00687BC7" w:rsidRPr="00381DA2" w14:paraId="28A0E2CA" w14:textId="77777777" w:rsidTr="00FC71E6">
        <w:tc>
          <w:tcPr>
            <w:tcW w:w="9347" w:type="dxa"/>
          </w:tcPr>
          <w:p w14:paraId="64AF0006" w14:textId="3EF81C77" w:rsidR="00687BC7" w:rsidRPr="00381DA2" w:rsidRDefault="00687BC7" w:rsidP="00597703">
            <w:pPr>
              <w:spacing w:line="276" w:lineRule="auto"/>
              <w:jc w:val="both"/>
              <w:rPr>
                <w:rFonts w:asciiTheme="majorHAnsi" w:hAnsiTheme="majorHAnsi" w:cstheme="minorHAnsi"/>
                <w:sz w:val="24"/>
                <w:szCs w:val="24"/>
              </w:rPr>
            </w:pPr>
            <w:r w:rsidRPr="00381DA2">
              <w:rPr>
                <w:rFonts w:asciiTheme="majorHAnsi" w:hAnsiTheme="majorHAnsi" w:cstheme="minorHAnsi"/>
                <w:i/>
                <w:sz w:val="24"/>
                <w:szCs w:val="24"/>
              </w:rPr>
              <w:t xml:space="preserve">Notă: </w:t>
            </w:r>
            <w:r w:rsidR="00597703">
              <w:rPr>
                <w:rFonts w:asciiTheme="majorHAnsi" w:hAnsiTheme="majorHAnsi" w:cstheme="minorHAnsi"/>
                <w:sz w:val="24"/>
                <w:szCs w:val="24"/>
              </w:rPr>
              <w:t>Ca u</w:t>
            </w:r>
            <w:r w:rsidR="002330D0" w:rsidRPr="00381DA2">
              <w:rPr>
                <w:rFonts w:asciiTheme="majorHAnsi" w:hAnsiTheme="majorHAnsi" w:cstheme="minorHAnsi"/>
                <w:sz w:val="24"/>
                <w:szCs w:val="24"/>
              </w:rPr>
              <w:t xml:space="preserve">rmare </w:t>
            </w:r>
            <w:r w:rsidR="00597703">
              <w:rPr>
                <w:rFonts w:asciiTheme="majorHAnsi" w:hAnsiTheme="majorHAnsi" w:cstheme="minorHAnsi"/>
                <w:sz w:val="24"/>
                <w:szCs w:val="24"/>
              </w:rPr>
              <w:t xml:space="preserve">a </w:t>
            </w:r>
            <w:r w:rsidR="002330D0" w:rsidRPr="00381DA2">
              <w:rPr>
                <w:rFonts w:asciiTheme="majorHAnsi" w:hAnsiTheme="majorHAnsi" w:cstheme="minorHAnsi"/>
                <w:sz w:val="24"/>
                <w:szCs w:val="24"/>
              </w:rPr>
              <w:t xml:space="preserve">observațiilor de audit, în SI al CNAJGS au fost instituite controale ale aplicațiilor care </w:t>
            </w:r>
            <w:r w:rsidR="009B4D46" w:rsidRPr="00381DA2">
              <w:rPr>
                <w:rFonts w:asciiTheme="majorHAnsi" w:hAnsiTheme="majorHAnsi" w:cstheme="minorHAnsi"/>
                <w:sz w:val="24"/>
                <w:szCs w:val="24"/>
              </w:rPr>
              <w:t>exclud</w:t>
            </w:r>
            <w:r w:rsidR="002330D0" w:rsidRPr="00381DA2">
              <w:rPr>
                <w:rFonts w:asciiTheme="majorHAnsi" w:hAnsiTheme="majorHAnsi" w:cstheme="minorHAnsi"/>
                <w:sz w:val="24"/>
                <w:szCs w:val="24"/>
              </w:rPr>
              <w:t xml:space="preserve"> situațiile de a</w:t>
            </w:r>
            <w:r w:rsidR="00D92101" w:rsidRPr="00381DA2">
              <w:rPr>
                <w:rFonts w:asciiTheme="majorHAnsi" w:hAnsiTheme="majorHAnsi" w:cstheme="minorHAnsi"/>
                <w:sz w:val="24"/>
                <w:szCs w:val="24"/>
              </w:rPr>
              <w:t xml:space="preserve">dmitere a achitării în avans a serviciilor juridice prestate de avocați pentru acțiunile întreprinse în cazul acordării asistenței pe cauze, </w:t>
            </w:r>
            <w:r w:rsidR="00597703">
              <w:rPr>
                <w:rFonts w:asciiTheme="majorHAnsi" w:hAnsiTheme="majorHAnsi" w:cstheme="minorHAnsi"/>
                <w:sz w:val="24"/>
                <w:szCs w:val="24"/>
              </w:rPr>
              <w:t xml:space="preserve">a căror </w:t>
            </w:r>
            <w:r w:rsidR="00D92101" w:rsidRPr="00381DA2">
              <w:rPr>
                <w:rFonts w:asciiTheme="majorHAnsi" w:hAnsiTheme="majorHAnsi" w:cstheme="minorHAnsi"/>
                <w:sz w:val="24"/>
                <w:szCs w:val="24"/>
              </w:rPr>
              <w:t xml:space="preserve">examinare durează mai mult de trei luni.  </w:t>
            </w:r>
            <w:r w:rsidR="002330D0" w:rsidRPr="00381DA2">
              <w:rPr>
                <w:rFonts w:asciiTheme="majorHAnsi" w:hAnsiTheme="majorHAnsi" w:cstheme="minorHAnsi"/>
                <w:sz w:val="24"/>
                <w:szCs w:val="24"/>
              </w:rPr>
              <w:t xml:space="preserve">   </w:t>
            </w:r>
          </w:p>
        </w:tc>
      </w:tr>
    </w:tbl>
    <w:p w14:paraId="3F29157B" w14:textId="5E58D002" w:rsidR="00E66EF6" w:rsidRPr="00381DA2" w:rsidRDefault="00E66EF6" w:rsidP="003A66EF">
      <w:pPr>
        <w:pStyle w:val="Heading3"/>
        <w:numPr>
          <w:ilvl w:val="2"/>
          <w:numId w:val="26"/>
        </w:numPr>
        <w:tabs>
          <w:tab w:val="left" w:pos="360"/>
          <w:tab w:val="left" w:pos="540"/>
          <w:tab w:val="left" w:pos="630"/>
        </w:tabs>
        <w:spacing w:before="240" w:after="120" w:line="276" w:lineRule="auto"/>
        <w:ind w:left="0" w:firstLine="0"/>
        <w:jc w:val="both"/>
        <w:rPr>
          <w:rFonts w:cstheme="majorHAnsi"/>
          <w:b/>
          <w:i/>
          <w:color w:val="0070C0"/>
        </w:rPr>
      </w:pPr>
      <w:bookmarkStart w:id="39" w:name="_Toc125121338"/>
      <w:bookmarkStart w:id="40" w:name="_Toc128640819"/>
      <w:r w:rsidRPr="00381DA2">
        <w:rPr>
          <w:rFonts w:cstheme="majorHAnsi"/>
          <w:b/>
          <w:i/>
          <w:color w:val="0070C0"/>
        </w:rPr>
        <w:t xml:space="preserve">Procesul de monitorizare a calității serviciilor de asistență juridică garantată de stat este </w:t>
      </w:r>
      <w:bookmarkEnd w:id="39"/>
      <w:r w:rsidRPr="00381DA2">
        <w:rPr>
          <w:rFonts w:cstheme="majorHAnsi"/>
          <w:b/>
          <w:i/>
          <w:color w:val="0070C0"/>
        </w:rPr>
        <w:t>parțial funcțional</w:t>
      </w:r>
      <w:r w:rsidR="00597703">
        <w:rPr>
          <w:rFonts w:cstheme="majorHAnsi"/>
          <w:b/>
          <w:i/>
          <w:color w:val="0070C0"/>
        </w:rPr>
        <w:t>.</w:t>
      </w:r>
      <w:bookmarkEnd w:id="40"/>
      <w:r w:rsidRPr="00381DA2">
        <w:rPr>
          <w:rFonts w:cstheme="majorHAnsi"/>
          <w:b/>
          <w:i/>
          <w:color w:val="0070C0"/>
        </w:rPr>
        <w:t xml:space="preserve"> </w:t>
      </w:r>
    </w:p>
    <w:p w14:paraId="2629EF12" w14:textId="616D616C" w:rsidR="00E66EF6" w:rsidRPr="00381DA2" w:rsidRDefault="00E66EF6"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color w:val="000000"/>
          <w:sz w:val="24"/>
          <w:szCs w:val="24"/>
        </w:rPr>
        <w:t xml:space="preserve">Un aspect important în procesul de acordare </w:t>
      </w:r>
      <w:r w:rsidR="00C70CF9">
        <w:rPr>
          <w:rFonts w:asciiTheme="majorHAnsi" w:hAnsiTheme="majorHAnsi" w:cstheme="minorHAnsi"/>
          <w:color w:val="000000"/>
          <w:sz w:val="24"/>
          <w:szCs w:val="24"/>
        </w:rPr>
        <w:t xml:space="preserve">a </w:t>
      </w:r>
      <w:r w:rsidRPr="00381DA2">
        <w:rPr>
          <w:rFonts w:asciiTheme="majorHAnsi" w:hAnsiTheme="majorHAnsi" w:cstheme="minorHAnsi"/>
          <w:color w:val="000000"/>
          <w:sz w:val="24"/>
          <w:szCs w:val="24"/>
        </w:rPr>
        <w:t xml:space="preserve">AJGS revine componentelor de calitate a serviciilor juridice </w:t>
      </w:r>
      <w:r w:rsidR="00C70CF9">
        <w:rPr>
          <w:rFonts w:asciiTheme="majorHAnsi" w:hAnsiTheme="majorHAnsi" w:cstheme="minorHAnsi"/>
          <w:color w:val="000000"/>
          <w:sz w:val="24"/>
          <w:szCs w:val="24"/>
        </w:rPr>
        <w:t>oferite</w:t>
      </w:r>
      <w:r w:rsidRPr="00381DA2">
        <w:rPr>
          <w:rFonts w:asciiTheme="majorHAnsi" w:hAnsiTheme="majorHAnsi" w:cstheme="minorHAnsi"/>
          <w:color w:val="000000"/>
          <w:sz w:val="24"/>
          <w:szCs w:val="24"/>
        </w:rPr>
        <w:t xml:space="preserve"> benef</w:t>
      </w:r>
      <w:r w:rsidR="00EA5454" w:rsidRPr="00381DA2">
        <w:rPr>
          <w:rFonts w:asciiTheme="majorHAnsi" w:hAnsiTheme="majorHAnsi" w:cstheme="minorHAnsi"/>
          <w:color w:val="000000"/>
          <w:sz w:val="24"/>
          <w:szCs w:val="24"/>
        </w:rPr>
        <w:t>iciarilor de către avocați</w:t>
      </w:r>
      <w:r w:rsidR="00AF5607" w:rsidRPr="00381DA2">
        <w:rPr>
          <w:rFonts w:asciiTheme="majorHAnsi" w:hAnsiTheme="majorHAnsi" w:cstheme="minorHAnsi"/>
          <w:color w:val="000000"/>
          <w:sz w:val="24"/>
          <w:szCs w:val="24"/>
        </w:rPr>
        <w:t xml:space="preserve">. </w:t>
      </w:r>
      <w:r w:rsidRPr="00381DA2">
        <w:rPr>
          <w:rFonts w:asciiTheme="majorHAnsi" w:hAnsiTheme="majorHAnsi" w:cstheme="minorHAnsi"/>
          <w:color w:val="000000"/>
          <w:sz w:val="24"/>
          <w:szCs w:val="24"/>
        </w:rPr>
        <w:t>În scopul evaluării calității serviciilor de AJGS acordate de către avocați</w:t>
      </w:r>
      <w:r w:rsidRPr="00381DA2">
        <w:rPr>
          <w:rFonts w:asciiTheme="majorHAnsi" w:hAnsiTheme="majorHAnsi" w:cstheme="minorHAnsi"/>
          <w:sz w:val="24"/>
          <w:szCs w:val="24"/>
        </w:rPr>
        <w:t>, CNAJGS a</w:t>
      </w:r>
      <w:r w:rsidRPr="00381DA2">
        <w:rPr>
          <w:rFonts w:asciiTheme="majorHAnsi" w:hAnsiTheme="majorHAnsi" w:cstheme="minorHAnsi"/>
          <w:color w:val="000000"/>
          <w:sz w:val="24"/>
          <w:szCs w:val="24"/>
        </w:rPr>
        <w:t xml:space="preserve"> instituit un sistem de monitorizare, </w:t>
      </w:r>
      <w:r w:rsidRPr="00381DA2">
        <w:rPr>
          <w:rFonts w:asciiTheme="majorHAnsi" w:hAnsiTheme="majorHAnsi" w:cstheme="minorHAnsi"/>
          <w:sz w:val="24"/>
          <w:szCs w:val="24"/>
        </w:rPr>
        <w:t xml:space="preserve">care reprezintă verificarea corespunderii calității asistenței juridice </w:t>
      </w:r>
      <w:r w:rsidR="00C70CF9">
        <w:rPr>
          <w:rFonts w:asciiTheme="majorHAnsi" w:hAnsiTheme="majorHAnsi" w:cstheme="minorHAnsi"/>
          <w:sz w:val="24"/>
          <w:szCs w:val="24"/>
        </w:rPr>
        <w:t>prestate</w:t>
      </w:r>
      <w:r w:rsidRPr="00381DA2">
        <w:rPr>
          <w:rFonts w:asciiTheme="majorHAnsi" w:hAnsiTheme="majorHAnsi" w:cstheme="minorHAnsi"/>
          <w:sz w:val="24"/>
          <w:szCs w:val="24"/>
        </w:rPr>
        <w:t xml:space="preserve"> cu practicile profesionale acceptate și standardele de calitate, precum și respectarea de către avocat a condițiilor contractelor încheiate cu OT. În acest sens, a fost elaborat </w:t>
      </w:r>
      <w:r w:rsidRPr="00381DA2">
        <w:rPr>
          <w:rFonts w:asciiTheme="majorHAnsi" w:hAnsiTheme="majorHAnsi" w:cstheme="minorHAnsi"/>
          <w:sz w:val="24"/>
          <w:szCs w:val="24"/>
          <w:shd w:val="clear" w:color="auto" w:fill="FFFFFF"/>
        </w:rPr>
        <w:t xml:space="preserve">Regulamentul privind monitorizarea calității asistenței juridice </w:t>
      </w:r>
      <w:r w:rsidRPr="00381DA2">
        <w:rPr>
          <w:rFonts w:asciiTheme="majorHAnsi" w:hAnsiTheme="majorHAnsi" w:cstheme="minorHAnsi"/>
          <w:sz w:val="24"/>
          <w:szCs w:val="24"/>
          <w:shd w:val="clear" w:color="auto" w:fill="FFFFFF"/>
        </w:rPr>
        <w:lastRenderedPageBreak/>
        <w:t>calificate garantate de stat acordată de către avocați</w:t>
      </w:r>
      <w:r w:rsidRPr="00381DA2">
        <w:rPr>
          <w:rStyle w:val="FootnoteReference"/>
          <w:rFonts w:asciiTheme="majorHAnsi" w:hAnsiTheme="majorHAnsi" w:cstheme="minorHAnsi"/>
          <w:sz w:val="24"/>
          <w:szCs w:val="24"/>
          <w:shd w:val="clear" w:color="auto" w:fill="FFFFFF"/>
        </w:rPr>
        <w:footnoteReference w:id="77"/>
      </w:r>
      <w:r w:rsidR="006C1F93">
        <w:rPr>
          <w:rFonts w:asciiTheme="majorHAnsi" w:hAnsiTheme="majorHAnsi" w:cstheme="minorHAnsi"/>
          <w:sz w:val="24"/>
          <w:szCs w:val="24"/>
          <w:shd w:val="clear" w:color="auto" w:fill="FFFFFF"/>
        </w:rPr>
        <w:t>,</w:t>
      </w:r>
      <w:r w:rsidRPr="00381DA2">
        <w:rPr>
          <w:rFonts w:asciiTheme="majorHAnsi" w:hAnsiTheme="majorHAnsi" w:cstheme="minorHAnsi"/>
          <w:sz w:val="24"/>
          <w:szCs w:val="24"/>
          <w:shd w:val="clear" w:color="auto" w:fill="FFFFFF"/>
        </w:rPr>
        <w:t xml:space="preserve"> care prevede </w:t>
      </w:r>
      <w:r w:rsidR="00C70CF9">
        <w:rPr>
          <w:rFonts w:asciiTheme="majorHAnsi" w:hAnsiTheme="majorHAnsi" w:cstheme="minorHAnsi"/>
          <w:sz w:val="24"/>
          <w:szCs w:val="24"/>
          <w:shd w:val="clear" w:color="auto" w:fill="FFFFFF"/>
        </w:rPr>
        <w:t>aplicarea</w:t>
      </w:r>
      <w:r w:rsidR="006E484E">
        <w:rPr>
          <w:rFonts w:asciiTheme="majorHAnsi" w:hAnsiTheme="majorHAnsi" w:cstheme="minorHAnsi"/>
          <w:sz w:val="24"/>
          <w:szCs w:val="24"/>
          <w:shd w:val="clear" w:color="auto" w:fill="FFFFFF"/>
        </w:rPr>
        <w:t xml:space="preserve"> </w:t>
      </w:r>
      <w:r w:rsidRPr="00381DA2">
        <w:rPr>
          <w:rFonts w:asciiTheme="majorHAnsi" w:hAnsiTheme="majorHAnsi" w:cstheme="minorHAnsi"/>
          <w:sz w:val="24"/>
          <w:szCs w:val="24"/>
          <w:shd w:val="clear" w:color="auto" w:fill="FFFFFF"/>
        </w:rPr>
        <w:t>a două instrumente de evaluare, inclusiv:</w:t>
      </w:r>
    </w:p>
    <w:p w14:paraId="31C541C8" w14:textId="3C3F6206" w:rsidR="00E66EF6" w:rsidRPr="00381DA2" w:rsidRDefault="00E66EF6" w:rsidP="003A66EF">
      <w:pPr>
        <w:pStyle w:val="ListParagraph"/>
        <w:numPr>
          <w:ilvl w:val="0"/>
          <w:numId w:val="31"/>
        </w:numPr>
        <w:spacing w:after="160" w:line="276" w:lineRule="auto"/>
        <w:jc w:val="both"/>
        <w:rPr>
          <w:rFonts w:asciiTheme="majorHAnsi" w:hAnsiTheme="majorHAnsi" w:cstheme="minorHAnsi"/>
          <w:sz w:val="24"/>
          <w:szCs w:val="24"/>
          <w:shd w:val="clear" w:color="auto" w:fill="FFFFFF"/>
        </w:rPr>
      </w:pPr>
      <w:r w:rsidRPr="00381DA2">
        <w:rPr>
          <w:rFonts w:asciiTheme="majorHAnsi" w:hAnsiTheme="majorHAnsi" w:cstheme="minorHAnsi"/>
          <w:i/>
          <w:sz w:val="24"/>
          <w:szCs w:val="24"/>
          <w:shd w:val="clear" w:color="auto" w:fill="FFFFFF"/>
        </w:rPr>
        <w:t>monitorizarea internă</w:t>
      </w:r>
      <w:r w:rsidRPr="00381DA2">
        <w:rPr>
          <w:rStyle w:val="FootnoteReference"/>
          <w:rFonts w:asciiTheme="majorHAnsi" w:hAnsiTheme="majorHAnsi" w:cstheme="minorHAnsi"/>
          <w:i/>
          <w:sz w:val="24"/>
          <w:szCs w:val="24"/>
          <w:shd w:val="clear" w:color="auto" w:fill="FFFFFF"/>
        </w:rPr>
        <w:footnoteReference w:id="78"/>
      </w:r>
      <w:r w:rsidRPr="00381DA2">
        <w:rPr>
          <w:rFonts w:asciiTheme="majorHAnsi" w:hAnsiTheme="majorHAnsi" w:cstheme="minorHAnsi"/>
          <w:sz w:val="24"/>
          <w:szCs w:val="24"/>
          <w:shd w:val="clear" w:color="auto" w:fill="FFFFFF"/>
        </w:rPr>
        <w:t xml:space="preserve">, cu implicarea resurselor din cadrul sistemului de asistență juridică garantată de stat, care este organizată și efectuată de către coordonatorul OT și </w:t>
      </w:r>
      <w:r w:rsidR="006C1F93">
        <w:rPr>
          <w:rFonts w:asciiTheme="majorHAnsi" w:hAnsiTheme="majorHAnsi" w:cstheme="minorHAnsi"/>
          <w:sz w:val="24"/>
          <w:szCs w:val="24"/>
          <w:shd w:val="clear" w:color="auto" w:fill="FFFFFF"/>
        </w:rPr>
        <w:t xml:space="preserve">de </w:t>
      </w:r>
      <w:r w:rsidRPr="00381DA2">
        <w:rPr>
          <w:rFonts w:asciiTheme="majorHAnsi" w:hAnsiTheme="majorHAnsi" w:cstheme="minorHAnsi"/>
          <w:sz w:val="24"/>
          <w:szCs w:val="24"/>
          <w:shd w:val="clear" w:color="auto" w:fill="FFFFFF"/>
        </w:rPr>
        <w:t>alte persoane desemnate de către acesta, conform circumscripției de activitate și</w:t>
      </w:r>
    </w:p>
    <w:p w14:paraId="777970FE" w14:textId="1D844705" w:rsidR="00E66EF6" w:rsidRPr="00381DA2" w:rsidRDefault="00E66EF6" w:rsidP="003A66EF">
      <w:pPr>
        <w:pStyle w:val="ListParagraph"/>
        <w:numPr>
          <w:ilvl w:val="0"/>
          <w:numId w:val="31"/>
        </w:numPr>
        <w:spacing w:after="160" w:line="276" w:lineRule="auto"/>
        <w:jc w:val="both"/>
        <w:rPr>
          <w:rFonts w:asciiTheme="majorHAnsi" w:hAnsiTheme="majorHAnsi" w:cstheme="minorHAnsi"/>
          <w:sz w:val="24"/>
          <w:szCs w:val="24"/>
          <w:shd w:val="clear" w:color="auto" w:fill="FFFFFF"/>
        </w:rPr>
      </w:pPr>
      <w:r w:rsidRPr="00381DA2">
        <w:rPr>
          <w:rFonts w:asciiTheme="majorHAnsi" w:hAnsiTheme="majorHAnsi" w:cstheme="minorHAnsi"/>
          <w:i/>
          <w:sz w:val="24"/>
          <w:szCs w:val="24"/>
          <w:shd w:val="clear" w:color="auto" w:fill="FFFFFF"/>
        </w:rPr>
        <w:t>monitorizarea externă</w:t>
      </w:r>
      <w:r w:rsidRPr="00381DA2">
        <w:rPr>
          <w:rFonts w:asciiTheme="majorHAnsi" w:hAnsiTheme="majorHAnsi" w:cstheme="minorHAnsi"/>
          <w:sz w:val="24"/>
          <w:szCs w:val="24"/>
          <w:shd w:val="clear" w:color="auto" w:fill="FFFFFF"/>
        </w:rPr>
        <w:t>, cu implicarea unor resurse din afara sistemului de asistență juridică garantată de stat</w:t>
      </w:r>
      <w:r w:rsidRPr="00381DA2">
        <w:rPr>
          <w:rStyle w:val="FootnoteReference"/>
          <w:rFonts w:asciiTheme="majorHAnsi" w:hAnsiTheme="majorHAnsi" w:cstheme="minorHAnsi"/>
          <w:sz w:val="24"/>
          <w:szCs w:val="24"/>
          <w:shd w:val="clear" w:color="auto" w:fill="FFFFFF"/>
        </w:rPr>
        <w:footnoteReference w:id="79"/>
      </w:r>
      <w:r w:rsidRPr="00381DA2">
        <w:rPr>
          <w:rFonts w:asciiTheme="majorHAnsi" w:hAnsiTheme="majorHAnsi" w:cstheme="minorHAnsi"/>
          <w:sz w:val="24"/>
          <w:szCs w:val="24"/>
          <w:shd w:val="clear" w:color="auto" w:fill="FFFFFF"/>
        </w:rPr>
        <w:t>, care este organizată anual de către CNAJGS și efectuată de către Comisia de monitorizare externă, compusă din: un reprezentant al Aparatului administrativ al CNAJGS și șase avocați selectați prin concurs, dintre care trei avocați s</w:t>
      </w:r>
      <w:r w:rsidR="006C1F93">
        <w:rPr>
          <w:rFonts w:asciiTheme="majorHAnsi" w:hAnsiTheme="majorHAnsi" w:cstheme="minorHAnsi"/>
          <w:sz w:val="24"/>
          <w:szCs w:val="24"/>
          <w:shd w:val="clear" w:color="auto" w:fill="FFFFFF"/>
        </w:rPr>
        <w:t>u</w:t>
      </w:r>
      <w:r w:rsidRPr="00381DA2">
        <w:rPr>
          <w:rFonts w:asciiTheme="majorHAnsi" w:hAnsiTheme="majorHAnsi" w:cstheme="minorHAnsi"/>
          <w:sz w:val="24"/>
          <w:szCs w:val="24"/>
          <w:shd w:val="clear" w:color="auto" w:fill="FFFFFF"/>
        </w:rPr>
        <w:t>nt din afara sistemului AJGS.</w:t>
      </w:r>
    </w:p>
    <w:p w14:paraId="08F0AA3A" w14:textId="1233DA1D" w:rsidR="00E66EF6" w:rsidRPr="00381DA2" w:rsidRDefault="00E66EF6" w:rsidP="003A66EF">
      <w:pPr>
        <w:spacing w:after="0"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Pe parcursul perioadei auditate</w:t>
      </w:r>
      <w:r w:rsidR="006C1F93">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Consiliul Național a supus monitorizării interne asistența juridică</w:t>
      </w:r>
      <w:r w:rsidR="00C70CF9">
        <w:rPr>
          <w:rFonts w:asciiTheme="majorHAnsi" w:hAnsiTheme="majorHAnsi" w:cstheme="minorHAnsi"/>
          <w:color w:val="333333"/>
          <w:sz w:val="24"/>
          <w:szCs w:val="24"/>
          <w:shd w:val="clear" w:color="auto" w:fill="FFFFFF"/>
        </w:rPr>
        <w:t xml:space="preserve"> calificată acordată de</w:t>
      </w:r>
      <w:r w:rsidR="00042209" w:rsidRPr="00381DA2">
        <w:rPr>
          <w:rFonts w:asciiTheme="majorHAnsi" w:hAnsiTheme="majorHAnsi" w:cstheme="minorHAnsi"/>
          <w:color w:val="333333"/>
          <w:sz w:val="24"/>
          <w:szCs w:val="24"/>
          <w:shd w:val="clear" w:color="auto" w:fill="FFFFFF"/>
        </w:rPr>
        <w:t xml:space="preserve"> 295</w:t>
      </w:r>
      <w:r w:rsidRPr="00381DA2">
        <w:rPr>
          <w:rFonts w:asciiTheme="majorHAnsi" w:hAnsiTheme="majorHAnsi" w:cstheme="minorHAnsi"/>
          <w:color w:val="333333"/>
          <w:sz w:val="24"/>
          <w:szCs w:val="24"/>
          <w:shd w:val="clear" w:color="auto" w:fill="FFFFFF"/>
        </w:rPr>
        <w:t xml:space="preserve"> de avocați</w:t>
      </w:r>
      <w:r w:rsidRPr="00381DA2">
        <w:rPr>
          <w:rStyle w:val="FootnoteReference"/>
          <w:rFonts w:asciiTheme="majorHAnsi" w:hAnsiTheme="majorHAnsi" w:cstheme="minorHAnsi"/>
          <w:color w:val="333333"/>
          <w:sz w:val="24"/>
          <w:szCs w:val="24"/>
          <w:shd w:val="clear" w:color="auto" w:fill="FFFFFF"/>
        </w:rPr>
        <w:footnoteReference w:id="80"/>
      </w:r>
      <w:r w:rsidRPr="00381DA2">
        <w:rPr>
          <w:rFonts w:asciiTheme="majorHAnsi" w:hAnsiTheme="majorHAnsi" w:cstheme="minorHAnsi"/>
          <w:color w:val="333333"/>
          <w:sz w:val="24"/>
          <w:szCs w:val="24"/>
          <w:shd w:val="clear" w:color="auto" w:fill="FFFFFF"/>
        </w:rPr>
        <w:t>, dintre care:</w:t>
      </w:r>
    </w:p>
    <w:p w14:paraId="13BF208E" w14:textId="77777777" w:rsidR="00E66EF6" w:rsidRPr="00381DA2" w:rsidRDefault="00042209" w:rsidP="003A66EF">
      <w:pPr>
        <w:pStyle w:val="ListParagraph"/>
        <w:numPr>
          <w:ilvl w:val="0"/>
          <w:numId w:val="31"/>
        </w:numPr>
        <w:spacing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155</w:t>
      </w:r>
      <w:r w:rsidR="00E66EF6" w:rsidRPr="00381DA2">
        <w:rPr>
          <w:rFonts w:asciiTheme="majorHAnsi" w:hAnsiTheme="majorHAnsi" w:cstheme="minorHAnsi"/>
          <w:color w:val="333333"/>
          <w:sz w:val="24"/>
          <w:szCs w:val="24"/>
          <w:shd w:val="clear" w:color="auto" w:fill="FFFFFF"/>
        </w:rPr>
        <w:t xml:space="preserve"> de avocați au obținut calificativul „foarte bine”;</w:t>
      </w:r>
    </w:p>
    <w:p w14:paraId="2650A4E1" w14:textId="664C1A2A" w:rsidR="00E66EF6" w:rsidRPr="00381DA2" w:rsidRDefault="00042209" w:rsidP="003A66EF">
      <w:pPr>
        <w:pStyle w:val="ListParagraph"/>
        <w:numPr>
          <w:ilvl w:val="0"/>
          <w:numId w:val="31"/>
        </w:numPr>
        <w:spacing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132</w:t>
      </w:r>
      <w:r w:rsidR="00E66EF6" w:rsidRPr="00381DA2">
        <w:rPr>
          <w:rFonts w:asciiTheme="majorHAnsi" w:hAnsiTheme="majorHAnsi" w:cstheme="minorHAnsi"/>
          <w:color w:val="333333"/>
          <w:sz w:val="24"/>
          <w:szCs w:val="24"/>
          <w:shd w:val="clear" w:color="auto" w:fill="FFFFFF"/>
        </w:rPr>
        <w:t xml:space="preserve"> </w:t>
      </w:r>
      <w:r w:rsidR="006C1F93">
        <w:rPr>
          <w:rFonts w:asciiTheme="majorHAnsi" w:hAnsiTheme="majorHAnsi" w:cstheme="minorHAnsi"/>
          <w:color w:val="333333"/>
          <w:sz w:val="24"/>
          <w:szCs w:val="24"/>
          <w:shd w:val="clear" w:color="auto" w:fill="FFFFFF"/>
        </w:rPr>
        <w:t xml:space="preserve">de </w:t>
      </w:r>
      <w:r w:rsidR="00E66EF6" w:rsidRPr="00381DA2">
        <w:rPr>
          <w:rFonts w:asciiTheme="majorHAnsi" w:hAnsiTheme="majorHAnsi" w:cstheme="minorHAnsi"/>
          <w:color w:val="333333"/>
          <w:sz w:val="24"/>
          <w:szCs w:val="24"/>
          <w:shd w:val="clear" w:color="auto" w:fill="FFFFFF"/>
        </w:rPr>
        <w:t>avocați – calificativul „bine”;</w:t>
      </w:r>
    </w:p>
    <w:p w14:paraId="7ED2158A" w14:textId="77777777" w:rsidR="00E66EF6" w:rsidRPr="00381DA2" w:rsidRDefault="00042209" w:rsidP="003A66EF">
      <w:pPr>
        <w:pStyle w:val="ListParagraph"/>
        <w:numPr>
          <w:ilvl w:val="0"/>
          <w:numId w:val="31"/>
        </w:numPr>
        <w:spacing w:after="120" w:line="276" w:lineRule="auto"/>
        <w:contextualSpacing w:val="0"/>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8</w:t>
      </w:r>
      <w:r w:rsidR="00E66EF6" w:rsidRPr="00381DA2">
        <w:rPr>
          <w:rFonts w:asciiTheme="majorHAnsi" w:hAnsiTheme="majorHAnsi" w:cstheme="minorHAnsi"/>
          <w:color w:val="333333"/>
          <w:sz w:val="24"/>
          <w:szCs w:val="24"/>
          <w:shd w:val="clear" w:color="auto" w:fill="FFFFFF"/>
        </w:rPr>
        <w:t xml:space="preserve"> avocați – calificativul „insuficient”. </w:t>
      </w:r>
    </w:p>
    <w:p w14:paraId="5C914C1D" w14:textId="35B67FCE" w:rsidR="00E66EF6" w:rsidRPr="00381DA2" w:rsidRDefault="00E66EF6" w:rsidP="003A66EF">
      <w:pPr>
        <w:spacing w:after="0"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Verificările efectuate de audit asupra acestui proces relevă că</w:t>
      </w:r>
      <w:r w:rsidR="0084412A">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în perioada auditată, dacă monitorizarea internă este la o etapă inițială de implementare</w:t>
      </w:r>
      <w:r w:rsidR="006C1F93">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atunci procesul de monitorizare externă este unul nefuncțional. Una din cauzele care a condiționat deficiențe privind aplicarea acestui mecanism constituie tergiversarea expertizării și înregistrării de stat a cadrului normativ secundar. Astfel, deși în aceste scopuri, începând cu anul 2015, CNAJGS a înaintat</w:t>
      </w:r>
      <w:r w:rsidRPr="00381DA2">
        <w:rPr>
          <w:rStyle w:val="FootnoteReference"/>
          <w:rFonts w:asciiTheme="majorHAnsi" w:hAnsiTheme="majorHAnsi" w:cstheme="minorHAnsi"/>
          <w:color w:val="333333"/>
          <w:sz w:val="24"/>
          <w:szCs w:val="24"/>
          <w:shd w:val="clear" w:color="auto" w:fill="FFFFFF"/>
        </w:rPr>
        <w:footnoteReference w:id="81"/>
      </w:r>
      <w:r w:rsidRPr="00381DA2">
        <w:rPr>
          <w:rFonts w:asciiTheme="majorHAnsi" w:hAnsiTheme="majorHAnsi" w:cstheme="minorHAnsi"/>
          <w:color w:val="333333"/>
          <w:sz w:val="24"/>
          <w:szCs w:val="24"/>
          <w:shd w:val="clear" w:color="auto" w:fill="FFFFFF"/>
        </w:rPr>
        <w:t xml:space="preserve"> de mai multe ori în adresa MJ Regulamentul privind monitorizarea calității, procedura de expertizare și înregistrare de stat s-a efectuat doar la data de 12.05.2022. </w:t>
      </w:r>
    </w:p>
    <w:p w14:paraId="4D21CD79" w14:textId="501ADC14" w:rsidR="00E66EF6" w:rsidRPr="00381DA2" w:rsidRDefault="00E66EF6" w:rsidP="003A66EF">
      <w:pPr>
        <w:spacing w:after="120"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 xml:space="preserve">Un alt punct slab </w:t>
      </w:r>
      <w:r w:rsidR="00C70CF9">
        <w:rPr>
          <w:rFonts w:asciiTheme="majorHAnsi" w:hAnsiTheme="majorHAnsi" w:cstheme="minorHAnsi"/>
          <w:color w:val="333333"/>
          <w:sz w:val="24"/>
          <w:szCs w:val="24"/>
          <w:shd w:val="clear" w:color="auto" w:fill="FFFFFF"/>
        </w:rPr>
        <w:t>reprezintă</w:t>
      </w:r>
      <w:r w:rsidRPr="00381DA2">
        <w:rPr>
          <w:rFonts w:asciiTheme="majorHAnsi" w:hAnsiTheme="majorHAnsi" w:cstheme="minorHAnsi"/>
          <w:color w:val="333333"/>
          <w:sz w:val="24"/>
          <w:szCs w:val="24"/>
          <w:shd w:val="clear" w:color="auto" w:fill="FFFFFF"/>
        </w:rPr>
        <w:t xml:space="preserve"> insuficiența resurselor umane responsabil</w:t>
      </w:r>
      <w:r w:rsidR="00C70CF9">
        <w:rPr>
          <w:rFonts w:asciiTheme="majorHAnsi" w:hAnsiTheme="majorHAnsi" w:cstheme="minorHAnsi"/>
          <w:color w:val="333333"/>
          <w:sz w:val="24"/>
          <w:szCs w:val="24"/>
          <w:shd w:val="clear" w:color="auto" w:fill="FFFFFF"/>
        </w:rPr>
        <w:t>e</w:t>
      </w:r>
      <w:r w:rsidRPr="00381DA2">
        <w:rPr>
          <w:rFonts w:asciiTheme="majorHAnsi" w:hAnsiTheme="majorHAnsi" w:cstheme="minorHAnsi"/>
          <w:color w:val="333333"/>
          <w:sz w:val="24"/>
          <w:szCs w:val="24"/>
          <w:shd w:val="clear" w:color="auto" w:fill="FFFFFF"/>
        </w:rPr>
        <w:t xml:space="preserve"> de executarea propriu</w:t>
      </w:r>
      <w:r w:rsidR="0084412A">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zisă a evaluării, în deosebi în OT în a căror circumscripție activează un număr mare de prestatori de servicii de asistență juridică calificată. Auditul atestă că</w:t>
      </w:r>
      <w:r w:rsidR="0084412A">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în lipsa unor proceduri de control intern aprobate</w:t>
      </w:r>
      <w:r w:rsidR="00C70CF9">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precum și a personalului implica</w:t>
      </w:r>
      <w:r w:rsidR="00C70CF9">
        <w:rPr>
          <w:rFonts w:asciiTheme="majorHAnsi" w:hAnsiTheme="majorHAnsi" w:cstheme="minorHAnsi"/>
          <w:color w:val="333333"/>
          <w:sz w:val="24"/>
          <w:szCs w:val="24"/>
          <w:shd w:val="clear" w:color="auto" w:fill="FFFFFF"/>
        </w:rPr>
        <w:t>t</w:t>
      </w:r>
      <w:r w:rsidRPr="00381DA2">
        <w:rPr>
          <w:rFonts w:asciiTheme="majorHAnsi" w:hAnsiTheme="majorHAnsi" w:cstheme="minorHAnsi"/>
          <w:color w:val="333333"/>
          <w:sz w:val="24"/>
          <w:szCs w:val="24"/>
          <w:shd w:val="clear" w:color="auto" w:fill="FFFFFF"/>
        </w:rPr>
        <w:t xml:space="preserve"> în aceste activități, nu pot fi proiectate și obținute rezultatele scontate de către entități în cadrul efectuării evaluării activității avocaților. În contextul celor expuse</w:t>
      </w:r>
      <w:r w:rsidR="0084412A">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se menționează următoarele</w:t>
      </w:r>
      <w:r w:rsidR="0084412A">
        <w:rPr>
          <w:rFonts w:asciiTheme="majorHAnsi" w:hAnsiTheme="majorHAnsi" w:cstheme="minorHAnsi"/>
          <w:color w:val="333333"/>
          <w:sz w:val="24"/>
          <w:szCs w:val="24"/>
          <w:shd w:val="clear" w:color="auto" w:fill="FFFFFF"/>
        </w:rPr>
        <w:t>.</w:t>
      </w:r>
    </w:p>
    <w:p w14:paraId="24D48C1A" w14:textId="3179D704" w:rsidR="00E66EF6" w:rsidRPr="00381DA2" w:rsidRDefault="00E66EF6" w:rsidP="003A66EF">
      <w:pPr>
        <w:pStyle w:val="ListParagraph"/>
        <w:numPr>
          <w:ilvl w:val="0"/>
          <w:numId w:val="34"/>
        </w:numPr>
        <w:spacing w:after="80" w:line="276" w:lineRule="auto"/>
        <w:ind w:left="360"/>
        <w:contextualSpacing w:val="0"/>
        <w:jc w:val="both"/>
        <w:rPr>
          <w:rFonts w:asciiTheme="majorHAnsi" w:hAnsiTheme="majorHAnsi" w:cstheme="minorHAnsi"/>
          <w:i/>
          <w:color w:val="333333"/>
          <w:sz w:val="24"/>
          <w:szCs w:val="24"/>
          <w:shd w:val="clear" w:color="auto" w:fill="FFFFFF"/>
        </w:rPr>
      </w:pPr>
      <w:r w:rsidRPr="00381DA2">
        <w:rPr>
          <w:rFonts w:asciiTheme="majorHAnsi" w:hAnsiTheme="majorHAnsi" w:cstheme="minorHAnsi"/>
          <w:i/>
          <w:color w:val="333333"/>
          <w:sz w:val="24"/>
          <w:szCs w:val="24"/>
          <w:shd w:val="clear" w:color="auto" w:fill="FFFFFF"/>
        </w:rPr>
        <w:t>Cu privire la monitorizarea internă</w:t>
      </w:r>
    </w:p>
    <w:p w14:paraId="090F7F91" w14:textId="6C1527EE" w:rsidR="00E66EF6" w:rsidRPr="00381DA2" w:rsidRDefault="00E66EF6" w:rsidP="003A66EF">
      <w:pPr>
        <w:pStyle w:val="ListParagraph"/>
        <w:numPr>
          <w:ilvl w:val="1"/>
          <w:numId w:val="33"/>
        </w:numPr>
        <w:spacing w:after="80" w:line="276" w:lineRule="auto"/>
        <w:contextualSpacing w:val="0"/>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Potrivit pct. 13 din Regulamentul privind monitorizarea calității</w:t>
      </w:r>
      <w:r w:rsidR="0084412A">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s</w:t>
      </w:r>
      <w:r w:rsidR="0084412A">
        <w:rPr>
          <w:rFonts w:asciiTheme="majorHAnsi" w:hAnsiTheme="majorHAnsi" w:cstheme="minorHAnsi"/>
          <w:color w:val="333333"/>
          <w:sz w:val="24"/>
          <w:szCs w:val="24"/>
          <w:shd w:val="clear" w:color="auto" w:fill="FFFFFF"/>
        </w:rPr>
        <w:t>u</w:t>
      </w:r>
      <w:r w:rsidRPr="00381DA2">
        <w:rPr>
          <w:rFonts w:asciiTheme="majorHAnsi" w:hAnsiTheme="majorHAnsi" w:cstheme="minorHAnsi"/>
          <w:color w:val="333333"/>
          <w:sz w:val="24"/>
          <w:szCs w:val="24"/>
          <w:shd w:val="clear" w:color="auto" w:fill="FFFFFF"/>
        </w:rPr>
        <w:t>nt supuși monitorizării interne ordinare avocații admiși în sistemul de AJGS după 3 luni de activitate în sistem, dar nu mai târziu de 6 luni de la data semnării contractului cu Oficiul teritorial. Verificările de audit aferente anului 2021 relevă că</w:t>
      </w:r>
      <w:r w:rsidR="008C3F83">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din cei 69 </w:t>
      </w:r>
      <w:r w:rsidR="008C3F83">
        <w:rPr>
          <w:rFonts w:asciiTheme="majorHAnsi" w:hAnsiTheme="majorHAnsi" w:cstheme="minorHAnsi"/>
          <w:color w:val="333333"/>
          <w:sz w:val="24"/>
          <w:szCs w:val="24"/>
          <w:shd w:val="clear" w:color="auto" w:fill="FFFFFF"/>
        </w:rPr>
        <w:t xml:space="preserve">de </w:t>
      </w:r>
      <w:r w:rsidRPr="00381DA2">
        <w:rPr>
          <w:rFonts w:asciiTheme="majorHAnsi" w:hAnsiTheme="majorHAnsi" w:cstheme="minorHAnsi"/>
          <w:color w:val="333333"/>
          <w:sz w:val="24"/>
          <w:szCs w:val="24"/>
          <w:shd w:val="clear" w:color="auto" w:fill="FFFFFF"/>
        </w:rPr>
        <w:t>avocați admiși</w:t>
      </w:r>
      <w:r w:rsidRPr="00381DA2">
        <w:rPr>
          <w:rStyle w:val="FootnoteReference"/>
          <w:rFonts w:asciiTheme="majorHAnsi" w:hAnsiTheme="majorHAnsi" w:cstheme="minorHAnsi"/>
          <w:color w:val="333333"/>
          <w:sz w:val="24"/>
          <w:szCs w:val="24"/>
          <w:shd w:val="clear" w:color="auto" w:fill="FFFFFF"/>
        </w:rPr>
        <w:footnoteReference w:id="82"/>
      </w:r>
      <w:r w:rsidRPr="00381DA2">
        <w:rPr>
          <w:rFonts w:asciiTheme="majorHAnsi" w:hAnsiTheme="majorHAnsi" w:cstheme="minorHAnsi"/>
          <w:color w:val="333333"/>
          <w:sz w:val="24"/>
          <w:szCs w:val="24"/>
          <w:shd w:val="clear" w:color="auto" w:fill="FFFFFF"/>
        </w:rPr>
        <w:t xml:space="preserve"> în sistemul de AJGS</w:t>
      </w:r>
      <w:r w:rsidR="008C3F83">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au fost supuși evaluării ordinare fără a fi respectat termen</w:t>
      </w:r>
      <w:r w:rsidR="008C3F83">
        <w:rPr>
          <w:rFonts w:asciiTheme="majorHAnsi" w:hAnsiTheme="majorHAnsi" w:cstheme="minorHAnsi"/>
          <w:color w:val="333333"/>
          <w:sz w:val="24"/>
          <w:szCs w:val="24"/>
          <w:shd w:val="clear" w:color="auto" w:fill="FFFFFF"/>
        </w:rPr>
        <w:t>ul</w:t>
      </w:r>
      <w:r w:rsidRPr="00381DA2">
        <w:rPr>
          <w:rFonts w:asciiTheme="majorHAnsi" w:hAnsiTheme="majorHAnsi" w:cstheme="minorHAnsi"/>
          <w:color w:val="333333"/>
          <w:sz w:val="24"/>
          <w:szCs w:val="24"/>
          <w:shd w:val="clear" w:color="auto" w:fill="FFFFFF"/>
        </w:rPr>
        <w:t xml:space="preserve"> prestabili</w:t>
      </w:r>
      <w:r w:rsidR="008C3F83">
        <w:rPr>
          <w:rFonts w:asciiTheme="majorHAnsi" w:hAnsiTheme="majorHAnsi" w:cstheme="minorHAnsi"/>
          <w:color w:val="333333"/>
          <w:sz w:val="24"/>
          <w:szCs w:val="24"/>
          <w:shd w:val="clear" w:color="auto" w:fill="FFFFFF"/>
        </w:rPr>
        <w:t>t</w:t>
      </w:r>
      <w:r w:rsidRPr="00381DA2">
        <w:rPr>
          <w:rFonts w:asciiTheme="majorHAnsi" w:hAnsiTheme="majorHAnsi" w:cstheme="minorHAnsi"/>
          <w:color w:val="333333"/>
          <w:sz w:val="24"/>
          <w:szCs w:val="24"/>
          <w:shd w:val="clear" w:color="auto" w:fill="FFFFFF"/>
        </w:rPr>
        <w:t xml:space="preserve"> 32 </w:t>
      </w:r>
      <w:r w:rsidR="00C70CF9">
        <w:rPr>
          <w:rFonts w:asciiTheme="majorHAnsi" w:hAnsiTheme="majorHAnsi" w:cstheme="minorHAnsi"/>
          <w:color w:val="333333"/>
          <w:sz w:val="24"/>
          <w:szCs w:val="24"/>
          <w:shd w:val="clear" w:color="auto" w:fill="FFFFFF"/>
        </w:rPr>
        <w:t xml:space="preserve">de </w:t>
      </w:r>
      <w:r w:rsidRPr="00381DA2">
        <w:rPr>
          <w:rFonts w:asciiTheme="majorHAnsi" w:hAnsiTheme="majorHAnsi" w:cstheme="minorHAnsi"/>
          <w:color w:val="333333"/>
          <w:sz w:val="24"/>
          <w:szCs w:val="24"/>
          <w:shd w:val="clear" w:color="auto" w:fill="FFFFFF"/>
        </w:rPr>
        <w:t xml:space="preserve">avocați, în restul </w:t>
      </w:r>
      <w:r w:rsidRPr="00381DA2">
        <w:rPr>
          <w:rFonts w:asciiTheme="majorHAnsi" w:hAnsiTheme="majorHAnsi" w:cstheme="minorHAnsi"/>
          <w:color w:val="333333"/>
          <w:sz w:val="24"/>
          <w:szCs w:val="24"/>
          <w:shd w:val="clear" w:color="auto" w:fill="FFFFFF"/>
        </w:rPr>
        <w:lastRenderedPageBreak/>
        <w:t>cazurilor (37 de apărători</w:t>
      </w:r>
      <w:r w:rsidRPr="00381DA2">
        <w:rPr>
          <w:rStyle w:val="FootnoteReference"/>
          <w:rFonts w:asciiTheme="majorHAnsi" w:hAnsiTheme="majorHAnsi" w:cstheme="minorHAnsi"/>
          <w:color w:val="333333"/>
          <w:sz w:val="24"/>
          <w:szCs w:val="24"/>
          <w:shd w:val="clear" w:color="auto" w:fill="FFFFFF"/>
        </w:rPr>
        <w:footnoteReference w:id="83"/>
      </w:r>
      <w:r w:rsidRPr="00381DA2">
        <w:rPr>
          <w:rFonts w:asciiTheme="majorHAnsi" w:hAnsiTheme="majorHAnsi" w:cstheme="minorHAnsi"/>
          <w:color w:val="333333"/>
          <w:sz w:val="24"/>
          <w:szCs w:val="24"/>
          <w:shd w:val="clear" w:color="auto" w:fill="FFFFFF"/>
        </w:rPr>
        <w:t xml:space="preserve">), responsabilii nu au efectuat procedura propriu-zisă de monitorizare internă a evaluării serviciilor juridice prestate de către aceștia.  </w:t>
      </w:r>
    </w:p>
    <w:p w14:paraId="329D810B" w14:textId="2EFAFFAF" w:rsidR="00E66EF6" w:rsidRPr="00381DA2" w:rsidRDefault="00E66EF6" w:rsidP="003A66EF">
      <w:pPr>
        <w:pStyle w:val="ListParagraph"/>
        <w:numPr>
          <w:ilvl w:val="1"/>
          <w:numId w:val="33"/>
        </w:numPr>
        <w:spacing w:after="80" w:line="276" w:lineRule="auto"/>
        <w:contextualSpacing w:val="0"/>
        <w:jc w:val="both"/>
        <w:rPr>
          <w:rFonts w:asciiTheme="majorHAnsi" w:hAnsiTheme="majorHAnsi" w:cstheme="minorHAnsi"/>
          <w:color w:val="333333"/>
          <w:sz w:val="24"/>
          <w:szCs w:val="24"/>
          <w:shd w:val="clear" w:color="auto" w:fill="FFFFFF"/>
          <w:lang w:val="ro-MD"/>
        </w:rPr>
      </w:pPr>
      <w:r w:rsidRPr="00381DA2">
        <w:rPr>
          <w:rFonts w:asciiTheme="majorHAnsi" w:hAnsiTheme="majorHAnsi" w:cstheme="minorHAnsi"/>
          <w:color w:val="333333"/>
          <w:sz w:val="24"/>
          <w:szCs w:val="24"/>
          <w:shd w:val="clear" w:color="auto" w:fill="FFFFFF"/>
        </w:rPr>
        <w:t>O altă speță a Regulamentului de monitorizare prevede că</w:t>
      </w:r>
      <w:r w:rsidR="008C3F83">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w:t>
      </w:r>
      <w:r w:rsidRPr="00381DA2">
        <w:rPr>
          <w:rFonts w:asciiTheme="majorHAnsi" w:hAnsiTheme="majorHAnsi" w:cstheme="minorHAnsi"/>
          <w:color w:val="333333"/>
          <w:sz w:val="24"/>
          <w:szCs w:val="24"/>
          <w:shd w:val="clear" w:color="auto" w:fill="FFFFFF"/>
          <w:lang w:val="ro-MD"/>
        </w:rPr>
        <w:t xml:space="preserve">în situația atribuirii calificativului </w:t>
      </w:r>
      <w:r w:rsidR="008C3F83">
        <w:rPr>
          <w:rFonts w:asciiTheme="majorHAnsi" w:hAnsiTheme="majorHAnsi" w:cstheme="minorHAnsi"/>
          <w:color w:val="333333"/>
          <w:sz w:val="24"/>
          <w:szCs w:val="24"/>
          <w:shd w:val="clear" w:color="auto" w:fill="FFFFFF"/>
          <w:lang w:val="ro-MD"/>
        </w:rPr>
        <w:t>„</w:t>
      </w:r>
      <w:r w:rsidRPr="00381DA2">
        <w:rPr>
          <w:rFonts w:asciiTheme="majorHAnsi" w:hAnsiTheme="majorHAnsi" w:cstheme="minorHAnsi"/>
          <w:color w:val="333333"/>
          <w:sz w:val="24"/>
          <w:szCs w:val="24"/>
          <w:shd w:val="clear" w:color="auto" w:fill="FFFFFF"/>
          <w:lang w:val="ro-MD"/>
        </w:rPr>
        <w:t>insuficient” în cadrul monitorizării interne a calității AJGS</w:t>
      </w:r>
      <w:r w:rsidR="00C70CF9">
        <w:rPr>
          <w:rFonts w:asciiTheme="majorHAnsi" w:hAnsiTheme="majorHAnsi" w:cstheme="minorHAnsi"/>
          <w:color w:val="333333"/>
          <w:sz w:val="24"/>
          <w:szCs w:val="24"/>
          <w:shd w:val="clear" w:color="auto" w:fill="FFFFFF"/>
          <w:lang w:val="ro-MD"/>
        </w:rPr>
        <w:t xml:space="preserve"> acordate</w:t>
      </w:r>
      <w:r w:rsidRPr="00381DA2">
        <w:rPr>
          <w:rFonts w:asciiTheme="majorHAnsi" w:hAnsiTheme="majorHAnsi" w:cstheme="minorHAnsi"/>
          <w:color w:val="333333"/>
          <w:sz w:val="24"/>
          <w:szCs w:val="24"/>
          <w:shd w:val="clear" w:color="auto" w:fill="FFFFFF"/>
          <w:lang w:val="ro-MD"/>
        </w:rPr>
        <w:t>, evaluarea repetată se va desfășura în termen de cel mult 3 luni de la data atribuirii calificativului sau prezentării raportului de către avocat</w:t>
      </w:r>
      <w:r w:rsidR="003A0F18" w:rsidRPr="00381DA2">
        <w:rPr>
          <w:rStyle w:val="FootnoteReference"/>
          <w:rFonts w:asciiTheme="majorHAnsi" w:hAnsiTheme="majorHAnsi" w:cstheme="minorHAnsi"/>
          <w:color w:val="333333"/>
          <w:sz w:val="24"/>
          <w:szCs w:val="24"/>
          <w:shd w:val="clear" w:color="auto" w:fill="FFFFFF"/>
          <w:lang w:val="ro-MD"/>
        </w:rPr>
        <w:footnoteReference w:id="84"/>
      </w:r>
      <w:r w:rsidRPr="00381DA2">
        <w:rPr>
          <w:rFonts w:asciiTheme="majorHAnsi" w:hAnsiTheme="majorHAnsi" w:cstheme="minorHAnsi"/>
          <w:color w:val="333333"/>
          <w:sz w:val="24"/>
          <w:szCs w:val="24"/>
          <w:shd w:val="clear" w:color="auto" w:fill="FFFFFF"/>
          <w:lang w:val="ro-MD"/>
        </w:rPr>
        <w:t>. Potrivit datelor menționate supra, deși în perioada auditată în 8 cazuri activitatea prestată de avocați a fost evaluată ca deficitară, în 75%</w:t>
      </w:r>
      <w:r w:rsidR="00042209" w:rsidRPr="00381DA2">
        <w:rPr>
          <w:rFonts w:asciiTheme="majorHAnsi" w:hAnsiTheme="majorHAnsi" w:cstheme="minorHAnsi"/>
          <w:color w:val="333333"/>
          <w:sz w:val="24"/>
          <w:szCs w:val="24"/>
          <w:shd w:val="clear" w:color="auto" w:fill="FFFFFF"/>
          <w:lang w:val="ro-MD"/>
        </w:rPr>
        <w:t xml:space="preserve"> </w:t>
      </w:r>
      <w:r w:rsidR="00B07C91" w:rsidRPr="00381DA2">
        <w:rPr>
          <w:rFonts w:asciiTheme="majorHAnsi" w:hAnsiTheme="majorHAnsi" w:cstheme="minorHAnsi"/>
          <w:color w:val="333333"/>
          <w:sz w:val="24"/>
          <w:szCs w:val="24"/>
          <w:shd w:val="clear" w:color="auto" w:fill="FFFFFF"/>
          <w:lang w:val="ro-MD"/>
        </w:rPr>
        <w:t>(6 avocați)</w:t>
      </w:r>
      <w:r w:rsidRPr="00381DA2">
        <w:rPr>
          <w:rFonts w:asciiTheme="majorHAnsi" w:hAnsiTheme="majorHAnsi" w:cstheme="minorHAnsi"/>
          <w:color w:val="333333"/>
          <w:sz w:val="24"/>
          <w:szCs w:val="24"/>
          <w:shd w:val="clear" w:color="auto" w:fill="FFFFFF"/>
          <w:lang w:val="ro-MD"/>
        </w:rPr>
        <w:t xml:space="preserve">, similar constatării expuse mai sus, nu a </w:t>
      </w:r>
      <w:r w:rsidR="008C3F83">
        <w:rPr>
          <w:rFonts w:asciiTheme="majorHAnsi" w:hAnsiTheme="majorHAnsi" w:cstheme="minorHAnsi"/>
          <w:color w:val="333333"/>
          <w:sz w:val="24"/>
          <w:szCs w:val="24"/>
          <w:shd w:val="clear" w:color="auto" w:fill="FFFFFF"/>
          <w:lang w:val="ro-MD"/>
        </w:rPr>
        <w:t xml:space="preserve">fost </w:t>
      </w:r>
      <w:r w:rsidRPr="00381DA2">
        <w:rPr>
          <w:rFonts w:asciiTheme="majorHAnsi" w:hAnsiTheme="majorHAnsi" w:cstheme="minorHAnsi"/>
          <w:color w:val="333333"/>
          <w:sz w:val="24"/>
          <w:szCs w:val="24"/>
          <w:shd w:val="clear" w:color="auto" w:fill="FFFFFF"/>
          <w:lang w:val="ro-MD"/>
        </w:rPr>
        <w:t>respectat termenul prestabilit. În alte 2 cazuri</w:t>
      </w:r>
      <w:r w:rsidR="008C3F83">
        <w:rPr>
          <w:rFonts w:asciiTheme="majorHAnsi" w:hAnsiTheme="majorHAnsi" w:cstheme="minorHAnsi"/>
          <w:color w:val="333333"/>
          <w:sz w:val="24"/>
          <w:szCs w:val="24"/>
          <w:shd w:val="clear" w:color="auto" w:fill="FFFFFF"/>
          <w:lang w:val="ro-MD"/>
        </w:rPr>
        <w:t>,</w:t>
      </w:r>
      <w:r w:rsidRPr="00381DA2">
        <w:rPr>
          <w:rFonts w:asciiTheme="majorHAnsi" w:hAnsiTheme="majorHAnsi" w:cstheme="minorHAnsi"/>
          <w:color w:val="333333"/>
          <w:sz w:val="24"/>
          <w:szCs w:val="24"/>
          <w:shd w:val="clear" w:color="auto" w:fill="FFFFFF"/>
          <w:lang w:val="ro-MD"/>
        </w:rPr>
        <w:t xml:space="preserve"> contractele au fost reziliate în mod unilateral de către avocați.</w:t>
      </w:r>
    </w:p>
    <w:p w14:paraId="5F6C52A5" w14:textId="463E0842" w:rsidR="00E66EF6" w:rsidRPr="00381DA2" w:rsidRDefault="00E66EF6" w:rsidP="003A66EF">
      <w:pPr>
        <w:spacing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Observațiile de audit aferent</w:t>
      </w:r>
      <w:r w:rsidR="00894964">
        <w:rPr>
          <w:rFonts w:asciiTheme="majorHAnsi" w:hAnsiTheme="majorHAnsi" w:cstheme="minorHAnsi"/>
          <w:color w:val="333333"/>
          <w:sz w:val="24"/>
          <w:szCs w:val="24"/>
          <w:shd w:val="clear" w:color="auto" w:fill="FFFFFF"/>
        </w:rPr>
        <w:t>e</w:t>
      </w:r>
      <w:r w:rsidRPr="00381DA2">
        <w:rPr>
          <w:rFonts w:asciiTheme="majorHAnsi" w:hAnsiTheme="majorHAnsi" w:cstheme="minorHAnsi"/>
          <w:color w:val="333333"/>
          <w:sz w:val="24"/>
          <w:szCs w:val="24"/>
          <w:shd w:val="clear" w:color="auto" w:fill="FFFFFF"/>
        </w:rPr>
        <w:t xml:space="preserve"> constatărilor expuse supra evidențiază o discrepanță substanțială între numărul de monitorizări efectuate raportat la numărul de avocați din raza de circumscripție a celor 4 Oficii Teritorial</w:t>
      </w:r>
      <w:r w:rsidR="00AC219F" w:rsidRPr="00381DA2">
        <w:rPr>
          <w:rFonts w:asciiTheme="majorHAnsi" w:hAnsiTheme="majorHAnsi" w:cstheme="minorHAnsi"/>
          <w:color w:val="333333"/>
          <w:sz w:val="24"/>
          <w:szCs w:val="24"/>
          <w:shd w:val="clear" w:color="auto" w:fill="FFFFFF"/>
        </w:rPr>
        <w:t xml:space="preserve">e în care </w:t>
      </w:r>
      <w:r w:rsidR="00856765" w:rsidRPr="00381DA2">
        <w:rPr>
          <w:rFonts w:asciiTheme="majorHAnsi" w:hAnsiTheme="majorHAnsi" w:cstheme="minorHAnsi"/>
          <w:color w:val="333333"/>
          <w:sz w:val="24"/>
          <w:szCs w:val="24"/>
          <w:shd w:val="clear" w:color="auto" w:fill="FFFFFF"/>
        </w:rPr>
        <w:t>s</w:t>
      </w:r>
      <w:r w:rsidR="008C3F83">
        <w:rPr>
          <w:rFonts w:asciiTheme="majorHAnsi" w:hAnsiTheme="majorHAnsi" w:cstheme="minorHAnsi"/>
          <w:color w:val="333333"/>
          <w:sz w:val="24"/>
          <w:szCs w:val="24"/>
          <w:shd w:val="clear" w:color="auto" w:fill="FFFFFF"/>
        </w:rPr>
        <w:t>u</w:t>
      </w:r>
      <w:r w:rsidR="00856765" w:rsidRPr="00381DA2">
        <w:rPr>
          <w:rFonts w:asciiTheme="majorHAnsi" w:hAnsiTheme="majorHAnsi" w:cstheme="minorHAnsi"/>
          <w:color w:val="333333"/>
          <w:sz w:val="24"/>
          <w:szCs w:val="24"/>
          <w:shd w:val="clear" w:color="auto" w:fill="FFFFFF"/>
        </w:rPr>
        <w:t>nt</w:t>
      </w:r>
      <w:r w:rsidR="00AC219F" w:rsidRPr="00381DA2">
        <w:rPr>
          <w:rFonts w:asciiTheme="majorHAnsi" w:hAnsiTheme="majorHAnsi" w:cstheme="minorHAnsi"/>
          <w:color w:val="333333"/>
          <w:sz w:val="24"/>
          <w:szCs w:val="24"/>
          <w:shd w:val="clear" w:color="auto" w:fill="FFFFFF"/>
        </w:rPr>
        <w:t xml:space="preserve"> implicați </w:t>
      </w:r>
      <w:r w:rsidR="00856765" w:rsidRPr="00381DA2">
        <w:rPr>
          <w:rFonts w:asciiTheme="majorHAnsi" w:hAnsiTheme="majorHAnsi" w:cstheme="minorHAnsi"/>
          <w:color w:val="333333"/>
          <w:sz w:val="24"/>
          <w:szCs w:val="24"/>
          <w:shd w:val="clear" w:color="auto" w:fill="FFFFFF"/>
        </w:rPr>
        <w:t>câte</w:t>
      </w:r>
      <w:r w:rsidR="00AC219F" w:rsidRPr="00381DA2">
        <w:rPr>
          <w:rFonts w:asciiTheme="majorHAnsi" w:hAnsiTheme="majorHAnsi" w:cstheme="minorHAnsi"/>
          <w:color w:val="333333"/>
          <w:sz w:val="24"/>
          <w:szCs w:val="24"/>
          <w:shd w:val="clear" w:color="auto" w:fill="FFFFFF"/>
        </w:rPr>
        <w:t xml:space="preserve"> un</w:t>
      </w:r>
      <w:r w:rsidRPr="00381DA2">
        <w:rPr>
          <w:rFonts w:asciiTheme="majorHAnsi" w:hAnsiTheme="majorHAnsi" w:cstheme="minorHAnsi"/>
          <w:color w:val="333333"/>
          <w:sz w:val="24"/>
          <w:szCs w:val="24"/>
          <w:shd w:val="clear" w:color="auto" w:fill="FFFFFF"/>
        </w:rPr>
        <w:t xml:space="preserve"> angajat</w:t>
      </w:r>
      <w:r w:rsidR="00894964">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care la </w:t>
      </w:r>
      <w:r w:rsidR="00AC219F" w:rsidRPr="00381DA2">
        <w:rPr>
          <w:rFonts w:asciiTheme="majorHAnsi" w:hAnsiTheme="majorHAnsi" w:cstheme="minorHAnsi"/>
          <w:color w:val="333333"/>
          <w:sz w:val="24"/>
          <w:szCs w:val="24"/>
          <w:shd w:val="clear" w:color="auto" w:fill="FFFFFF"/>
        </w:rPr>
        <w:t>rândul</w:t>
      </w:r>
      <w:r w:rsidRPr="00381DA2">
        <w:rPr>
          <w:rFonts w:asciiTheme="majorHAnsi" w:hAnsiTheme="majorHAnsi" w:cstheme="minorHAnsi"/>
          <w:color w:val="333333"/>
          <w:sz w:val="24"/>
          <w:szCs w:val="24"/>
          <w:shd w:val="clear" w:color="auto" w:fill="FFFFFF"/>
        </w:rPr>
        <w:t xml:space="preserve"> </w:t>
      </w:r>
      <w:r w:rsidR="00BD1BC8">
        <w:rPr>
          <w:rFonts w:asciiTheme="majorHAnsi" w:hAnsiTheme="majorHAnsi" w:cstheme="minorHAnsi"/>
          <w:color w:val="333333"/>
          <w:sz w:val="24"/>
          <w:szCs w:val="24"/>
          <w:shd w:val="clear" w:color="auto" w:fill="FFFFFF"/>
        </w:rPr>
        <w:t>lor</w:t>
      </w:r>
      <w:r w:rsidRPr="00381DA2">
        <w:rPr>
          <w:rFonts w:asciiTheme="majorHAnsi" w:hAnsiTheme="majorHAnsi" w:cstheme="minorHAnsi"/>
          <w:color w:val="333333"/>
          <w:sz w:val="24"/>
          <w:szCs w:val="24"/>
          <w:shd w:val="clear" w:color="auto" w:fill="FFFFFF"/>
        </w:rPr>
        <w:t xml:space="preserve"> exercită și alte atribuții. Astfel,</w:t>
      </w:r>
      <w:r w:rsidR="00AC219F" w:rsidRPr="00381DA2">
        <w:rPr>
          <w:rFonts w:asciiTheme="majorHAnsi" w:hAnsiTheme="majorHAnsi" w:cstheme="minorHAnsi"/>
          <w:color w:val="333333"/>
          <w:sz w:val="24"/>
          <w:szCs w:val="24"/>
          <w:shd w:val="clear" w:color="auto" w:fill="FFFFFF"/>
        </w:rPr>
        <w:t xml:space="preserve"> în anul 2021,</w:t>
      </w:r>
      <w:r w:rsidRPr="00381DA2">
        <w:rPr>
          <w:rFonts w:asciiTheme="majorHAnsi" w:hAnsiTheme="majorHAnsi" w:cstheme="minorHAnsi"/>
          <w:color w:val="333333"/>
          <w:sz w:val="24"/>
          <w:szCs w:val="24"/>
          <w:shd w:val="clear" w:color="auto" w:fill="FFFFFF"/>
        </w:rPr>
        <w:t xml:space="preserve"> OT Chișinău a avut </w:t>
      </w:r>
      <w:r w:rsidR="00894964">
        <w:rPr>
          <w:rFonts w:asciiTheme="majorHAnsi" w:hAnsiTheme="majorHAnsi" w:cstheme="minorHAnsi"/>
          <w:color w:val="333333"/>
          <w:sz w:val="24"/>
          <w:szCs w:val="24"/>
          <w:shd w:val="clear" w:color="auto" w:fill="FFFFFF"/>
        </w:rPr>
        <w:t xml:space="preserve">o </w:t>
      </w:r>
      <w:r w:rsidRPr="00381DA2">
        <w:rPr>
          <w:rFonts w:asciiTheme="majorHAnsi" w:hAnsiTheme="majorHAnsi" w:cstheme="minorHAnsi"/>
          <w:color w:val="333333"/>
          <w:sz w:val="24"/>
          <w:szCs w:val="24"/>
          <w:shd w:val="clear" w:color="auto" w:fill="FFFFFF"/>
        </w:rPr>
        <w:t>rată de monitorizare de doar circ</w:t>
      </w:r>
      <w:r w:rsidR="00AC219F" w:rsidRPr="00381DA2">
        <w:rPr>
          <w:rFonts w:asciiTheme="majorHAnsi" w:hAnsiTheme="majorHAnsi" w:cstheme="minorHAnsi"/>
          <w:color w:val="333333"/>
          <w:sz w:val="24"/>
          <w:szCs w:val="24"/>
          <w:shd w:val="clear" w:color="auto" w:fill="FFFFFF"/>
        </w:rPr>
        <w:t>a 11</w:t>
      </w:r>
      <w:r w:rsidRPr="00381DA2">
        <w:rPr>
          <w:rFonts w:asciiTheme="majorHAnsi" w:hAnsiTheme="majorHAnsi" w:cstheme="minorHAnsi"/>
          <w:color w:val="333333"/>
          <w:sz w:val="24"/>
          <w:szCs w:val="24"/>
          <w:shd w:val="clear" w:color="auto" w:fill="FFFFFF"/>
        </w:rPr>
        <w:t>% din totalul de avocați, pe când celelalte oficii au înregistrat o rată de până la 8</w:t>
      </w:r>
      <w:r w:rsidR="00AC219F" w:rsidRPr="00381DA2">
        <w:rPr>
          <w:rFonts w:asciiTheme="majorHAnsi" w:hAnsiTheme="majorHAnsi" w:cstheme="minorHAnsi"/>
          <w:color w:val="333333"/>
          <w:sz w:val="24"/>
          <w:szCs w:val="24"/>
          <w:shd w:val="clear" w:color="auto" w:fill="FFFFFF"/>
        </w:rPr>
        <w:t>1</w:t>
      </w:r>
      <w:r w:rsidRPr="00381DA2">
        <w:rPr>
          <w:rFonts w:asciiTheme="majorHAnsi" w:hAnsiTheme="majorHAnsi" w:cstheme="minorHAnsi"/>
          <w:color w:val="333333"/>
          <w:sz w:val="24"/>
          <w:szCs w:val="24"/>
          <w:shd w:val="clear" w:color="auto" w:fill="FFFFFF"/>
        </w:rPr>
        <w:t>%. Cele menționate derivă și din faptul că în jurisdicția OT Chișinău, la finele anului 2022, numărul de prestatori de servicii juridice a fost de 358</w:t>
      </w:r>
      <w:r w:rsidR="00BD1BC8">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comparativ cu cel din alte OT, și anume: OT Bălți – 115 avocați, OT Cahul </w:t>
      </w:r>
      <w:r w:rsidR="00BD1BC8">
        <w:rPr>
          <w:rFonts w:asciiTheme="majorHAnsi" w:hAnsiTheme="majorHAnsi" w:cstheme="minorHAnsi"/>
          <w:color w:val="333333"/>
          <w:sz w:val="24"/>
          <w:szCs w:val="24"/>
          <w:shd w:val="clear" w:color="auto" w:fill="FFFFFF"/>
        </w:rPr>
        <w:t>–</w:t>
      </w:r>
      <w:r w:rsidR="00894964">
        <w:rPr>
          <w:rFonts w:asciiTheme="majorHAnsi" w:hAnsiTheme="majorHAnsi" w:cstheme="minorHAnsi"/>
          <w:color w:val="333333"/>
          <w:sz w:val="24"/>
          <w:szCs w:val="24"/>
          <w:shd w:val="clear" w:color="auto" w:fill="FFFFFF"/>
        </w:rPr>
        <w:t xml:space="preserve"> </w:t>
      </w:r>
      <w:r w:rsidRPr="00381DA2">
        <w:rPr>
          <w:rFonts w:asciiTheme="majorHAnsi" w:hAnsiTheme="majorHAnsi" w:cstheme="minorHAnsi"/>
          <w:color w:val="333333"/>
          <w:sz w:val="24"/>
          <w:szCs w:val="24"/>
          <w:shd w:val="clear" w:color="auto" w:fill="FFFFFF"/>
        </w:rPr>
        <w:t>32</w:t>
      </w:r>
      <w:r w:rsidR="00BD1BC8">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și OT Comrat</w:t>
      </w:r>
      <w:r w:rsidR="00894964">
        <w:rPr>
          <w:rFonts w:asciiTheme="majorHAnsi" w:hAnsiTheme="majorHAnsi" w:cstheme="minorHAnsi"/>
          <w:color w:val="333333"/>
          <w:sz w:val="24"/>
          <w:szCs w:val="24"/>
          <w:shd w:val="clear" w:color="auto" w:fill="FFFFFF"/>
        </w:rPr>
        <w:t xml:space="preserve"> </w:t>
      </w:r>
      <w:r w:rsidR="00BD1BC8">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21 de avocați. </w:t>
      </w:r>
    </w:p>
    <w:p w14:paraId="59AB6100" w14:textId="77777777" w:rsidR="00E66EF6" w:rsidRPr="00381DA2" w:rsidRDefault="00E66EF6" w:rsidP="003A66EF">
      <w:pPr>
        <w:pStyle w:val="ListParagraph"/>
        <w:numPr>
          <w:ilvl w:val="1"/>
          <w:numId w:val="33"/>
        </w:numPr>
        <w:spacing w:after="120" w:line="276" w:lineRule="auto"/>
        <w:contextualSpacing w:val="0"/>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 xml:space="preserve">În cadrul evaluărilor se atestă practici neuniforme privind aprobarea de către coordonatorii oficiilor teritoriale a graficelor de monitorizare  </w:t>
      </w:r>
      <w:r w:rsidRPr="00381DA2">
        <w:rPr>
          <w:rFonts w:asciiTheme="majorHAnsi" w:hAnsiTheme="majorHAnsi" w:cstheme="minorHAnsi"/>
          <w:color w:val="000000"/>
          <w:sz w:val="24"/>
          <w:szCs w:val="24"/>
        </w:rPr>
        <w:t>internă a calității asistenței juridice calificate garantate de stat</w:t>
      </w:r>
      <w:r w:rsidRPr="00381DA2">
        <w:rPr>
          <w:rStyle w:val="FootnoteReference"/>
          <w:rFonts w:asciiTheme="majorHAnsi" w:hAnsiTheme="majorHAnsi" w:cstheme="minorHAnsi"/>
          <w:color w:val="000000"/>
          <w:sz w:val="24"/>
          <w:szCs w:val="24"/>
        </w:rPr>
        <w:footnoteReference w:id="85"/>
      </w:r>
      <w:r w:rsidRPr="00381DA2">
        <w:rPr>
          <w:rFonts w:asciiTheme="majorHAnsi" w:hAnsiTheme="majorHAnsi" w:cstheme="minorHAnsi"/>
          <w:color w:val="000000"/>
          <w:sz w:val="24"/>
          <w:szCs w:val="24"/>
        </w:rPr>
        <w:t>. Astfel, dacă OT Chișinău și OT Cahul aprobă grafice anuale</w:t>
      </w:r>
      <w:r w:rsidR="00894964">
        <w:rPr>
          <w:rFonts w:asciiTheme="majorHAnsi" w:hAnsiTheme="majorHAnsi" w:cstheme="minorHAnsi"/>
          <w:color w:val="000000"/>
          <w:sz w:val="24"/>
          <w:szCs w:val="24"/>
        </w:rPr>
        <w:t>,</w:t>
      </w:r>
      <w:r w:rsidRPr="00381DA2">
        <w:rPr>
          <w:rFonts w:asciiTheme="majorHAnsi" w:hAnsiTheme="majorHAnsi" w:cstheme="minorHAnsi"/>
          <w:color w:val="000000"/>
          <w:sz w:val="24"/>
          <w:szCs w:val="24"/>
        </w:rPr>
        <w:t xml:space="preserve"> atun</w:t>
      </w:r>
      <w:r w:rsidR="00894964">
        <w:rPr>
          <w:rFonts w:asciiTheme="majorHAnsi" w:hAnsiTheme="majorHAnsi" w:cstheme="minorHAnsi"/>
          <w:color w:val="000000"/>
          <w:sz w:val="24"/>
          <w:szCs w:val="24"/>
        </w:rPr>
        <w:t>ci OT Bălți și OT Comrat dispun</w:t>
      </w:r>
      <w:r w:rsidRPr="00381DA2">
        <w:rPr>
          <w:rFonts w:asciiTheme="majorHAnsi" w:hAnsiTheme="majorHAnsi" w:cstheme="minorHAnsi"/>
          <w:color w:val="000000"/>
          <w:sz w:val="24"/>
          <w:szCs w:val="24"/>
        </w:rPr>
        <w:t xml:space="preserve"> de act</w:t>
      </w:r>
      <w:r w:rsidR="00894964">
        <w:rPr>
          <w:rFonts w:asciiTheme="majorHAnsi" w:hAnsiTheme="majorHAnsi" w:cstheme="minorHAnsi"/>
          <w:color w:val="000000"/>
          <w:sz w:val="24"/>
          <w:szCs w:val="24"/>
        </w:rPr>
        <w:t>e</w:t>
      </w:r>
      <w:r w:rsidRPr="00381DA2">
        <w:rPr>
          <w:rFonts w:asciiTheme="majorHAnsi" w:hAnsiTheme="majorHAnsi" w:cstheme="minorHAnsi"/>
          <w:color w:val="000000"/>
          <w:sz w:val="24"/>
          <w:szCs w:val="24"/>
        </w:rPr>
        <w:t xml:space="preserve"> aprobat</w:t>
      </w:r>
      <w:r w:rsidR="00894964">
        <w:rPr>
          <w:rFonts w:asciiTheme="majorHAnsi" w:hAnsiTheme="majorHAnsi" w:cstheme="minorHAnsi"/>
          <w:color w:val="000000"/>
          <w:sz w:val="24"/>
          <w:szCs w:val="24"/>
        </w:rPr>
        <w:t>e</w:t>
      </w:r>
      <w:r w:rsidRPr="00381DA2">
        <w:rPr>
          <w:rFonts w:asciiTheme="majorHAnsi" w:hAnsiTheme="majorHAnsi" w:cstheme="minorHAnsi"/>
          <w:color w:val="000000"/>
          <w:sz w:val="24"/>
          <w:szCs w:val="24"/>
        </w:rPr>
        <w:t xml:space="preserve"> trimestrial. O cauză de bază reprezintă lipsa stipulării în cadrul normativ intern a perioadei de realizare a acestor activități.</w:t>
      </w:r>
    </w:p>
    <w:p w14:paraId="1EB52DC5" w14:textId="54CF93E8" w:rsidR="00E66EF6" w:rsidRPr="00381DA2" w:rsidRDefault="00E66EF6" w:rsidP="003A66EF">
      <w:pPr>
        <w:pStyle w:val="ListParagraph"/>
        <w:numPr>
          <w:ilvl w:val="0"/>
          <w:numId w:val="34"/>
        </w:numPr>
        <w:spacing w:after="80" w:line="276" w:lineRule="auto"/>
        <w:ind w:left="360"/>
        <w:contextualSpacing w:val="0"/>
        <w:jc w:val="both"/>
        <w:rPr>
          <w:rFonts w:asciiTheme="majorHAnsi" w:hAnsiTheme="majorHAnsi" w:cstheme="minorHAnsi"/>
          <w:i/>
          <w:color w:val="333333"/>
          <w:sz w:val="24"/>
          <w:szCs w:val="24"/>
          <w:shd w:val="clear" w:color="auto" w:fill="FFFFFF"/>
        </w:rPr>
      </w:pPr>
      <w:r w:rsidRPr="00381DA2">
        <w:rPr>
          <w:rFonts w:asciiTheme="majorHAnsi" w:hAnsiTheme="majorHAnsi" w:cstheme="minorHAnsi"/>
          <w:i/>
          <w:color w:val="333333"/>
          <w:sz w:val="24"/>
          <w:szCs w:val="24"/>
          <w:shd w:val="clear" w:color="auto" w:fill="FFFFFF"/>
        </w:rPr>
        <w:t>Cu privire la monitorizarea externă</w:t>
      </w:r>
    </w:p>
    <w:p w14:paraId="27A9A035" w14:textId="3A6A1382" w:rsidR="00E66EF6" w:rsidRPr="00381DA2" w:rsidRDefault="00E66EF6" w:rsidP="003A66EF">
      <w:pPr>
        <w:spacing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333333"/>
          <w:sz w:val="24"/>
          <w:szCs w:val="24"/>
          <w:shd w:val="clear" w:color="auto" w:fill="FFFFFF"/>
        </w:rPr>
        <w:t>Auditul denotă faptul că procesul de monitorizare externă a calității AJGS, în perioada auditată, nu a fost implementat, cauza principală fiind similară procesului de monitorizare internă, lipsa puterii juridice</w:t>
      </w:r>
      <w:r w:rsidRPr="00381DA2">
        <w:rPr>
          <w:rStyle w:val="FootnoteReference"/>
          <w:rFonts w:asciiTheme="majorHAnsi" w:hAnsiTheme="majorHAnsi" w:cstheme="minorHAnsi"/>
          <w:color w:val="333333"/>
          <w:sz w:val="24"/>
          <w:szCs w:val="24"/>
          <w:shd w:val="clear" w:color="auto" w:fill="FFFFFF"/>
        </w:rPr>
        <w:footnoteReference w:id="86"/>
      </w:r>
      <w:r w:rsidRPr="00381DA2">
        <w:rPr>
          <w:rFonts w:asciiTheme="majorHAnsi" w:hAnsiTheme="majorHAnsi" w:cstheme="minorHAnsi"/>
          <w:color w:val="333333"/>
          <w:sz w:val="24"/>
          <w:szCs w:val="24"/>
          <w:shd w:val="clear" w:color="auto" w:fill="FFFFFF"/>
        </w:rPr>
        <w:t xml:space="preserve"> a cadrului normativ secundar</w:t>
      </w:r>
      <w:r w:rsidRPr="00381DA2">
        <w:rPr>
          <w:rStyle w:val="FootnoteReference"/>
          <w:rFonts w:asciiTheme="majorHAnsi" w:hAnsiTheme="majorHAnsi" w:cstheme="minorHAnsi"/>
          <w:color w:val="333333"/>
          <w:sz w:val="24"/>
          <w:szCs w:val="24"/>
          <w:shd w:val="clear" w:color="auto" w:fill="FFFFFF"/>
        </w:rPr>
        <w:footnoteReference w:id="87"/>
      </w:r>
      <w:r w:rsidRPr="00381DA2">
        <w:rPr>
          <w:rFonts w:asciiTheme="majorHAnsi" w:hAnsiTheme="majorHAnsi" w:cstheme="minorHAnsi"/>
          <w:color w:val="333333"/>
          <w:sz w:val="24"/>
          <w:szCs w:val="24"/>
          <w:shd w:val="clear" w:color="auto" w:fill="FFFFFF"/>
        </w:rPr>
        <w:t>. Astfel, se atestă că</w:t>
      </w:r>
      <w:r w:rsidR="00FC20FF">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deși responsabilitate</w:t>
      </w:r>
      <w:r w:rsidR="004A44EE">
        <w:rPr>
          <w:rFonts w:asciiTheme="majorHAnsi" w:hAnsiTheme="majorHAnsi" w:cstheme="minorHAnsi"/>
          <w:color w:val="333333"/>
          <w:sz w:val="24"/>
          <w:szCs w:val="24"/>
          <w:shd w:val="clear" w:color="auto" w:fill="FFFFFF"/>
        </w:rPr>
        <w:t>a</w:t>
      </w:r>
      <w:r w:rsidRPr="00381DA2">
        <w:rPr>
          <w:rFonts w:asciiTheme="majorHAnsi" w:hAnsiTheme="majorHAnsi" w:cstheme="minorHAnsi"/>
          <w:color w:val="333333"/>
          <w:sz w:val="24"/>
          <w:szCs w:val="24"/>
          <w:shd w:val="clear" w:color="auto" w:fill="FFFFFF"/>
        </w:rPr>
        <w:t xml:space="preserve"> privind efectuarea evaluărilor externe este atribuită Comisiei de monitorizare externă a calității AJGS, aprobat</w:t>
      </w:r>
      <w:r w:rsidR="00FC20FF">
        <w:rPr>
          <w:rFonts w:asciiTheme="majorHAnsi" w:hAnsiTheme="majorHAnsi" w:cstheme="minorHAnsi"/>
          <w:color w:val="333333"/>
          <w:sz w:val="24"/>
          <w:szCs w:val="24"/>
          <w:shd w:val="clear" w:color="auto" w:fill="FFFFFF"/>
        </w:rPr>
        <w:t>e</w:t>
      </w:r>
      <w:r w:rsidRPr="00381DA2">
        <w:rPr>
          <w:rFonts w:asciiTheme="majorHAnsi" w:hAnsiTheme="majorHAnsi" w:cstheme="minorHAnsi"/>
          <w:color w:val="333333"/>
          <w:sz w:val="24"/>
          <w:szCs w:val="24"/>
          <w:shd w:val="clear" w:color="auto" w:fill="FFFFFF"/>
        </w:rPr>
        <w:t xml:space="preserve"> de către CNAJGS, </w:t>
      </w:r>
      <w:r w:rsidR="00894964">
        <w:rPr>
          <w:rFonts w:asciiTheme="majorHAnsi" w:hAnsiTheme="majorHAnsi" w:cstheme="minorHAnsi"/>
          <w:color w:val="333333"/>
          <w:sz w:val="24"/>
          <w:szCs w:val="24"/>
          <w:shd w:val="clear" w:color="auto" w:fill="FFFFFF"/>
        </w:rPr>
        <w:t>se relevă</w:t>
      </w:r>
      <w:r w:rsidRPr="00381DA2">
        <w:rPr>
          <w:rFonts w:asciiTheme="majorHAnsi" w:hAnsiTheme="majorHAnsi" w:cstheme="minorHAnsi"/>
          <w:color w:val="333333"/>
          <w:sz w:val="24"/>
          <w:szCs w:val="24"/>
          <w:shd w:val="clear" w:color="auto" w:fill="FFFFFF"/>
        </w:rPr>
        <w:t xml:space="preserve"> neinstituirea acesteia</w:t>
      </w:r>
      <w:r w:rsidR="00894964">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respectiv</w:t>
      </w:r>
      <w:r w:rsidR="00FC20FF">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lipsa punerii în aplicare </w:t>
      </w:r>
      <w:r w:rsidR="00FC20FF">
        <w:rPr>
          <w:rFonts w:asciiTheme="majorHAnsi" w:hAnsiTheme="majorHAnsi" w:cstheme="minorHAnsi"/>
          <w:color w:val="333333"/>
          <w:sz w:val="24"/>
          <w:szCs w:val="24"/>
          <w:shd w:val="clear" w:color="auto" w:fill="FFFFFF"/>
        </w:rPr>
        <w:t xml:space="preserve">a </w:t>
      </w:r>
      <w:r w:rsidR="00894964">
        <w:rPr>
          <w:rFonts w:asciiTheme="majorHAnsi" w:hAnsiTheme="majorHAnsi" w:cstheme="minorHAnsi"/>
          <w:color w:val="333333"/>
          <w:sz w:val="24"/>
          <w:szCs w:val="24"/>
          <w:shd w:val="clear" w:color="auto" w:fill="FFFFFF"/>
        </w:rPr>
        <w:t>i</w:t>
      </w:r>
      <w:r w:rsidRPr="00381DA2">
        <w:rPr>
          <w:rFonts w:asciiTheme="majorHAnsi" w:hAnsiTheme="majorHAnsi" w:cstheme="minorHAnsi"/>
          <w:color w:val="333333"/>
          <w:sz w:val="24"/>
          <w:szCs w:val="24"/>
          <w:shd w:val="clear" w:color="auto" w:fill="FFFFFF"/>
        </w:rPr>
        <w:t>nstrument</w:t>
      </w:r>
      <w:r w:rsidR="00894964">
        <w:rPr>
          <w:rFonts w:asciiTheme="majorHAnsi" w:hAnsiTheme="majorHAnsi" w:cstheme="minorHAnsi"/>
          <w:color w:val="333333"/>
          <w:sz w:val="24"/>
          <w:szCs w:val="24"/>
          <w:shd w:val="clear" w:color="auto" w:fill="FFFFFF"/>
        </w:rPr>
        <w:t>ului vizat</w:t>
      </w:r>
      <w:r w:rsidRPr="00381DA2">
        <w:rPr>
          <w:rFonts w:asciiTheme="majorHAnsi" w:hAnsiTheme="majorHAnsi" w:cstheme="minorHAnsi"/>
          <w:color w:val="333333"/>
          <w:sz w:val="24"/>
          <w:szCs w:val="24"/>
          <w:shd w:val="clear" w:color="auto" w:fill="FFFFFF"/>
        </w:rPr>
        <w:t>.</w:t>
      </w:r>
    </w:p>
    <w:p w14:paraId="3173C93A" w14:textId="487BF43F" w:rsidR="00E66EF6" w:rsidRPr="00381DA2" w:rsidRDefault="00E66EF6" w:rsidP="003A66EF">
      <w:pPr>
        <w:spacing w:line="276" w:lineRule="auto"/>
        <w:jc w:val="both"/>
        <w:rPr>
          <w:rFonts w:asciiTheme="majorHAnsi" w:hAnsiTheme="majorHAnsi" w:cstheme="minorHAnsi"/>
          <w:color w:val="333333"/>
          <w:sz w:val="24"/>
          <w:szCs w:val="24"/>
          <w:shd w:val="clear" w:color="auto" w:fill="FFFFFF"/>
        </w:rPr>
      </w:pPr>
      <w:r w:rsidRPr="00381DA2">
        <w:rPr>
          <w:rFonts w:asciiTheme="majorHAnsi" w:hAnsiTheme="majorHAnsi" w:cstheme="minorHAnsi"/>
          <w:color w:val="000000" w:themeColor="text1"/>
          <w:sz w:val="24"/>
          <w:szCs w:val="24"/>
          <w:shd w:val="clear" w:color="auto" w:fill="FFFFFF"/>
        </w:rPr>
        <w:t xml:space="preserve">Un alt aspect ce ține de funcționalitatea mecanismului de monitorizare externă a calității AJGS vizează verificarea </w:t>
      </w:r>
      <w:r w:rsidRPr="00381DA2">
        <w:rPr>
          <w:rFonts w:asciiTheme="majorHAnsi" w:hAnsiTheme="majorHAnsi" w:cstheme="minorHAnsi"/>
          <w:color w:val="333333"/>
          <w:sz w:val="24"/>
          <w:szCs w:val="24"/>
          <w:shd w:val="clear" w:color="auto" w:fill="FFFFFF"/>
        </w:rPr>
        <w:t xml:space="preserve">corespunderii calității asistenței juridice acordate de către avocați cu practicile </w:t>
      </w:r>
      <w:r w:rsidRPr="00381DA2">
        <w:rPr>
          <w:rFonts w:asciiTheme="majorHAnsi" w:hAnsiTheme="majorHAnsi" w:cstheme="minorHAnsi"/>
          <w:color w:val="333333"/>
          <w:sz w:val="24"/>
          <w:szCs w:val="24"/>
          <w:shd w:val="clear" w:color="auto" w:fill="FFFFFF"/>
        </w:rPr>
        <w:lastRenderedPageBreak/>
        <w:t>profesionale acceptate și standardele de calitate</w:t>
      </w:r>
      <w:r w:rsidRPr="00381DA2">
        <w:rPr>
          <w:rStyle w:val="FootnoteReference"/>
          <w:rFonts w:asciiTheme="majorHAnsi" w:hAnsiTheme="majorHAnsi" w:cstheme="minorHAnsi"/>
          <w:color w:val="333333"/>
          <w:sz w:val="24"/>
          <w:szCs w:val="24"/>
          <w:shd w:val="clear" w:color="auto" w:fill="FFFFFF"/>
        </w:rPr>
        <w:footnoteReference w:id="88"/>
      </w:r>
      <w:r w:rsidRPr="00381DA2">
        <w:rPr>
          <w:rFonts w:asciiTheme="majorHAnsi" w:hAnsiTheme="majorHAnsi" w:cstheme="minorHAnsi"/>
          <w:color w:val="333333"/>
          <w:sz w:val="24"/>
          <w:szCs w:val="24"/>
          <w:shd w:val="clear" w:color="auto" w:fill="FFFFFF"/>
        </w:rPr>
        <w:t>, care se aprobă de către CNAJGS</w:t>
      </w:r>
      <w:r w:rsidRPr="00381DA2">
        <w:rPr>
          <w:rFonts w:asciiTheme="majorHAnsi" w:hAnsiTheme="majorHAnsi" w:cstheme="minorHAnsi"/>
          <w:color w:val="000000" w:themeColor="text1"/>
          <w:sz w:val="24"/>
          <w:szCs w:val="24"/>
          <w:shd w:val="clear" w:color="auto" w:fill="FFFFFF"/>
        </w:rPr>
        <w:t xml:space="preserve"> </w:t>
      </w:r>
      <w:r w:rsidRPr="00381DA2">
        <w:rPr>
          <w:rFonts w:asciiTheme="majorHAnsi" w:hAnsiTheme="majorHAnsi" w:cstheme="minorHAnsi"/>
          <w:color w:val="333333"/>
          <w:sz w:val="24"/>
          <w:szCs w:val="24"/>
          <w:shd w:val="clear" w:color="auto" w:fill="FFFFFF"/>
        </w:rPr>
        <w:t>după coordonarea cu Uniunea Avocaților</w:t>
      </w:r>
      <w:r w:rsidRPr="00381DA2">
        <w:rPr>
          <w:rStyle w:val="FootnoteReference"/>
          <w:rFonts w:asciiTheme="majorHAnsi" w:hAnsiTheme="majorHAnsi" w:cstheme="minorHAnsi"/>
          <w:color w:val="333333"/>
          <w:sz w:val="24"/>
          <w:szCs w:val="24"/>
          <w:shd w:val="clear" w:color="auto" w:fill="FFFFFF"/>
        </w:rPr>
        <w:footnoteReference w:id="89"/>
      </w:r>
      <w:r w:rsidRPr="00381DA2">
        <w:rPr>
          <w:rFonts w:asciiTheme="majorHAnsi" w:hAnsiTheme="majorHAnsi" w:cstheme="minorHAnsi"/>
          <w:color w:val="333333"/>
          <w:sz w:val="24"/>
          <w:szCs w:val="24"/>
          <w:shd w:val="clear" w:color="auto" w:fill="FFFFFF"/>
        </w:rPr>
        <w:t>.</w:t>
      </w:r>
      <w:r w:rsidRPr="00381DA2">
        <w:rPr>
          <w:rFonts w:asciiTheme="majorHAnsi" w:hAnsiTheme="majorHAnsi" w:cstheme="minorHAnsi"/>
          <w:color w:val="000000" w:themeColor="text1"/>
          <w:sz w:val="24"/>
          <w:szCs w:val="24"/>
          <w:shd w:val="clear" w:color="auto" w:fill="FFFFFF"/>
        </w:rPr>
        <w:t xml:space="preserve"> </w:t>
      </w:r>
      <w:r w:rsidRPr="00381DA2">
        <w:rPr>
          <w:rFonts w:asciiTheme="majorHAnsi" w:hAnsiTheme="majorHAnsi" w:cstheme="minorHAnsi"/>
          <w:color w:val="333333"/>
          <w:sz w:val="24"/>
          <w:szCs w:val="24"/>
          <w:shd w:val="clear" w:color="auto" w:fill="FFFFFF"/>
        </w:rPr>
        <w:t>Astfel, auditul relevă că</w:t>
      </w:r>
      <w:r w:rsidR="008A54F7">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în vederea instituționalizării mecanismului de monitorizare </w:t>
      </w:r>
      <w:r w:rsidR="00AD718A">
        <w:rPr>
          <w:rFonts w:asciiTheme="majorHAnsi" w:hAnsiTheme="majorHAnsi" w:cstheme="minorHAnsi"/>
          <w:color w:val="333333"/>
          <w:sz w:val="24"/>
          <w:szCs w:val="24"/>
          <w:shd w:val="clear" w:color="auto" w:fill="FFFFFF"/>
        </w:rPr>
        <w:t>externă, CNAJGS a aprobat doar</w:t>
      </w:r>
      <w:r w:rsidRPr="00381DA2">
        <w:rPr>
          <w:rFonts w:asciiTheme="majorHAnsi" w:hAnsiTheme="majorHAnsi" w:cstheme="minorHAnsi"/>
          <w:color w:val="333333"/>
          <w:sz w:val="24"/>
          <w:szCs w:val="24"/>
          <w:shd w:val="clear" w:color="auto" w:fill="FFFFFF"/>
        </w:rPr>
        <w:t xml:space="preserve"> „Standarde</w:t>
      </w:r>
      <w:r w:rsidR="008A54F7">
        <w:rPr>
          <w:rFonts w:asciiTheme="majorHAnsi" w:hAnsiTheme="majorHAnsi" w:cstheme="minorHAnsi"/>
          <w:color w:val="333333"/>
          <w:sz w:val="24"/>
          <w:szCs w:val="24"/>
          <w:shd w:val="clear" w:color="auto" w:fill="FFFFFF"/>
        </w:rPr>
        <w:t>le</w:t>
      </w:r>
      <w:r w:rsidRPr="00381DA2">
        <w:rPr>
          <w:rFonts w:asciiTheme="majorHAnsi" w:hAnsiTheme="majorHAnsi" w:cstheme="minorHAnsi"/>
          <w:color w:val="333333"/>
          <w:sz w:val="24"/>
          <w:szCs w:val="24"/>
          <w:shd w:val="clear" w:color="auto" w:fill="FFFFFF"/>
        </w:rPr>
        <w:t xml:space="preserve"> de calitate ale activității avocaților care acordă asistență juridică garantată de stat pe cauzele penale” și „Standardele de calitate ale activității avocaților care acordă asistență juridică garantată de stat în cauzele cu implicarea persoanelor cu dizabilități intelectuale și psihosociale”. </w:t>
      </w:r>
      <w:r w:rsidR="00856765" w:rsidRPr="00381DA2">
        <w:rPr>
          <w:rFonts w:asciiTheme="majorHAnsi" w:hAnsiTheme="majorHAnsi" w:cstheme="minorHAnsi"/>
          <w:color w:val="333333"/>
          <w:sz w:val="24"/>
          <w:szCs w:val="24"/>
          <w:shd w:val="clear" w:color="auto" w:fill="FFFFFF"/>
        </w:rPr>
        <w:t>Cât</w:t>
      </w:r>
      <w:r w:rsidRPr="00381DA2">
        <w:rPr>
          <w:rFonts w:asciiTheme="majorHAnsi" w:hAnsiTheme="majorHAnsi" w:cstheme="minorHAnsi"/>
          <w:color w:val="333333"/>
          <w:sz w:val="24"/>
          <w:szCs w:val="24"/>
          <w:shd w:val="clear" w:color="auto" w:fill="FFFFFF"/>
        </w:rPr>
        <w:t xml:space="preserve"> ține de </w:t>
      </w:r>
      <w:r w:rsidR="00894964">
        <w:rPr>
          <w:rFonts w:asciiTheme="majorHAnsi" w:hAnsiTheme="majorHAnsi" w:cstheme="minorHAnsi"/>
          <w:color w:val="333333"/>
          <w:sz w:val="24"/>
          <w:szCs w:val="24"/>
          <w:shd w:val="clear" w:color="auto" w:fill="FFFFFF"/>
        </w:rPr>
        <w:t>standardizarea</w:t>
      </w:r>
      <w:r w:rsidRPr="00381DA2">
        <w:rPr>
          <w:rFonts w:asciiTheme="majorHAnsi" w:hAnsiTheme="majorHAnsi" w:cstheme="minorHAnsi"/>
          <w:color w:val="333333"/>
          <w:sz w:val="24"/>
          <w:szCs w:val="24"/>
          <w:shd w:val="clear" w:color="auto" w:fill="FFFFFF"/>
        </w:rPr>
        <w:t xml:space="preserve"> altor tipuri de cauze (non-penale)</w:t>
      </w:r>
      <w:r w:rsidR="005F16F4">
        <w:rPr>
          <w:rFonts w:asciiTheme="majorHAnsi" w:hAnsiTheme="majorHAnsi" w:cstheme="minorHAnsi"/>
          <w:color w:val="333333"/>
          <w:sz w:val="24"/>
          <w:szCs w:val="24"/>
          <w:shd w:val="clear" w:color="auto" w:fill="FFFFFF"/>
        </w:rPr>
        <w:t>,</w:t>
      </w:r>
      <w:r w:rsidRPr="00381DA2">
        <w:rPr>
          <w:rFonts w:asciiTheme="majorHAnsi" w:hAnsiTheme="majorHAnsi" w:cstheme="minorHAnsi"/>
          <w:color w:val="333333"/>
          <w:sz w:val="24"/>
          <w:szCs w:val="24"/>
          <w:shd w:val="clear" w:color="auto" w:fill="FFFFFF"/>
        </w:rPr>
        <w:t xml:space="preserve"> se menționează că </w:t>
      </w:r>
      <w:r w:rsidR="00856765" w:rsidRPr="00381DA2">
        <w:rPr>
          <w:rFonts w:asciiTheme="majorHAnsi" w:hAnsiTheme="majorHAnsi" w:cstheme="minorHAnsi"/>
          <w:color w:val="333333"/>
          <w:sz w:val="24"/>
          <w:szCs w:val="24"/>
          <w:shd w:val="clear" w:color="auto" w:fill="FFFFFF"/>
        </w:rPr>
        <w:t>s</w:t>
      </w:r>
      <w:r w:rsidR="008A54F7">
        <w:rPr>
          <w:rFonts w:asciiTheme="majorHAnsi" w:hAnsiTheme="majorHAnsi" w:cstheme="minorHAnsi"/>
          <w:color w:val="333333"/>
          <w:sz w:val="24"/>
          <w:szCs w:val="24"/>
          <w:shd w:val="clear" w:color="auto" w:fill="FFFFFF"/>
        </w:rPr>
        <w:t>u</w:t>
      </w:r>
      <w:r w:rsidR="00856765" w:rsidRPr="00381DA2">
        <w:rPr>
          <w:rFonts w:asciiTheme="majorHAnsi" w:hAnsiTheme="majorHAnsi" w:cstheme="minorHAnsi"/>
          <w:color w:val="333333"/>
          <w:sz w:val="24"/>
          <w:szCs w:val="24"/>
          <w:shd w:val="clear" w:color="auto" w:fill="FFFFFF"/>
        </w:rPr>
        <w:t>nt</w:t>
      </w:r>
      <w:r w:rsidRPr="00381DA2">
        <w:rPr>
          <w:rFonts w:asciiTheme="majorHAnsi" w:hAnsiTheme="majorHAnsi" w:cstheme="minorHAnsi"/>
          <w:color w:val="333333"/>
          <w:sz w:val="24"/>
          <w:szCs w:val="24"/>
          <w:shd w:val="clear" w:color="auto" w:fill="FFFFFF"/>
        </w:rPr>
        <w:t xml:space="preserve"> în proces de definitivare cele ce vizează cauzele de azil și cele cu implicarea victimelor infracțiunilor</w:t>
      </w:r>
      <w:r w:rsidR="005F16F4">
        <w:rPr>
          <w:rStyle w:val="FootnoteReference"/>
          <w:rFonts w:asciiTheme="majorHAnsi" w:hAnsiTheme="majorHAnsi" w:cstheme="minorHAnsi"/>
          <w:color w:val="333333"/>
          <w:sz w:val="24"/>
          <w:szCs w:val="24"/>
          <w:shd w:val="clear" w:color="auto" w:fill="FFFFFF"/>
        </w:rPr>
        <w:footnoteReference w:id="90"/>
      </w:r>
      <w:r w:rsidRPr="00381DA2">
        <w:rPr>
          <w:rFonts w:asciiTheme="majorHAnsi" w:hAnsiTheme="majorHAnsi" w:cstheme="minorHAnsi"/>
          <w:color w:val="333333"/>
          <w:sz w:val="24"/>
          <w:szCs w:val="24"/>
          <w:shd w:val="clear" w:color="auto" w:fill="FFFFFF"/>
        </w:rPr>
        <w:t xml:space="preserve">. </w:t>
      </w:r>
    </w:p>
    <w:p w14:paraId="41FB83D9" w14:textId="3AE4D989" w:rsidR="00687BC7" w:rsidRPr="00381DA2" w:rsidRDefault="008A54F7" w:rsidP="003A66EF">
      <w:pPr>
        <w:pStyle w:val="Heading3"/>
        <w:numPr>
          <w:ilvl w:val="2"/>
          <w:numId w:val="26"/>
        </w:numPr>
        <w:tabs>
          <w:tab w:val="left" w:pos="360"/>
          <w:tab w:val="left" w:pos="540"/>
          <w:tab w:val="left" w:pos="630"/>
        </w:tabs>
        <w:spacing w:before="240" w:after="120" w:line="276" w:lineRule="auto"/>
        <w:ind w:left="0" w:firstLine="0"/>
        <w:jc w:val="both"/>
        <w:rPr>
          <w:rFonts w:cstheme="minorHAnsi"/>
          <w:b/>
          <w:i/>
          <w:color w:val="0070C0"/>
        </w:rPr>
      </w:pPr>
      <w:bookmarkStart w:id="41" w:name="_Toc128640820"/>
      <w:r>
        <w:rPr>
          <w:rFonts w:cstheme="minorHAnsi"/>
          <w:b/>
          <w:i/>
          <w:color w:val="0070C0"/>
        </w:rPr>
        <w:t>F</w:t>
      </w:r>
      <w:r w:rsidR="000264A6" w:rsidRPr="00381DA2">
        <w:rPr>
          <w:rFonts w:cstheme="minorHAnsi"/>
          <w:b/>
          <w:i/>
          <w:color w:val="0070C0"/>
        </w:rPr>
        <w:t xml:space="preserve">uncționarea defectuoasă a </w:t>
      </w:r>
      <w:r w:rsidR="00687BC7" w:rsidRPr="00381DA2">
        <w:rPr>
          <w:rFonts w:cstheme="minorHAnsi"/>
          <w:b/>
          <w:i/>
          <w:color w:val="0070C0"/>
        </w:rPr>
        <w:t>mecanismului de restituire a cheltuielilor de acordare a asistenței juridice calificate</w:t>
      </w:r>
      <w:bookmarkEnd w:id="41"/>
      <w:r w:rsidR="00687BC7" w:rsidRPr="00381DA2">
        <w:rPr>
          <w:rFonts w:cstheme="minorHAnsi"/>
          <w:b/>
          <w:i/>
          <w:color w:val="0070C0"/>
        </w:rPr>
        <w:t xml:space="preserve"> </w:t>
      </w:r>
    </w:p>
    <w:p w14:paraId="68FDE423" w14:textId="35C173BC" w:rsidR="00FE4605" w:rsidRPr="00381DA2" w:rsidRDefault="00FE4605" w:rsidP="003A66EF">
      <w:pPr>
        <w:spacing w:after="80" w:line="276" w:lineRule="auto"/>
        <w:jc w:val="both"/>
        <w:rPr>
          <w:rFonts w:asciiTheme="majorHAnsi" w:hAnsiTheme="majorHAnsi" w:cstheme="minorHAnsi"/>
          <w:sz w:val="24"/>
          <w:szCs w:val="24"/>
        </w:rPr>
      </w:pPr>
      <w:r w:rsidRPr="00381DA2">
        <w:rPr>
          <w:rFonts w:asciiTheme="majorHAnsi" w:hAnsiTheme="majorHAnsi" w:cstheme="minorHAnsi"/>
          <w:sz w:val="24"/>
          <w:szCs w:val="24"/>
        </w:rPr>
        <w:t>Beneficiarii și alte părți implicate în procesele judiciare pentru c</w:t>
      </w:r>
      <w:r w:rsidR="004B12EE" w:rsidRPr="00381DA2">
        <w:rPr>
          <w:rFonts w:asciiTheme="majorHAnsi" w:hAnsiTheme="majorHAnsi" w:cstheme="minorHAnsi"/>
          <w:sz w:val="24"/>
          <w:szCs w:val="24"/>
        </w:rPr>
        <w:t>are s-a</w:t>
      </w:r>
      <w:r w:rsidR="00292155">
        <w:rPr>
          <w:rFonts w:asciiTheme="majorHAnsi" w:hAnsiTheme="majorHAnsi" w:cstheme="minorHAnsi"/>
          <w:sz w:val="24"/>
          <w:szCs w:val="24"/>
        </w:rPr>
        <w:t>u</w:t>
      </w:r>
      <w:r w:rsidR="004B12EE" w:rsidRPr="00381DA2">
        <w:rPr>
          <w:rFonts w:asciiTheme="majorHAnsi" w:hAnsiTheme="majorHAnsi" w:cstheme="minorHAnsi"/>
          <w:sz w:val="24"/>
          <w:szCs w:val="24"/>
        </w:rPr>
        <w:t xml:space="preserve"> solicitat avocați</w:t>
      </w:r>
      <w:r w:rsidRPr="00381DA2">
        <w:rPr>
          <w:rFonts w:asciiTheme="majorHAnsi" w:hAnsiTheme="majorHAnsi" w:cstheme="minorHAnsi"/>
          <w:sz w:val="24"/>
          <w:szCs w:val="24"/>
        </w:rPr>
        <w:t>, în anumite situații prestabilite, s</w:t>
      </w:r>
      <w:r w:rsidR="008A54F7">
        <w:rPr>
          <w:rFonts w:asciiTheme="majorHAnsi" w:hAnsiTheme="majorHAnsi" w:cstheme="minorHAnsi"/>
          <w:sz w:val="24"/>
          <w:szCs w:val="24"/>
        </w:rPr>
        <w:t>u</w:t>
      </w:r>
      <w:r w:rsidRPr="00381DA2">
        <w:rPr>
          <w:rFonts w:asciiTheme="majorHAnsi" w:hAnsiTheme="majorHAnsi" w:cstheme="minorHAnsi"/>
          <w:sz w:val="24"/>
          <w:szCs w:val="24"/>
        </w:rPr>
        <w:t>nt obligați să restituie la buget val</w:t>
      </w:r>
      <w:r w:rsidR="00292155">
        <w:rPr>
          <w:rFonts w:asciiTheme="majorHAnsi" w:hAnsiTheme="majorHAnsi" w:cstheme="minorHAnsi"/>
          <w:sz w:val="24"/>
          <w:szCs w:val="24"/>
        </w:rPr>
        <w:t>oarea cheltuielilor de asistență</w:t>
      </w:r>
      <w:r w:rsidRPr="00381DA2">
        <w:rPr>
          <w:rFonts w:asciiTheme="majorHAnsi" w:hAnsiTheme="majorHAnsi" w:cstheme="minorHAnsi"/>
          <w:sz w:val="24"/>
          <w:szCs w:val="24"/>
        </w:rPr>
        <w:t xml:space="preserve"> jurid</w:t>
      </w:r>
      <w:r w:rsidR="00292155">
        <w:rPr>
          <w:rFonts w:asciiTheme="majorHAnsi" w:hAnsiTheme="majorHAnsi" w:cstheme="minorHAnsi"/>
          <w:sz w:val="24"/>
          <w:szCs w:val="24"/>
        </w:rPr>
        <w:t>ică calificată achitată</w:t>
      </w:r>
      <w:r w:rsidRPr="00381DA2">
        <w:rPr>
          <w:rFonts w:asciiTheme="majorHAnsi" w:hAnsiTheme="majorHAnsi" w:cstheme="minorHAnsi"/>
          <w:sz w:val="24"/>
          <w:szCs w:val="24"/>
        </w:rPr>
        <w:t xml:space="preserve"> în scopul remunerării muncii avocaților. Astfel, potrivit art. 23 din Legea </w:t>
      </w:r>
      <w:r w:rsidR="008A54F7">
        <w:rPr>
          <w:rFonts w:asciiTheme="majorHAnsi" w:hAnsiTheme="majorHAnsi" w:cstheme="minorHAnsi"/>
          <w:sz w:val="24"/>
          <w:szCs w:val="24"/>
        </w:rPr>
        <w:t>nr.</w:t>
      </w:r>
      <w:r w:rsidRPr="00381DA2">
        <w:rPr>
          <w:rFonts w:asciiTheme="majorHAnsi" w:hAnsiTheme="majorHAnsi" w:cstheme="minorHAnsi"/>
          <w:sz w:val="24"/>
          <w:szCs w:val="24"/>
        </w:rPr>
        <w:t>198/2007</w:t>
      </w:r>
      <w:r w:rsidR="008A54F7">
        <w:rPr>
          <w:rFonts w:asciiTheme="majorHAnsi" w:hAnsiTheme="majorHAnsi" w:cstheme="minorHAnsi"/>
          <w:sz w:val="24"/>
          <w:szCs w:val="24"/>
        </w:rPr>
        <w:t>,</w:t>
      </w:r>
      <w:r w:rsidRPr="00381DA2">
        <w:rPr>
          <w:rFonts w:asciiTheme="majorHAnsi" w:hAnsiTheme="majorHAnsi" w:cstheme="minorHAnsi"/>
          <w:sz w:val="24"/>
          <w:szCs w:val="24"/>
        </w:rPr>
        <w:t xml:space="preserve"> </w:t>
      </w:r>
      <w:r w:rsidR="00292155">
        <w:rPr>
          <w:rFonts w:asciiTheme="majorHAnsi" w:hAnsiTheme="majorHAnsi" w:cstheme="minorHAnsi"/>
          <w:sz w:val="24"/>
          <w:szCs w:val="24"/>
        </w:rPr>
        <w:t>s</w:t>
      </w:r>
      <w:r w:rsidR="008A54F7">
        <w:rPr>
          <w:rFonts w:asciiTheme="majorHAnsi" w:hAnsiTheme="majorHAnsi" w:cstheme="minorHAnsi"/>
          <w:sz w:val="24"/>
          <w:szCs w:val="24"/>
        </w:rPr>
        <w:t>u</w:t>
      </w:r>
      <w:r w:rsidR="00292155">
        <w:rPr>
          <w:rFonts w:asciiTheme="majorHAnsi" w:hAnsiTheme="majorHAnsi" w:cstheme="minorHAnsi"/>
          <w:sz w:val="24"/>
          <w:szCs w:val="24"/>
        </w:rPr>
        <w:t xml:space="preserve">nt prevăzute </w:t>
      </w:r>
      <w:r w:rsidRPr="00381DA2">
        <w:rPr>
          <w:rFonts w:asciiTheme="majorHAnsi" w:hAnsiTheme="majorHAnsi" w:cstheme="minorHAnsi"/>
          <w:sz w:val="24"/>
          <w:szCs w:val="24"/>
        </w:rPr>
        <w:t xml:space="preserve">următoarele cazuri în care survine necesitatea rambursării acestor mijloace financiare: </w:t>
      </w:r>
    </w:p>
    <w:p w14:paraId="6F25F76A" w14:textId="77777777" w:rsidR="00FE4605" w:rsidRPr="00381DA2" w:rsidRDefault="00FE4605" w:rsidP="003A66EF">
      <w:pPr>
        <w:pStyle w:val="ListParagraph"/>
        <w:numPr>
          <w:ilvl w:val="0"/>
          <w:numId w:val="16"/>
        </w:numPr>
        <w:spacing w:after="160" w:line="276" w:lineRule="auto"/>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în cazul emiterii unei hotărâri judecătorești pe cauze civile sau de contencios administrativ în folosul beneficiarului de asistență juridică calificată, plata cheltuielilor de acordare a asistenței juridice calificate revine părții care a pierdut procesul;</w:t>
      </w:r>
    </w:p>
    <w:p w14:paraId="1E91A282" w14:textId="77777777" w:rsidR="00FE4605" w:rsidRPr="00381DA2" w:rsidRDefault="00FE4605" w:rsidP="003A66EF">
      <w:pPr>
        <w:pStyle w:val="ListParagraph"/>
        <w:numPr>
          <w:ilvl w:val="0"/>
          <w:numId w:val="16"/>
        </w:numPr>
        <w:spacing w:after="160" w:line="276" w:lineRule="auto"/>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prezentare</w:t>
      </w:r>
      <w:r w:rsidR="00292155">
        <w:rPr>
          <w:rFonts w:asciiTheme="majorHAnsi" w:hAnsiTheme="majorHAnsi" w:cstheme="minorHAnsi"/>
          <w:sz w:val="24"/>
          <w:szCs w:val="24"/>
          <w:lang w:val="ro-MD"/>
        </w:rPr>
        <w:t>a</w:t>
      </w:r>
      <w:r w:rsidRPr="00381DA2">
        <w:rPr>
          <w:rFonts w:asciiTheme="majorHAnsi" w:hAnsiTheme="majorHAnsi" w:cstheme="minorHAnsi"/>
          <w:sz w:val="24"/>
          <w:szCs w:val="24"/>
          <w:lang w:val="ro-MD"/>
        </w:rPr>
        <w:t xml:space="preserve"> de către beneficiar a unor informații neveridice, inclusiv despre starea financiară a sa, inducând în eroare oficiul teritorial la determinarea eligibilității acestuia;</w:t>
      </w:r>
    </w:p>
    <w:p w14:paraId="54141896" w14:textId="77777777" w:rsidR="00FE4605" w:rsidRPr="00381DA2" w:rsidRDefault="00FE4605" w:rsidP="003A66EF">
      <w:pPr>
        <w:pStyle w:val="ListParagraph"/>
        <w:numPr>
          <w:ilvl w:val="0"/>
          <w:numId w:val="16"/>
        </w:numPr>
        <w:spacing w:after="80" w:line="276" w:lineRule="auto"/>
        <w:contextualSpacing w:val="0"/>
        <w:jc w:val="both"/>
        <w:rPr>
          <w:rFonts w:asciiTheme="majorHAnsi" w:hAnsiTheme="majorHAnsi" w:cstheme="minorHAnsi"/>
          <w:sz w:val="24"/>
          <w:szCs w:val="24"/>
          <w:lang w:val="ro-MD"/>
        </w:rPr>
      </w:pPr>
      <w:r w:rsidRPr="00381DA2">
        <w:rPr>
          <w:rFonts w:asciiTheme="majorHAnsi" w:hAnsiTheme="majorHAnsi" w:cstheme="minorHAnsi"/>
          <w:sz w:val="24"/>
          <w:szCs w:val="24"/>
          <w:lang w:val="ro-MD"/>
        </w:rPr>
        <w:t xml:space="preserve">îmbunătățirea situației financiare a beneficiarului pe parcursul derulării procesului sau al executării hotărârii judecătorești. </w:t>
      </w:r>
    </w:p>
    <w:p w14:paraId="220017A6" w14:textId="1F584B2B" w:rsidR="00FE4605" w:rsidRPr="00381DA2" w:rsidRDefault="00FE4605" w:rsidP="003A66EF">
      <w:pPr>
        <w:autoSpaceDE w:val="0"/>
        <w:autoSpaceDN w:val="0"/>
        <w:adjustRightInd w:val="0"/>
        <w:spacing w:after="0" w:line="276" w:lineRule="auto"/>
        <w:jc w:val="both"/>
        <w:rPr>
          <w:rFonts w:asciiTheme="majorHAnsi" w:hAnsiTheme="majorHAnsi" w:cstheme="minorHAnsi"/>
          <w:sz w:val="24"/>
          <w:szCs w:val="24"/>
        </w:rPr>
      </w:pPr>
      <w:r w:rsidRPr="00381DA2">
        <w:rPr>
          <w:rFonts w:asciiTheme="majorHAnsi" w:hAnsiTheme="majorHAnsi" w:cstheme="minorHAnsi"/>
          <w:sz w:val="24"/>
          <w:szCs w:val="24"/>
        </w:rPr>
        <w:t>Implementarea și monitorizarea punerii în practică a acestor norme revine oficiilor teritoriale</w:t>
      </w:r>
      <w:r w:rsidR="008A54F7">
        <w:rPr>
          <w:rFonts w:asciiTheme="majorHAnsi" w:hAnsiTheme="majorHAnsi" w:cstheme="minorHAnsi"/>
          <w:sz w:val="24"/>
          <w:szCs w:val="24"/>
        </w:rPr>
        <w:t>,</w:t>
      </w:r>
      <w:r w:rsidRPr="00381DA2">
        <w:rPr>
          <w:rFonts w:asciiTheme="majorHAnsi" w:hAnsiTheme="majorHAnsi" w:cstheme="minorHAnsi"/>
          <w:sz w:val="24"/>
          <w:szCs w:val="24"/>
        </w:rPr>
        <w:t xml:space="preserve"> precum și  CNAJGS și derivă din strategiile de activitate</w:t>
      </w:r>
      <w:r w:rsidR="005B55B9">
        <w:rPr>
          <w:rFonts w:asciiTheme="majorHAnsi" w:hAnsiTheme="majorHAnsi" w:cstheme="minorHAnsi"/>
          <w:sz w:val="24"/>
          <w:szCs w:val="24"/>
        </w:rPr>
        <w:t>,</w:t>
      </w:r>
      <w:r w:rsidRPr="00381DA2">
        <w:rPr>
          <w:rFonts w:asciiTheme="majorHAnsi" w:hAnsiTheme="majorHAnsi" w:cstheme="minorHAnsi"/>
          <w:sz w:val="24"/>
          <w:szCs w:val="24"/>
        </w:rPr>
        <w:t xml:space="preserve"> precum și din planurile anuale prestabilite. Conform datelor prezentate de OT ale CNAJGS, pe parcur</w:t>
      </w:r>
      <w:r w:rsidR="00B541AF" w:rsidRPr="00381DA2">
        <w:rPr>
          <w:rFonts w:asciiTheme="majorHAnsi" w:hAnsiTheme="majorHAnsi" w:cstheme="minorHAnsi"/>
          <w:sz w:val="24"/>
          <w:szCs w:val="24"/>
        </w:rPr>
        <w:t>sul perioadei 2020-2022</w:t>
      </w:r>
      <w:r w:rsidRPr="00381DA2">
        <w:rPr>
          <w:rFonts w:asciiTheme="majorHAnsi" w:hAnsiTheme="majorHAnsi" w:cstheme="minorHAnsi"/>
          <w:sz w:val="24"/>
          <w:szCs w:val="24"/>
        </w:rPr>
        <w:t xml:space="preserve">, în </w:t>
      </w:r>
      <w:r w:rsidR="008A54F7">
        <w:rPr>
          <w:rFonts w:asciiTheme="majorHAnsi" w:hAnsiTheme="majorHAnsi" w:cstheme="minorHAnsi"/>
          <w:sz w:val="24"/>
          <w:szCs w:val="24"/>
        </w:rPr>
        <w:t>urma</w:t>
      </w:r>
      <w:r w:rsidR="008A54F7" w:rsidRPr="00381DA2">
        <w:rPr>
          <w:rFonts w:asciiTheme="majorHAnsi" w:hAnsiTheme="majorHAnsi" w:cstheme="minorHAnsi"/>
          <w:sz w:val="24"/>
          <w:szCs w:val="24"/>
        </w:rPr>
        <w:t xml:space="preserve"> </w:t>
      </w:r>
      <w:r w:rsidRPr="00381DA2">
        <w:rPr>
          <w:rFonts w:asciiTheme="majorHAnsi" w:hAnsiTheme="majorHAnsi" w:cstheme="minorHAnsi"/>
          <w:sz w:val="24"/>
          <w:szCs w:val="24"/>
        </w:rPr>
        <w:t>aplicării acestui instrument, oficiile t</w:t>
      </w:r>
      <w:r w:rsidR="00B541AF" w:rsidRPr="00381DA2">
        <w:rPr>
          <w:rFonts w:asciiTheme="majorHAnsi" w:hAnsiTheme="majorHAnsi" w:cstheme="minorHAnsi"/>
          <w:sz w:val="24"/>
          <w:szCs w:val="24"/>
        </w:rPr>
        <w:t>eritoriale au înaintat 54</w:t>
      </w:r>
      <w:r w:rsidR="00940844" w:rsidRPr="00381DA2">
        <w:rPr>
          <w:rFonts w:asciiTheme="majorHAnsi" w:hAnsiTheme="majorHAnsi" w:cstheme="minorHAnsi"/>
          <w:sz w:val="24"/>
          <w:szCs w:val="24"/>
        </w:rPr>
        <w:t>4</w:t>
      </w:r>
      <w:r w:rsidRPr="00381DA2">
        <w:rPr>
          <w:rFonts w:asciiTheme="majorHAnsi" w:hAnsiTheme="majorHAnsi" w:cstheme="minorHAnsi"/>
          <w:sz w:val="24"/>
          <w:szCs w:val="24"/>
        </w:rPr>
        <w:t xml:space="preserve"> de decizii privind recuperarea cheltuielilor pentru acordarea asistenței juridice garantate de stat</w:t>
      </w:r>
      <w:r w:rsidR="008A54F7">
        <w:rPr>
          <w:rFonts w:asciiTheme="majorHAnsi" w:hAnsiTheme="majorHAnsi" w:cstheme="minorHAnsi"/>
          <w:sz w:val="24"/>
          <w:szCs w:val="24"/>
        </w:rPr>
        <w:t xml:space="preserve">, în </w:t>
      </w:r>
      <w:r w:rsidRPr="00381DA2">
        <w:rPr>
          <w:rFonts w:asciiTheme="majorHAnsi" w:hAnsiTheme="majorHAnsi" w:cstheme="minorHAnsi"/>
          <w:sz w:val="24"/>
          <w:szCs w:val="24"/>
        </w:rPr>
        <w:t>valoare</w:t>
      </w:r>
      <w:r w:rsidR="008A54F7">
        <w:rPr>
          <w:rFonts w:asciiTheme="majorHAnsi" w:hAnsiTheme="majorHAnsi" w:cstheme="minorHAnsi"/>
          <w:sz w:val="24"/>
          <w:szCs w:val="24"/>
        </w:rPr>
        <w:t xml:space="preserve"> de</w:t>
      </w:r>
      <w:r w:rsidRPr="00381DA2">
        <w:rPr>
          <w:rFonts w:asciiTheme="majorHAnsi" w:hAnsiTheme="majorHAnsi" w:cstheme="minorHAnsi"/>
          <w:sz w:val="24"/>
          <w:szCs w:val="24"/>
        </w:rPr>
        <w:t xml:space="preserve"> </w:t>
      </w:r>
      <w:r w:rsidR="00B541AF" w:rsidRPr="00381DA2">
        <w:rPr>
          <w:rFonts w:asciiTheme="majorHAnsi" w:hAnsiTheme="majorHAnsi" w:cstheme="minorHAnsi"/>
          <w:sz w:val="24"/>
          <w:szCs w:val="24"/>
        </w:rPr>
        <w:t>841,2</w:t>
      </w:r>
      <w:r w:rsidRPr="00381DA2">
        <w:rPr>
          <w:rFonts w:asciiTheme="majorHAnsi" w:hAnsiTheme="majorHAnsi" w:cstheme="minorHAnsi"/>
          <w:sz w:val="24"/>
          <w:szCs w:val="24"/>
        </w:rPr>
        <w:t xml:space="preserve"> mii lei, dintre care a fost r</w:t>
      </w:r>
      <w:r w:rsidR="00B541AF" w:rsidRPr="00381DA2">
        <w:rPr>
          <w:rFonts w:asciiTheme="majorHAnsi" w:hAnsiTheme="majorHAnsi" w:cstheme="minorHAnsi"/>
          <w:sz w:val="24"/>
          <w:szCs w:val="24"/>
        </w:rPr>
        <w:t>estituit</w:t>
      </w:r>
      <w:r w:rsidR="008A54F7">
        <w:rPr>
          <w:rFonts w:asciiTheme="majorHAnsi" w:hAnsiTheme="majorHAnsi" w:cstheme="minorHAnsi"/>
          <w:sz w:val="24"/>
          <w:szCs w:val="24"/>
        </w:rPr>
        <w:t>ă</w:t>
      </w:r>
      <w:r w:rsidR="00B541AF" w:rsidRPr="00381DA2">
        <w:rPr>
          <w:rFonts w:asciiTheme="majorHAnsi" w:hAnsiTheme="majorHAnsi" w:cstheme="minorHAnsi"/>
          <w:sz w:val="24"/>
          <w:szCs w:val="24"/>
        </w:rPr>
        <w:t xml:space="preserve"> la buget valoarea a 233</w:t>
      </w:r>
      <w:r w:rsidRPr="00381DA2">
        <w:rPr>
          <w:rFonts w:asciiTheme="majorHAnsi" w:hAnsiTheme="majorHAnsi" w:cstheme="minorHAnsi"/>
          <w:sz w:val="24"/>
          <w:szCs w:val="24"/>
        </w:rPr>
        <w:t xml:space="preserve"> </w:t>
      </w:r>
      <w:r w:rsidR="008A54F7">
        <w:rPr>
          <w:rFonts w:asciiTheme="majorHAnsi" w:hAnsiTheme="majorHAnsi" w:cstheme="minorHAnsi"/>
          <w:sz w:val="24"/>
          <w:szCs w:val="24"/>
        </w:rPr>
        <w:t xml:space="preserve">de </w:t>
      </w:r>
      <w:r w:rsidRPr="00381DA2">
        <w:rPr>
          <w:rFonts w:asciiTheme="majorHAnsi" w:hAnsiTheme="majorHAnsi" w:cstheme="minorHAnsi"/>
          <w:sz w:val="24"/>
          <w:szCs w:val="24"/>
        </w:rPr>
        <w:t xml:space="preserve">decizii înaintate în sumă de </w:t>
      </w:r>
      <w:r w:rsidR="00B541AF" w:rsidRPr="00381DA2">
        <w:rPr>
          <w:rFonts w:asciiTheme="majorHAnsi" w:hAnsiTheme="majorHAnsi" w:cstheme="minorHAnsi"/>
          <w:sz w:val="24"/>
          <w:szCs w:val="24"/>
        </w:rPr>
        <w:t>435,4</w:t>
      </w:r>
      <w:r w:rsidRPr="00381DA2">
        <w:rPr>
          <w:rFonts w:asciiTheme="majorHAnsi" w:hAnsiTheme="majorHAnsi" w:cstheme="minorHAnsi"/>
          <w:sz w:val="24"/>
          <w:szCs w:val="24"/>
        </w:rPr>
        <w:t xml:space="preserve"> mii lei, ceea ce consti</w:t>
      </w:r>
      <w:r w:rsidR="00B541AF" w:rsidRPr="00381DA2">
        <w:rPr>
          <w:rFonts w:asciiTheme="majorHAnsi" w:hAnsiTheme="majorHAnsi" w:cstheme="minorHAnsi"/>
          <w:sz w:val="24"/>
          <w:szCs w:val="24"/>
        </w:rPr>
        <w:t>tuie 52</w:t>
      </w:r>
      <w:r w:rsidRPr="00381DA2">
        <w:rPr>
          <w:rFonts w:asciiTheme="majorHAnsi" w:hAnsiTheme="majorHAnsi" w:cstheme="minorHAnsi"/>
          <w:sz w:val="24"/>
          <w:szCs w:val="24"/>
        </w:rPr>
        <w:t>%.</w:t>
      </w:r>
      <w:r w:rsidR="00940844" w:rsidRPr="00381DA2">
        <w:rPr>
          <w:rFonts w:asciiTheme="majorHAnsi" w:hAnsiTheme="majorHAnsi" w:cstheme="minorHAnsi"/>
          <w:sz w:val="24"/>
          <w:szCs w:val="24"/>
        </w:rPr>
        <w:t xml:space="preserve"> </w:t>
      </w:r>
      <w:r w:rsidR="00BF05F7">
        <w:rPr>
          <w:rFonts w:asciiTheme="majorHAnsi" w:hAnsiTheme="majorHAnsi" w:cstheme="minorHAnsi"/>
          <w:sz w:val="24"/>
          <w:szCs w:val="24"/>
        </w:rPr>
        <w:t>Informații</w:t>
      </w:r>
      <w:r w:rsidR="00BF05F7" w:rsidRPr="00381DA2">
        <w:rPr>
          <w:rFonts w:asciiTheme="majorHAnsi" w:hAnsiTheme="majorHAnsi" w:cstheme="minorHAnsi"/>
          <w:sz w:val="24"/>
          <w:szCs w:val="24"/>
        </w:rPr>
        <w:t xml:space="preserve"> </w:t>
      </w:r>
      <w:r w:rsidR="00940844" w:rsidRPr="00381DA2">
        <w:rPr>
          <w:rFonts w:asciiTheme="majorHAnsi" w:hAnsiTheme="majorHAnsi" w:cstheme="minorHAnsi"/>
          <w:sz w:val="24"/>
          <w:szCs w:val="24"/>
        </w:rPr>
        <w:t xml:space="preserve">detaliate se prezintă în </w:t>
      </w:r>
      <w:r w:rsidRPr="00381DA2">
        <w:rPr>
          <w:rFonts w:asciiTheme="majorHAnsi" w:hAnsiTheme="majorHAnsi" w:cstheme="minorHAnsi"/>
          <w:sz w:val="24"/>
          <w:szCs w:val="24"/>
        </w:rPr>
        <w:t>Anexa nr.</w:t>
      </w:r>
      <w:r w:rsidR="00856765" w:rsidRPr="00381DA2">
        <w:rPr>
          <w:rFonts w:asciiTheme="majorHAnsi" w:hAnsiTheme="majorHAnsi" w:cstheme="minorHAnsi"/>
          <w:sz w:val="24"/>
          <w:szCs w:val="24"/>
        </w:rPr>
        <w:t>6</w:t>
      </w:r>
      <w:r w:rsidRPr="00381DA2">
        <w:rPr>
          <w:rFonts w:asciiTheme="majorHAnsi" w:hAnsiTheme="majorHAnsi" w:cstheme="minorHAnsi"/>
          <w:sz w:val="24"/>
          <w:szCs w:val="24"/>
        </w:rPr>
        <w:t xml:space="preserve"> la </w:t>
      </w:r>
      <w:r w:rsidR="007A6D44">
        <w:rPr>
          <w:rFonts w:asciiTheme="majorHAnsi" w:hAnsiTheme="majorHAnsi" w:cstheme="minorHAnsi"/>
          <w:sz w:val="24"/>
          <w:szCs w:val="24"/>
        </w:rPr>
        <w:t xml:space="preserve">prezentul </w:t>
      </w:r>
      <w:r w:rsidRPr="00381DA2">
        <w:rPr>
          <w:rFonts w:asciiTheme="majorHAnsi" w:hAnsiTheme="majorHAnsi" w:cstheme="minorHAnsi"/>
          <w:sz w:val="24"/>
          <w:szCs w:val="24"/>
        </w:rPr>
        <w:t>Raport de audit.</w:t>
      </w:r>
    </w:p>
    <w:p w14:paraId="7897F705" w14:textId="6C4E97A1" w:rsidR="00FE4605" w:rsidRPr="00381DA2" w:rsidRDefault="00FE4605"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De</w:t>
      </w:r>
      <w:r w:rsidRPr="00381DA2">
        <w:rPr>
          <w:rFonts w:asciiTheme="majorHAnsi" w:hAnsiTheme="majorHAnsi" w:cstheme="minorHAnsi"/>
          <w:sz w:val="24"/>
          <w:szCs w:val="24"/>
          <w:lang w:val="ro-RO"/>
        </w:rPr>
        <w:t xml:space="preserve">și </w:t>
      </w:r>
      <w:r w:rsidRPr="00381DA2">
        <w:rPr>
          <w:rFonts w:asciiTheme="majorHAnsi" w:hAnsiTheme="majorHAnsi" w:cstheme="minorHAnsi"/>
          <w:sz w:val="24"/>
          <w:szCs w:val="24"/>
        </w:rPr>
        <w:t xml:space="preserve">datele menționate relevă că  OT ale CNAJGS au întreprins unele acțiuni de calculare și încasare la buget a datoriilor generate </w:t>
      </w:r>
      <w:r w:rsidR="00BF05F7">
        <w:rPr>
          <w:rFonts w:asciiTheme="majorHAnsi" w:hAnsiTheme="majorHAnsi" w:cstheme="minorHAnsi"/>
          <w:sz w:val="24"/>
          <w:szCs w:val="24"/>
        </w:rPr>
        <w:t xml:space="preserve">ca </w:t>
      </w:r>
      <w:r w:rsidRPr="00381DA2">
        <w:rPr>
          <w:rFonts w:asciiTheme="majorHAnsi" w:hAnsiTheme="majorHAnsi" w:cstheme="minorHAnsi"/>
          <w:sz w:val="24"/>
          <w:szCs w:val="24"/>
        </w:rPr>
        <w:t xml:space="preserve">urmare </w:t>
      </w:r>
      <w:r w:rsidR="00BF05F7">
        <w:rPr>
          <w:rFonts w:asciiTheme="majorHAnsi" w:hAnsiTheme="majorHAnsi" w:cstheme="minorHAnsi"/>
          <w:sz w:val="24"/>
          <w:szCs w:val="24"/>
        </w:rPr>
        <w:t>a</w:t>
      </w:r>
      <w:r w:rsidRPr="00381DA2">
        <w:rPr>
          <w:rFonts w:asciiTheme="majorHAnsi" w:hAnsiTheme="majorHAnsi" w:cstheme="minorHAnsi"/>
          <w:sz w:val="24"/>
          <w:szCs w:val="24"/>
        </w:rPr>
        <w:t xml:space="preserve"> recuperării cheltuielilor juridic</w:t>
      </w:r>
      <w:r w:rsidR="00AE4E5D" w:rsidRPr="00381DA2">
        <w:rPr>
          <w:rFonts w:asciiTheme="majorHAnsi" w:hAnsiTheme="majorHAnsi" w:cstheme="minorHAnsi"/>
          <w:sz w:val="24"/>
          <w:szCs w:val="24"/>
        </w:rPr>
        <w:t>e</w:t>
      </w:r>
      <w:r w:rsidRPr="00381DA2">
        <w:rPr>
          <w:rFonts w:asciiTheme="majorHAnsi" w:hAnsiTheme="majorHAnsi" w:cstheme="minorHAnsi"/>
          <w:sz w:val="24"/>
          <w:szCs w:val="24"/>
        </w:rPr>
        <w:t xml:space="preserve">, totuși, instituțiile vizate au întâmpinat dificultăți semnificative în ceea ce privește identificarea tuturor cazurilor care impun recuperarea cheltuielilor, verificarea informațiilor privind veniturile beneficiarilor și motivarea deciziilor de recuperare a cheltuielilor, alte aspecte tehnice și de executare silită. </w:t>
      </w:r>
    </w:p>
    <w:p w14:paraId="78EC7219" w14:textId="6D401F3F" w:rsidR="00FE4605" w:rsidRPr="00381DA2" w:rsidRDefault="00FE4605" w:rsidP="003A66EF">
      <w:pPr>
        <w:autoSpaceDE w:val="0"/>
        <w:autoSpaceDN w:val="0"/>
        <w:adjustRightInd w:val="0"/>
        <w:spacing w:after="0" w:line="276" w:lineRule="auto"/>
        <w:jc w:val="both"/>
        <w:rPr>
          <w:rFonts w:asciiTheme="majorHAnsi" w:hAnsiTheme="majorHAnsi" w:cstheme="minorHAnsi"/>
          <w:sz w:val="24"/>
          <w:szCs w:val="24"/>
          <w:lang w:val="en-US"/>
        </w:rPr>
      </w:pPr>
      <w:r w:rsidRPr="00381DA2">
        <w:rPr>
          <w:rFonts w:asciiTheme="majorHAnsi" w:hAnsiTheme="majorHAnsi" w:cstheme="minorHAnsi"/>
          <w:sz w:val="24"/>
          <w:szCs w:val="24"/>
        </w:rPr>
        <w:t xml:space="preserve">În principal, cele menționate au fost determinate atât de lipsa unui cadru normativ-juridic comprehensiv care să asigure funcționalitatea procesului de încasare la buget a mijloacelor recuperabile, nealocarea unor mijloace financiare suplimentare destinate executării silite a </w:t>
      </w:r>
      <w:r w:rsidRPr="00381DA2">
        <w:rPr>
          <w:rFonts w:asciiTheme="majorHAnsi" w:hAnsiTheme="majorHAnsi" w:cstheme="minorHAnsi"/>
          <w:sz w:val="24"/>
          <w:szCs w:val="24"/>
        </w:rPr>
        <w:lastRenderedPageBreak/>
        <w:t>datoriilor respective, cât și neimplementarea componentelor de control intern pe aceast</w:t>
      </w:r>
      <w:r w:rsidR="003B2630">
        <w:rPr>
          <w:rFonts w:asciiTheme="majorHAnsi" w:hAnsiTheme="majorHAnsi" w:cstheme="minorHAnsi"/>
          <w:sz w:val="24"/>
          <w:szCs w:val="24"/>
        </w:rPr>
        <w:t>ă</w:t>
      </w:r>
      <w:r w:rsidRPr="00381DA2">
        <w:rPr>
          <w:rFonts w:asciiTheme="majorHAnsi" w:hAnsiTheme="majorHAnsi" w:cstheme="minorHAnsi"/>
          <w:sz w:val="24"/>
          <w:szCs w:val="24"/>
        </w:rPr>
        <w:t xml:space="preserve"> dimensiune.</w:t>
      </w:r>
    </w:p>
    <w:p w14:paraId="21E22FE1" w14:textId="4FFB9AB0" w:rsidR="00FE4605" w:rsidRPr="00381DA2" w:rsidRDefault="003B2630" w:rsidP="003A66EF">
      <w:pPr>
        <w:autoSpaceDE w:val="0"/>
        <w:autoSpaceDN w:val="0"/>
        <w:adjustRightInd w:val="0"/>
        <w:spacing w:after="120" w:line="276" w:lineRule="auto"/>
        <w:jc w:val="both"/>
        <w:rPr>
          <w:rFonts w:asciiTheme="majorHAnsi" w:hAnsiTheme="majorHAnsi" w:cstheme="minorHAnsi"/>
          <w:sz w:val="24"/>
          <w:szCs w:val="24"/>
        </w:rPr>
      </w:pPr>
      <w:r>
        <w:rPr>
          <w:rFonts w:asciiTheme="majorHAnsi" w:hAnsiTheme="majorHAnsi" w:cstheme="minorHAnsi"/>
          <w:sz w:val="24"/>
          <w:szCs w:val="24"/>
        </w:rPr>
        <w:t>Pe</w:t>
      </w:r>
      <w:r w:rsidR="00FE4605" w:rsidRPr="00381DA2">
        <w:rPr>
          <w:rFonts w:asciiTheme="majorHAnsi" w:hAnsiTheme="majorHAnsi" w:cstheme="minorHAnsi"/>
          <w:sz w:val="24"/>
          <w:szCs w:val="24"/>
        </w:rPr>
        <w:t>ntru argumentarea celor expuse</w:t>
      </w:r>
      <w:r>
        <w:rPr>
          <w:rFonts w:asciiTheme="majorHAnsi" w:hAnsiTheme="majorHAnsi" w:cstheme="minorHAnsi"/>
          <w:sz w:val="24"/>
          <w:szCs w:val="24"/>
        </w:rPr>
        <w:t>,</w:t>
      </w:r>
      <w:r w:rsidR="00FE4605" w:rsidRPr="00381DA2">
        <w:rPr>
          <w:rFonts w:asciiTheme="majorHAnsi" w:hAnsiTheme="majorHAnsi" w:cstheme="minorHAnsi"/>
          <w:sz w:val="24"/>
          <w:szCs w:val="24"/>
        </w:rPr>
        <w:t xml:space="preserve"> se exemplifică următoarele:</w:t>
      </w:r>
    </w:p>
    <w:p w14:paraId="7D539BE2" w14:textId="03BA2A60" w:rsidR="00FE4605" w:rsidRPr="00381DA2" w:rsidRDefault="00FE4605" w:rsidP="003A66EF">
      <w:pPr>
        <w:pStyle w:val="ListParagraph"/>
        <w:numPr>
          <w:ilvl w:val="0"/>
          <w:numId w:val="18"/>
        </w:numPr>
        <w:autoSpaceDE w:val="0"/>
        <w:autoSpaceDN w:val="0"/>
        <w:adjustRightInd w:val="0"/>
        <w:spacing w:after="120" w:line="276" w:lineRule="auto"/>
        <w:ind w:left="907"/>
        <w:contextualSpacing w:val="0"/>
        <w:jc w:val="both"/>
        <w:rPr>
          <w:rFonts w:asciiTheme="majorHAnsi" w:hAnsiTheme="majorHAnsi" w:cstheme="minorHAnsi"/>
          <w:sz w:val="24"/>
          <w:szCs w:val="24"/>
        </w:rPr>
      </w:pPr>
      <w:r w:rsidRPr="00381DA2">
        <w:rPr>
          <w:rFonts w:asciiTheme="majorHAnsi" w:hAnsiTheme="majorHAnsi" w:cstheme="minorHAnsi"/>
          <w:sz w:val="24"/>
          <w:szCs w:val="24"/>
          <w:lang w:val="ro-MD"/>
        </w:rPr>
        <w:t xml:space="preserve">CNAJGS nu a asigurat elaborarea unui act normativ intern care ar prevedea </w:t>
      </w:r>
      <w:r w:rsidRPr="00381DA2">
        <w:rPr>
          <w:rFonts w:asciiTheme="majorHAnsi" w:hAnsiTheme="majorHAnsi" w:cstheme="minorHAnsi"/>
          <w:sz w:val="24"/>
          <w:szCs w:val="24"/>
        </w:rPr>
        <w:t xml:space="preserve">mecanismul de recuperare a cheltuielilor, inclusiv stabilirea unor proceduri clare pentru angajații OT ale CNAJGS referitor la identificarea cazurilor pasibile restituirii și aplicarea uniformă a regulilor de încasare a sumei de asistență juridică garantă acordată. </w:t>
      </w:r>
      <w:r w:rsidR="003B2630">
        <w:rPr>
          <w:rFonts w:asciiTheme="majorHAnsi" w:hAnsiTheme="majorHAnsi" w:cstheme="minorHAnsi"/>
          <w:sz w:val="24"/>
          <w:szCs w:val="24"/>
        </w:rPr>
        <w:t>Ca u</w:t>
      </w:r>
      <w:r w:rsidRPr="00381DA2">
        <w:rPr>
          <w:rFonts w:asciiTheme="majorHAnsi" w:hAnsiTheme="majorHAnsi" w:cstheme="minorHAnsi"/>
          <w:sz w:val="24"/>
          <w:szCs w:val="24"/>
        </w:rPr>
        <w:t xml:space="preserve">rmare </w:t>
      </w:r>
      <w:r w:rsidR="003B2630">
        <w:rPr>
          <w:rFonts w:asciiTheme="majorHAnsi" w:hAnsiTheme="majorHAnsi" w:cstheme="minorHAnsi"/>
          <w:sz w:val="24"/>
          <w:szCs w:val="24"/>
        </w:rPr>
        <w:t xml:space="preserve">a </w:t>
      </w:r>
      <w:r w:rsidRPr="00381DA2">
        <w:rPr>
          <w:rFonts w:asciiTheme="majorHAnsi" w:hAnsiTheme="majorHAnsi" w:cstheme="minorHAnsi"/>
          <w:sz w:val="24"/>
          <w:szCs w:val="24"/>
        </w:rPr>
        <w:t xml:space="preserve">aplicării </w:t>
      </w:r>
      <w:r w:rsidRPr="002E3358">
        <w:rPr>
          <w:rFonts w:asciiTheme="majorHAnsi" w:hAnsiTheme="majorHAnsi" w:cstheme="minorHAnsi"/>
          <w:sz w:val="24"/>
          <w:szCs w:val="24"/>
        </w:rPr>
        <w:t>testelor</w:t>
      </w:r>
      <w:r w:rsidR="003B2630" w:rsidRPr="002E3358">
        <w:rPr>
          <w:rFonts w:asciiTheme="majorHAnsi" w:hAnsiTheme="majorHAnsi" w:cstheme="minorHAnsi"/>
          <w:sz w:val="24"/>
          <w:szCs w:val="24"/>
        </w:rPr>
        <w:t xml:space="preserve"> de audit</w:t>
      </w:r>
      <w:r w:rsidRPr="002E3358">
        <w:rPr>
          <w:rFonts w:asciiTheme="majorHAnsi" w:hAnsiTheme="majorHAnsi" w:cstheme="minorHAnsi"/>
          <w:sz w:val="24"/>
          <w:szCs w:val="24"/>
        </w:rPr>
        <w:t>, au fost</w:t>
      </w:r>
      <w:r w:rsidRPr="00381DA2">
        <w:rPr>
          <w:rFonts w:asciiTheme="majorHAnsi" w:hAnsiTheme="majorHAnsi" w:cstheme="minorHAnsi"/>
          <w:sz w:val="24"/>
          <w:szCs w:val="24"/>
        </w:rPr>
        <w:t xml:space="preserve"> stabilite 24 </w:t>
      </w:r>
      <w:r w:rsidR="003B2630">
        <w:rPr>
          <w:rFonts w:asciiTheme="majorHAnsi" w:hAnsiTheme="majorHAnsi" w:cstheme="minorHAnsi"/>
          <w:sz w:val="24"/>
          <w:szCs w:val="24"/>
        </w:rPr>
        <w:t xml:space="preserve">de </w:t>
      </w:r>
      <w:r w:rsidRPr="00381DA2">
        <w:rPr>
          <w:rFonts w:asciiTheme="majorHAnsi" w:hAnsiTheme="majorHAnsi" w:cstheme="minorHAnsi"/>
          <w:sz w:val="24"/>
          <w:szCs w:val="24"/>
        </w:rPr>
        <w:t>cazuri în sumă de 32,0 mii lei, sau ceea ce constituie circa 10% din eșantionul verificat, fapt ce denotă că neconformitatea este una sistemică</w:t>
      </w:r>
      <w:r w:rsidR="003B2630">
        <w:rPr>
          <w:rFonts w:asciiTheme="majorHAnsi" w:hAnsiTheme="majorHAnsi" w:cstheme="minorHAnsi"/>
          <w:sz w:val="24"/>
          <w:szCs w:val="24"/>
        </w:rPr>
        <w:t>;</w:t>
      </w:r>
      <w:r w:rsidR="00B541AF" w:rsidRPr="00381DA2">
        <w:rPr>
          <w:rFonts w:asciiTheme="majorHAnsi" w:hAnsiTheme="majorHAnsi" w:cstheme="minorHAnsi"/>
          <w:sz w:val="24"/>
          <w:szCs w:val="24"/>
        </w:rPr>
        <w:t xml:space="preserve"> </w:t>
      </w:r>
      <w:r w:rsidRPr="00381DA2">
        <w:rPr>
          <w:rFonts w:asciiTheme="majorHAnsi" w:hAnsiTheme="majorHAnsi" w:cstheme="minorHAnsi"/>
          <w:sz w:val="24"/>
          <w:szCs w:val="24"/>
        </w:rPr>
        <w:t xml:space="preserve"> </w:t>
      </w:r>
    </w:p>
    <w:p w14:paraId="0B902271" w14:textId="60F21428" w:rsidR="00FE4605" w:rsidRPr="00381DA2" w:rsidRDefault="003B2630" w:rsidP="003A66EF">
      <w:pPr>
        <w:pStyle w:val="ListParagraph"/>
        <w:numPr>
          <w:ilvl w:val="0"/>
          <w:numId w:val="18"/>
        </w:numPr>
        <w:autoSpaceDE w:val="0"/>
        <w:autoSpaceDN w:val="0"/>
        <w:adjustRightInd w:val="0"/>
        <w:spacing w:after="120" w:line="276" w:lineRule="auto"/>
        <w:ind w:left="907"/>
        <w:contextualSpacing w:val="0"/>
        <w:jc w:val="both"/>
        <w:rPr>
          <w:rFonts w:asciiTheme="majorHAnsi" w:hAnsiTheme="majorHAnsi" w:cstheme="minorHAnsi"/>
          <w:sz w:val="24"/>
          <w:szCs w:val="24"/>
          <w:lang w:val="ro-MD"/>
        </w:rPr>
      </w:pPr>
      <w:r>
        <w:rPr>
          <w:rFonts w:asciiTheme="majorHAnsi" w:hAnsiTheme="majorHAnsi" w:cstheme="minorHAnsi"/>
          <w:sz w:val="24"/>
          <w:szCs w:val="24"/>
        </w:rPr>
        <w:t>î</w:t>
      </w:r>
      <w:r w:rsidR="00FE4605" w:rsidRPr="00381DA2">
        <w:rPr>
          <w:rFonts w:asciiTheme="majorHAnsi" w:hAnsiTheme="majorHAnsi" w:cstheme="minorHAnsi"/>
          <w:sz w:val="24"/>
          <w:szCs w:val="24"/>
        </w:rPr>
        <w:t xml:space="preserve">n pofida </w:t>
      </w:r>
      <w:r w:rsidR="00633621">
        <w:rPr>
          <w:rFonts w:asciiTheme="majorHAnsi" w:hAnsiTheme="majorHAnsi" w:cstheme="minorHAnsi"/>
          <w:sz w:val="24"/>
          <w:szCs w:val="24"/>
          <w:lang w:val="ro-MD"/>
        </w:rPr>
        <w:t xml:space="preserve">modificărilor operate </w:t>
      </w:r>
      <w:r w:rsidR="00633621" w:rsidRPr="00633621">
        <w:rPr>
          <w:rFonts w:asciiTheme="majorHAnsi" w:hAnsiTheme="majorHAnsi" w:cstheme="minorHAnsi"/>
          <w:sz w:val="24"/>
          <w:szCs w:val="24"/>
          <w:lang w:val="ro-MD"/>
        </w:rPr>
        <w:t xml:space="preserve">la art. 23 din Legea nr. 198/2OO7 în anul 2016, </w:t>
      </w:r>
      <w:r w:rsidR="00FE4605" w:rsidRPr="00381DA2">
        <w:rPr>
          <w:rFonts w:asciiTheme="majorHAnsi" w:hAnsiTheme="majorHAnsi" w:cstheme="minorHAnsi"/>
          <w:sz w:val="24"/>
          <w:szCs w:val="24"/>
          <w:lang w:val="ro-MD"/>
        </w:rPr>
        <w:t xml:space="preserve">a fost  instituită  ordinea recuperării silite a cheltuielilor de asistență juridică garantată de stat, în perioada audită instrumentul respectiv </w:t>
      </w:r>
      <w:r w:rsidR="00077DDC">
        <w:rPr>
          <w:rFonts w:asciiTheme="majorHAnsi" w:hAnsiTheme="majorHAnsi" w:cstheme="minorHAnsi"/>
          <w:sz w:val="24"/>
          <w:szCs w:val="24"/>
          <w:lang w:val="ro-MD"/>
        </w:rPr>
        <w:t>nefiind</w:t>
      </w:r>
      <w:r w:rsidR="00FE4605" w:rsidRPr="00381DA2">
        <w:rPr>
          <w:rFonts w:asciiTheme="majorHAnsi" w:hAnsiTheme="majorHAnsi" w:cstheme="minorHAnsi"/>
          <w:sz w:val="24"/>
          <w:szCs w:val="24"/>
          <w:lang w:val="ro-MD"/>
        </w:rPr>
        <w:t xml:space="preserve"> utilizat eficient de către OT la executare</w:t>
      </w:r>
      <w:r w:rsidR="00633621">
        <w:rPr>
          <w:rFonts w:asciiTheme="majorHAnsi" w:hAnsiTheme="majorHAnsi" w:cstheme="minorHAnsi"/>
          <w:sz w:val="24"/>
          <w:szCs w:val="24"/>
          <w:lang w:val="ro-MD"/>
        </w:rPr>
        <w:t>a</w:t>
      </w:r>
      <w:r w:rsidR="00FE4605" w:rsidRPr="00381DA2">
        <w:rPr>
          <w:rFonts w:asciiTheme="majorHAnsi" w:hAnsiTheme="majorHAnsi" w:cstheme="minorHAnsi"/>
          <w:sz w:val="24"/>
          <w:szCs w:val="24"/>
          <w:lang w:val="ro-MD"/>
        </w:rPr>
        <w:t xml:space="preserve"> silită a datoriilor neachitate benevol de beneficiarii AJGS. </w:t>
      </w:r>
      <w:r w:rsidR="00C11300" w:rsidRPr="00381DA2">
        <w:rPr>
          <w:rFonts w:asciiTheme="majorHAnsi" w:hAnsiTheme="majorHAnsi" w:cstheme="minorHAnsi"/>
          <w:sz w:val="24"/>
          <w:szCs w:val="24"/>
          <w:lang w:val="ro-MD"/>
        </w:rPr>
        <w:t xml:space="preserve">Funcționalitatea deficitară a </w:t>
      </w:r>
      <w:r w:rsidR="00FE4605" w:rsidRPr="00381DA2">
        <w:rPr>
          <w:rFonts w:asciiTheme="majorHAnsi" w:hAnsiTheme="majorHAnsi" w:cstheme="minorHAnsi"/>
          <w:sz w:val="24"/>
          <w:szCs w:val="24"/>
        </w:rPr>
        <w:t xml:space="preserve">mecanismului respectiv se confirmă și prin nivelul redus de încasare la buget a sumelor suportate în legătură cu acordarea </w:t>
      </w:r>
      <w:r w:rsidR="00633621">
        <w:rPr>
          <w:rFonts w:asciiTheme="majorHAnsi" w:hAnsiTheme="majorHAnsi" w:cstheme="minorHAnsi"/>
          <w:sz w:val="24"/>
          <w:szCs w:val="24"/>
        </w:rPr>
        <w:t>suportului</w:t>
      </w:r>
      <w:r w:rsidR="00FE4605" w:rsidRPr="00381DA2">
        <w:rPr>
          <w:rFonts w:asciiTheme="majorHAnsi" w:hAnsiTheme="majorHAnsi" w:cstheme="minorHAnsi"/>
          <w:sz w:val="24"/>
          <w:szCs w:val="24"/>
        </w:rPr>
        <w:t xml:space="preserve"> juridic sau</w:t>
      </w:r>
      <w:r w:rsidR="00DB2FF1">
        <w:rPr>
          <w:rFonts w:asciiTheme="majorHAnsi" w:hAnsiTheme="majorHAnsi" w:cstheme="minorHAnsi"/>
          <w:sz w:val="24"/>
          <w:szCs w:val="24"/>
        </w:rPr>
        <w:t>,</w:t>
      </w:r>
      <w:r w:rsidR="00FE4605" w:rsidRPr="00381DA2">
        <w:rPr>
          <w:rFonts w:asciiTheme="majorHAnsi" w:hAnsiTheme="majorHAnsi" w:cstheme="minorHAnsi"/>
          <w:sz w:val="24"/>
          <w:szCs w:val="24"/>
        </w:rPr>
        <w:t xml:space="preserve"> în perioada auditată, ponderea de încasare </w:t>
      </w:r>
      <w:r w:rsidR="00633621">
        <w:rPr>
          <w:rFonts w:asciiTheme="majorHAnsi" w:hAnsiTheme="majorHAnsi" w:cstheme="minorHAnsi"/>
          <w:sz w:val="24"/>
          <w:szCs w:val="24"/>
        </w:rPr>
        <w:t xml:space="preserve">a acestora la buget </w:t>
      </w:r>
      <w:r w:rsidR="00614BDF" w:rsidRPr="00381DA2">
        <w:rPr>
          <w:rFonts w:asciiTheme="majorHAnsi" w:hAnsiTheme="majorHAnsi" w:cstheme="minorHAnsi"/>
          <w:sz w:val="24"/>
          <w:szCs w:val="24"/>
        </w:rPr>
        <w:t>a constituit doar 52</w:t>
      </w:r>
      <w:r w:rsidR="00FE4605" w:rsidRPr="00381DA2">
        <w:rPr>
          <w:rFonts w:asciiTheme="majorHAnsi" w:hAnsiTheme="majorHAnsi" w:cstheme="minorHAnsi"/>
          <w:sz w:val="24"/>
          <w:szCs w:val="24"/>
        </w:rPr>
        <w:t xml:space="preserve">% din suma calculată. </w:t>
      </w:r>
      <w:r w:rsidR="00FE4605" w:rsidRPr="00381DA2">
        <w:rPr>
          <w:rFonts w:asciiTheme="majorHAnsi" w:hAnsiTheme="majorHAnsi" w:cstheme="minorHAnsi"/>
          <w:sz w:val="24"/>
          <w:szCs w:val="24"/>
          <w:lang w:val="ro-MD"/>
        </w:rPr>
        <w:t>Pentru derularea procedur</w:t>
      </w:r>
      <w:r w:rsidR="00633621">
        <w:rPr>
          <w:rFonts w:asciiTheme="majorHAnsi" w:hAnsiTheme="majorHAnsi" w:cstheme="minorHAnsi"/>
          <w:sz w:val="24"/>
          <w:szCs w:val="24"/>
          <w:lang w:val="ro-MD"/>
        </w:rPr>
        <w:t>i</w:t>
      </w:r>
      <w:r w:rsidR="00DB2FF1">
        <w:rPr>
          <w:rFonts w:asciiTheme="majorHAnsi" w:hAnsiTheme="majorHAnsi" w:cstheme="minorHAnsi"/>
          <w:sz w:val="24"/>
          <w:szCs w:val="24"/>
          <w:lang w:val="ro-MD"/>
        </w:rPr>
        <w:t>i</w:t>
      </w:r>
      <w:r w:rsidR="00633621">
        <w:rPr>
          <w:rFonts w:asciiTheme="majorHAnsi" w:hAnsiTheme="majorHAnsi" w:cstheme="minorHAnsi"/>
          <w:sz w:val="24"/>
          <w:szCs w:val="24"/>
          <w:lang w:val="ro-MD"/>
        </w:rPr>
        <w:t xml:space="preserve"> respective</w:t>
      </w:r>
      <w:r w:rsidR="00FE4605" w:rsidRPr="00381DA2">
        <w:rPr>
          <w:rFonts w:asciiTheme="majorHAnsi" w:hAnsiTheme="majorHAnsi" w:cstheme="minorHAnsi"/>
          <w:sz w:val="24"/>
          <w:szCs w:val="24"/>
          <w:lang w:val="ro-MD"/>
        </w:rPr>
        <w:t xml:space="preserve"> este nevoie de avansarea de către OT a cheltuielilor de executare, prin transferarea acestora </w:t>
      </w:r>
      <w:r w:rsidR="00633621">
        <w:rPr>
          <w:rFonts w:asciiTheme="majorHAnsi" w:hAnsiTheme="majorHAnsi" w:cstheme="minorHAnsi"/>
          <w:sz w:val="24"/>
          <w:szCs w:val="24"/>
          <w:lang w:val="ro-MD"/>
        </w:rPr>
        <w:t>î</w:t>
      </w:r>
      <w:r w:rsidR="00FE4605" w:rsidRPr="00381DA2">
        <w:rPr>
          <w:rFonts w:asciiTheme="majorHAnsi" w:hAnsiTheme="majorHAnsi" w:cstheme="minorHAnsi"/>
          <w:sz w:val="24"/>
          <w:szCs w:val="24"/>
          <w:lang w:val="ro-MD"/>
        </w:rPr>
        <w:t xml:space="preserve">n contul executorului judecătoresc, însă OT ale CNAJGS nefiindu-le alocate surse în aceste scopuri. Ca rezultat, </w:t>
      </w:r>
      <w:r w:rsidR="00FE4605" w:rsidRPr="00DB2FF1">
        <w:rPr>
          <w:rFonts w:asciiTheme="majorHAnsi" w:hAnsiTheme="majorHAnsi" w:cstheme="minorHAnsi"/>
          <w:sz w:val="24"/>
          <w:szCs w:val="24"/>
          <w:lang w:val="ro-MD"/>
        </w:rPr>
        <w:t xml:space="preserve">în multiple </w:t>
      </w:r>
      <w:r w:rsidR="00FE4605" w:rsidRPr="002E3358">
        <w:rPr>
          <w:rFonts w:asciiTheme="majorHAnsi" w:hAnsiTheme="majorHAnsi" w:cstheme="minorHAnsi"/>
          <w:sz w:val="24"/>
          <w:szCs w:val="24"/>
          <w:lang w:val="ro-MD"/>
        </w:rPr>
        <w:t xml:space="preserve">cazuri executorii judecătorești </w:t>
      </w:r>
      <w:r w:rsidR="00FE4605" w:rsidRPr="00DB2FF1">
        <w:rPr>
          <w:rFonts w:asciiTheme="majorHAnsi" w:hAnsiTheme="majorHAnsi" w:cstheme="minorHAnsi"/>
          <w:sz w:val="24"/>
          <w:szCs w:val="24"/>
          <w:lang w:val="ro-MD"/>
        </w:rPr>
        <w:t xml:space="preserve">au refuzat intentarea procedurii silite și </w:t>
      </w:r>
      <w:r w:rsidR="00FE4605" w:rsidRPr="00381DA2">
        <w:rPr>
          <w:rFonts w:asciiTheme="majorHAnsi" w:hAnsiTheme="majorHAnsi" w:cstheme="minorHAnsi"/>
          <w:sz w:val="24"/>
          <w:szCs w:val="24"/>
          <w:lang w:val="ro-MD"/>
        </w:rPr>
        <w:t xml:space="preserve">încasarea mijloacelor la buget. </w:t>
      </w:r>
      <w:r w:rsidR="00FE4605" w:rsidRPr="00381DA2">
        <w:rPr>
          <w:rFonts w:asciiTheme="majorHAnsi" w:hAnsiTheme="majorHAnsi" w:cstheme="minorHAnsi"/>
          <w:sz w:val="24"/>
          <w:szCs w:val="24"/>
        </w:rPr>
        <w:t>Acest fapt a determinat CNAJGS</w:t>
      </w:r>
      <w:r w:rsidR="00DB2FF1">
        <w:rPr>
          <w:rFonts w:asciiTheme="majorHAnsi" w:hAnsiTheme="majorHAnsi" w:cstheme="minorHAnsi"/>
          <w:sz w:val="24"/>
          <w:szCs w:val="24"/>
        </w:rPr>
        <w:t>,</w:t>
      </w:r>
      <w:r w:rsidR="00FE4605" w:rsidRPr="00381DA2">
        <w:rPr>
          <w:rFonts w:asciiTheme="majorHAnsi" w:hAnsiTheme="majorHAnsi" w:cstheme="minorHAnsi"/>
          <w:sz w:val="24"/>
          <w:szCs w:val="24"/>
        </w:rPr>
        <w:t xml:space="preserve"> în comun cu MJ</w:t>
      </w:r>
      <w:r w:rsidR="00DB2FF1">
        <w:rPr>
          <w:rFonts w:asciiTheme="majorHAnsi" w:hAnsiTheme="majorHAnsi" w:cstheme="minorHAnsi"/>
          <w:sz w:val="24"/>
          <w:szCs w:val="24"/>
        </w:rPr>
        <w:t>,</w:t>
      </w:r>
      <w:r w:rsidR="00FE4605" w:rsidRPr="00381DA2">
        <w:rPr>
          <w:rFonts w:asciiTheme="majorHAnsi" w:hAnsiTheme="majorHAnsi" w:cstheme="minorHAnsi"/>
          <w:sz w:val="24"/>
          <w:szCs w:val="24"/>
        </w:rPr>
        <w:t xml:space="preserve"> să propună o nouă opțiune de implementare a mecanismului de recuperare a cheltuielilor. Astfel, </w:t>
      </w:r>
      <w:r w:rsidR="00DB2FF1">
        <w:rPr>
          <w:rFonts w:asciiTheme="majorHAnsi" w:hAnsiTheme="majorHAnsi" w:cstheme="minorHAnsi"/>
          <w:sz w:val="24"/>
          <w:szCs w:val="24"/>
        </w:rPr>
        <w:t>î</w:t>
      </w:r>
      <w:r w:rsidR="00FE4605" w:rsidRPr="00381DA2">
        <w:rPr>
          <w:rFonts w:asciiTheme="majorHAnsi" w:hAnsiTheme="majorHAnsi" w:cstheme="minorHAnsi"/>
          <w:sz w:val="24"/>
          <w:szCs w:val="24"/>
        </w:rPr>
        <w:t xml:space="preserve">n cazurile </w:t>
      </w:r>
      <w:r w:rsidR="00DB2FF1">
        <w:rPr>
          <w:rFonts w:asciiTheme="majorHAnsi" w:hAnsiTheme="majorHAnsi" w:cstheme="minorHAnsi"/>
          <w:sz w:val="24"/>
          <w:szCs w:val="24"/>
        </w:rPr>
        <w:t>î</w:t>
      </w:r>
      <w:r w:rsidR="00FE4605" w:rsidRPr="00381DA2">
        <w:rPr>
          <w:rFonts w:asciiTheme="majorHAnsi" w:hAnsiTheme="majorHAnsi" w:cstheme="minorHAnsi"/>
          <w:sz w:val="24"/>
          <w:szCs w:val="24"/>
        </w:rPr>
        <w:t>n care nu sunt achitate benevol prestațiile bănești datorate în baza deciziei OT a</w:t>
      </w:r>
      <w:r w:rsidR="00DB2FF1">
        <w:rPr>
          <w:rFonts w:asciiTheme="majorHAnsi" w:hAnsiTheme="majorHAnsi" w:cstheme="minorHAnsi"/>
          <w:sz w:val="24"/>
          <w:szCs w:val="24"/>
        </w:rPr>
        <w:t>le</w:t>
      </w:r>
      <w:r w:rsidR="00FE4605" w:rsidRPr="00381DA2">
        <w:rPr>
          <w:rFonts w:asciiTheme="majorHAnsi" w:hAnsiTheme="majorHAnsi" w:cstheme="minorHAnsi"/>
          <w:sz w:val="24"/>
          <w:szCs w:val="24"/>
        </w:rPr>
        <w:t xml:space="preserve"> CNAJGS, datoriile urmează să fie executate silit prin intermediul instrumentelor legale delegate SFS</w:t>
      </w:r>
      <w:r w:rsidR="00FE4605" w:rsidRPr="00381DA2">
        <w:rPr>
          <w:rStyle w:val="FootnoteReference"/>
          <w:rFonts w:asciiTheme="majorHAnsi" w:hAnsiTheme="majorHAnsi" w:cstheme="minorHAnsi"/>
          <w:sz w:val="24"/>
          <w:szCs w:val="24"/>
        </w:rPr>
        <w:footnoteReference w:id="91"/>
      </w:r>
      <w:r w:rsidR="00FE4605" w:rsidRPr="00381DA2">
        <w:rPr>
          <w:rFonts w:asciiTheme="majorHAnsi" w:hAnsiTheme="majorHAnsi" w:cstheme="minorHAnsi"/>
          <w:sz w:val="24"/>
          <w:szCs w:val="24"/>
        </w:rPr>
        <w:t>. În perioada derulării auditului aceste amendamente se afl</w:t>
      </w:r>
      <w:r w:rsidR="00DB2FF1">
        <w:rPr>
          <w:rFonts w:asciiTheme="majorHAnsi" w:hAnsiTheme="majorHAnsi" w:cstheme="minorHAnsi"/>
          <w:sz w:val="24"/>
          <w:szCs w:val="24"/>
        </w:rPr>
        <w:t>au</w:t>
      </w:r>
      <w:r w:rsidR="00FE4605" w:rsidRPr="00381DA2">
        <w:rPr>
          <w:rFonts w:asciiTheme="majorHAnsi" w:hAnsiTheme="majorHAnsi" w:cstheme="minorHAnsi"/>
          <w:sz w:val="24"/>
          <w:szCs w:val="24"/>
        </w:rPr>
        <w:t xml:space="preserve"> în procedură de legiferare parlamentară. </w:t>
      </w:r>
    </w:p>
    <w:p w14:paraId="33860DE9" w14:textId="03AA8E37" w:rsidR="00FE4605" w:rsidRPr="00381DA2" w:rsidRDefault="00FE4605" w:rsidP="003A66EF">
      <w:pPr>
        <w:autoSpaceDE w:val="0"/>
        <w:autoSpaceDN w:val="0"/>
        <w:adjustRightInd w:val="0"/>
        <w:spacing w:after="120" w:line="276" w:lineRule="auto"/>
        <w:jc w:val="both"/>
        <w:rPr>
          <w:rFonts w:asciiTheme="majorHAnsi" w:hAnsiTheme="majorHAnsi" w:cstheme="minorHAnsi"/>
          <w:sz w:val="24"/>
          <w:szCs w:val="24"/>
          <w:lang w:val="ro-RO"/>
        </w:rPr>
      </w:pPr>
      <w:r w:rsidRPr="00381DA2">
        <w:rPr>
          <w:rFonts w:asciiTheme="majorHAnsi" w:hAnsiTheme="majorHAnsi" w:cstheme="minorHAnsi"/>
          <w:sz w:val="24"/>
          <w:szCs w:val="24"/>
        </w:rPr>
        <w:t xml:space="preserve">Cele menționate au fost cauzate de: lipsa reglementărilor aferente punerii în aplicarea a acestui proces; insuficiența resurselor umane care să asigure executarea </w:t>
      </w:r>
      <w:r w:rsidR="00633621" w:rsidRPr="00633621">
        <w:rPr>
          <w:rFonts w:asciiTheme="majorHAnsi" w:hAnsiTheme="majorHAnsi" w:cstheme="minorHAnsi"/>
          <w:sz w:val="24"/>
          <w:szCs w:val="24"/>
        </w:rPr>
        <w:t>încasări</w:t>
      </w:r>
      <w:r w:rsidR="00DB2FF1">
        <w:rPr>
          <w:rFonts w:asciiTheme="majorHAnsi" w:hAnsiTheme="majorHAnsi" w:cstheme="minorHAnsi"/>
          <w:sz w:val="24"/>
          <w:szCs w:val="24"/>
        </w:rPr>
        <w:t>i</w:t>
      </w:r>
      <w:r w:rsidR="00633621" w:rsidRPr="00633621">
        <w:rPr>
          <w:rFonts w:asciiTheme="majorHAnsi" w:hAnsiTheme="majorHAnsi" w:cstheme="minorHAnsi"/>
          <w:sz w:val="24"/>
          <w:szCs w:val="24"/>
        </w:rPr>
        <w:t xml:space="preserve"> mijloacelor cheltuite </w:t>
      </w:r>
      <w:r w:rsidR="00633621">
        <w:rPr>
          <w:rFonts w:asciiTheme="majorHAnsi" w:hAnsiTheme="majorHAnsi" w:cstheme="minorHAnsi"/>
          <w:sz w:val="24"/>
          <w:szCs w:val="24"/>
        </w:rPr>
        <w:t xml:space="preserve">de </w:t>
      </w:r>
      <w:r w:rsidR="00633621" w:rsidRPr="00633621">
        <w:rPr>
          <w:rFonts w:asciiTheme="majorHAnsi" w:hAnsiTheme="majorHAnsi" w:cstheme="minorHAnsi"/>
          <w:sz w:val="24"/>
          <w:szCs w:val="24"/>
        </w:rPr>
        <w:t>la buget</w:t>
      </w:r>
      <w:r w:rsidRPr="00381DA2">
        <w:rPr>
          <w:rFonts w:asciiTheme="majorHAnsi" w:hAnsiTheme="majorHAnsi" w:cstheme="minorHAnsi"/>
          <w:sz w:val="24"/>
          <w:szCs w:val="24"/>
        </w:rPr>
        <w:t>; necesitatea automatizării procesului în SI al CNAJGS</w:t>
      </w:r>
      <w:r w:rsidR="00DB2FF1">
        <w:rPr>
          <w:rFonts w:asciiTheme="majorHAnsi" w:hAnsiTheme="majorHAnsi" w:cstheme="minorHAnsi"/>
          <w:sz w:val="24"/>
          <w:szCs w:val="24"/>
        </w:rPr>
        <w:t>,</w:t>
      </w:r>
      <w:r w:rsidRPr="00381DA2">
        <w:rPr>
          <w:rFonts w:asciiTheme="majorHAnsi" w:hAnsiTheme="majorHAnsi" w:cstheme="minorHAnsi"/>
          <w:sz w:val="24"/>
          <w:szCs w:val="24"/>
        </w:rPr>
        <w:t xml:space="preserve"> precum și responsabilizarea angajaților OT a</w:t>
      </w:r>
      <w:r w:rsidR="00633621">
        <w:rPr>
          <w:rFonts w:asciiTheme="majorHAnsi" w:hAnsiTheme="majorHAnsi" w:cstheme="minorHAnsi"/>
          <w:sz w:val="24"/>
          <w:szCs w:val="24"/>
        </w:rPr>
        <w:t>le CNAJGS delegați pentru</w:t>
      </w:r>
      <w:r w:rsidRPr="00381DA2">
        <w:rPr>
          <w:rFonts w:asciiTheme="majorHAnsi" w:hAnsiTheme="majorHAnsi" w:cstheme="minorHAnsi"/>
          <w:sz w:val="24"/>
          <w:szCs w:val="24"/>
        </w:rPr>
        <w:t xml:space="preserve"> realizarea acestor activități, ceea ce ar asigura recuperarea la buget a tuturor cheltuielilor aferente asistenței juridice calificate suportate de stat.</w:t>
      </w:r>
    </w:p>
    <w:p w14:paraId="38D07AB6" w14:textId="4DEB8665" w:rsidR="00FE4605" w:rsidRPr="00381DA2" w:rsidRDefault="00FE4605" w:rsidP="003A66EF">
      <w:pPr>
        <w:autoSpaceDE w:val="0"/>
        <w:autoSpaceDN w:val="0"/>
        <w:adjustRightInd w:val="0"/>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Este de menționat și faptul că</w:t>
      </w:r>
      <w:r w:rsidR="00DB2FF1">
        <w:rPr>
          <w:rFonts w:asciiTheme="majorHAnsi" w:hAnsiTheme="majorHAnsi" w:cstheme="minorHAnsi"/>
          <w:sz w:val="24"/>
          <w:szCs w:val="24"/>
        </w:rPr>
        <w:t>,</w:t>
      </w:r>
      <w:r w:rsidRPr="00381DA2">
        <w:rPr>
          <w:rFonts w:asciiTheme="majorHAnsi" w:hAnsiTheme="majorHAnsi" w:cstheme="minorHAnsi"/>
          <w:sz w:val="24"/>
          <w:szCs w:val="24"/>
        </w:rPr>
        <w:t xml:space="preserve"> deși în anii 2020-2022 unul din angajamentele principale pe care și l-au asumat instituțiile </w:t>
      </w:r>
      <w:r w:rsidR="00633621">
        <w:rPr>
          <w:rFonts w:asciiTheme="majorHAnsi" w:hAnsiTheme="majorHAnsi" w:cstheme="minorHAnsi"/>
          <w:sz w:val="24"/>
          <w:szCs w:val="24"/>
        </w:rPr>
        <w:t xml:space="preserve">prevedea </w:t>
      </w:r>
      <w:r w:rsidRPr="00381DA2">
        <w:rPr>
          <w:rFonts w:asciiTheme="majorHAnsi" w:hAnsiTheme="majorHAnsi" w:cstheme="minorHAnsi"/>
          <w:sz w:val="24"/>
          <w:szCs w:val="24"/>
        </w:rPr>
        <w:t>dezvoltarea mecanismului de recuperare a cheltuielilor pentru asistența juridică garantată de stat prin îmbunătățirea cadrului normativ intern, în fapt acest indicator nu a fost realizat pe deplin</w:t>
      </w:r>
      <w:r w:rsidR="00DB2FF1">
        <w:rPr>
          <w:rFonts w:asciiTheme="majorHAnsi" w:hAnsiTheme="majorHAnsi" w:cstheme="minorHAnsi"/>
          <w:sz w:val="24"/>
          <w:szCs w:val="24"/>
        </w:rPr>
        <w:t>, ceea ce</w:t>
      </w:r>
      <w:r w:rsidRPr="00381DA2">
        <w:rPr>
          <w:rFonts w:asciiTheme="majorHAnsi" w:hAnsiTheme="majorHAnsi" w:cstheme="minorHAnsi"/>
          <w:sz w:val="24"/>
          <w:szCs w:val="24"/>
        </w:rPr>
        <w:t xml:space="preserve"> periclitează recuperare</w:t>
      </w:r>
      <w:r w:rsidR="004A44EE">
        <w:rPr>
          <w:rFonts w:asciiTheme="majorHAnsi" w:hAnsiTheme="majorHAnsi" w:cstheme="minorHAnsi"/>
          <w:sz w:val="24"/>
          <w:szCs w:val="24"/>
        </w:rPr>
        <w:t>a</w:t>
      </w:r>
      <w:r w:rsidRPr="00381DA2">
        <w:rPr>
          <w:rFonts w:asciiTheme="majorHAnsi" w:hAnsiTheme="majorHAnsi" w:cstheme="minorHAnsi"/>
          <w:sz w:val="24"/>
          <w:szCs w:val="24"/>
        </w:rPr>
        <w:t xml:space="preserve"> la buget a mijloacelor financiare cuvenite.</w:t>
      </w:r>
    </w:p>
    <w:p w14:paraId="31007481" w14:textId="01F730B3" w:rsidR="00A372B0" w:rsidRPr="00F4307F" w:rsidRDefault="00A372B0" w:rsidP="003A66EF">
      <w:pPr>
        <w:pStyle w:val="Heading2"/>
        <w:spacing w:after="120" w:line="276" w:lineRule="auto"/>
        <w:jc w:val="both"/>
        <w:rPr>
          <w:rFonts w:eastAsia="Times New Roman" w:cstheme="minorHAnsi"/>
          <w:b/>
          <w:color w:val="002060"/>
          <w:sz w:val="28"/>
          <w:szCs w:val="28"/>
        </w:rPr>
      </w:pPr>
      <w:bookmarkStart w:id="42" w:name="_Toc124949427"/>
      <w:bookmarkStart w:id="43" w:name="_Toc128640821"/>
      <w:r w:rsidRPr="00F4307F">
        <w:rPr>
          <w:rFonts w:eastAsia="Times New Roman" w:cstheme="minorHAnsi"/>
          <w:b/>
          <w:color w:val="002060"/>
          <w:sz w:val="28"/>
          <w:szCs w:val="28"/>
        </w:rPr>
        <w:lastRenderedPageBreak/>
        <w:t>OBIECTIVUL nr.3: Organele de administrare a</w:t>
      </w:r>
      <w:r w:rsidR="00633621">
        <w:rPr>
          <w:rFonts w:eastAsia="Times New Roman" w:cstheme="minorHAnsi"/>
          <w:b/>
          <w:color w:val="002060"/>
          <w:sz w:val="28"/>
          <w:szCs w:val="28"/>
        </w:rPr>
        <w:t>le</w:t>
      </w:r>
      <w:r w:rsidRPr="00F4307F">
        <w:rPr>
          <w:rFonts w:eastAsia="Times New Roman" w:cstheme="minorHAnsi"/>
          <w:b/>
          <w:color w:val="002060"/>
          <w:sz w:val="28"/>
          <w:szCs w:val="28"/>
        </w:rPr>
        <w:t xml:space="preserve"> sistemului de AJGS s</w:t>
      </w:r>
      <w:r w:rsidR="00DB2FF1">
        <w:rPr>
          <w:rFonts w:eastAsia="Times New Roman" w:cstheme="minorHAnsi"/>
          <w:b/>
          <w:color w:val="002060"/>
          <w:sz w:val="28"/>
          <w:szCs w:val="28"/>
        </w:rPr>
        <w:t>u</w:t>
      </w:r>
      <w:r w:rsidRPr="00F4307F">
        <w:rPr>
          <w:rFonts w:eastAsia="Times New Roman" w:cstheme="minorHAnsi"/>
          <w:b/>
          <w:color w:val="002060"/>
          <w:sz w:val="28"/>
          <w:szCs w:val="28"/>
        </w:rPr>
        <w:t>nt organizate conform principiilor bunei  guvernări?</w:t>
      </w:r>
      <w:bookmarkEnd w:id="42"/>
      <w:bookmarkEnd w:id="43"/>
    </w:p>
    <w:tbl>
      <w:tblPr>
        <w:tblStyle w:val="TableGrid"/>
        <w:tblW w:w="0" w:type="auto"/>
        <w:tblLook w:val="04A0" w:firstRow="1" w:lastRow="0" w:firstColumn="1" w:lastColumn="0" w:noHBand="0" w:noVBand="1"/>
      </w:tblPr>
      <w:tblGrid>
        <w:gridCol w:w="9347"/>
      </w:tblGrid>
      <w:tr w:rsidR="00A372B0" w:rsidRPr="00381DA2" w14:paraId="7D48845A" w14:textId="77777777" w:rsidTr="00993022">
        <w:tc>
          <w:tcPr>
            <w:tcW w:w="9347" w:type="dxa"/>
          </w:tcPr>
          <w:p w14:paraId="79825147" w14:textId="75A00928" w:rsidR="00A372B0" w:rsidRPr="00381DA2" w:rsidRDefault="00A372B0" w:rsidP="003A66EF">
            <w:pPr>
              <w:pStyle w:val="ListParagraph"/>
              <w:spacing w:after="120" w:line="276" w:lineRule="auto"/>
              <w:ind w:left="0" w:right="59"/>
              <w:contextualSpacing w:val="0"/>
              <w:jc w:val="both"/>
              <w:rPr>
                <w:rFonts w:asciiTheme="majorHAnsi" w:hAnsiTheme="majorHAnsi" w:cstheme="minorHAnsi"/>
                <w:sz w:val="24"/>
                <w:szCs w:val="24"/>
                <w:lang w:val="en-US"/>
              </w:rPr>
            </w:pPr>
            <w:r w:rsidRPr="00381DA2">
              <w:rPr>
                <w:rFonts w:asciiTheme="majorHAnsi" w:hAnsiTheme="majorHAnsi" w:cstheme="minorHAnsi"/>
                <w:sz w:val="24"/>
                <w:szCs w:val="24"/>
              </w:rPr>
              <w:t xml:space="preserve">Orice sistem instituțional, parte componentă a administrației publice de stat, trebuie să fie organizat conform regulilor și principiilor bunei guvernări, or prin acest fapt se asigură atingerea obiectivelor strategice și operaționale prestabilite și, respectiv, îmbunătățirea performanțelor  în domeniul de competență. </w:t>
            </w:r>
          </w:p>
          <w:p w14:paraId="1774F786" w14:textId="18474866" w:rsidR="00A372B0" w:rsidRPr="00381DA2" w:rsidRDefault="00A372B0" w:rsidP="00DB2FF1">
            <w:pPr>
              <w:pStyle w:val="ListParagraph"/>
              <w:spacing w:after="120" w:line="276" w:lineRule="auto"/>
              <w:ind w:left="0" w:right="59"/>
              <w:contextualSpacing w:val="0"/>
              <w:jc w:val="both"/>
              <w:rPr>
                <w:rFonts w:asciiTheme="majorHAnsi" w:hAnsiTheme="majorHAnsi" w:cstheme="minorHAnsi"/>
                <w:sz w:val="24"/>
                <w:szCs w:val="24"/>
              </w:rPr>
            </w:pPr>
            <w:r w:rsidRPr="00381DA2">
              <w:rPr>
                <w:rFonts w:asciiTheme="majorHAnsi" w:hAnsiTheme="majorHAnsi" w:cstheme="minorHAnsi"/>
                <w:sz w:val="24"/>
                <w:szCs w:val="24"/>
              </w:rPr>
              <w:t>Deși la instituționalizarea entitățil</w:t>
            </w:r>
            <w:r w:rsidR="00633621">
              <w:rPr>
                <w:rFonts w:asciiTheme="majorHAnsi" w:hAnsiTheme="majorHAnsi" w:cstheme="minorHAnsi"/>
                <w:sz w:val="24"/>
                <w:szCs w:val="24"/>
              </w:rPr>
              <w:t>or responsabile de administrare</w:t>
            </w:r>
            <w:r w:rsidRPr="00381DA2">
              <w:rPr>
                <w:rFonts w:asciiTheme="majorHAnsi" w:hAnsiTheme="majorHAnsi" w:cstheme="minorHAnsi"/>
                <w:sz w:val="24"/>
                <w:szCs w:val="24"/>
              </w:rPr>
              <w:t>a AJGS s-a țintit instituirea unei structuri administrative bine organizate și funcționale, observațiile de audit denotă neclarități privind statutul juridic a</w:t>
            </w:r>
            <w:r w:rsidR="00DB2FF1">
              <w:rPr>
                <w:rFonts w:asciiTheme="majorHAnsi" w:hAnsiTheme="majorHAnsi" w:cstheme="minorHAnsi"/>
                <w:sz w:val="24"/>
                <w:szCs w:val="24"/>
              </w:rPr>
              <w:t>l</w:t>
            </w:r>
            <w:r w:rsidRPr="00381DA2">
              <w:rPr>
                <w:rFonts w:asciiTheme="majorHAnsi" w:hAnsiTheme="majorHAnsi" w:cstheme="minorHAnsi"/>
                <w:sz w:val="24"/>
                <w:szCs w:val="24"/>
              </w:rPr>
              <w:t xml:space="preserve"> unor structuri administrative, rolul și responsabilitățile atribuite acestora, inclusiv în procesul de planificare, gestionare și raportare a mijloacelor bugetare. La fel, se constată neconcordanțe privind funcțiile incluse în schema de încadrare a entităților responsabile de administrarea AJGS. </w:t>
            </w:r>
          </w:p>
        </w:tc>
      </w:tr>
    </w:tbl>
    <w:p w14:paraId="620A6522" w14:textId="4D8DF574" w:rsidR="00A372B0" w:rsidRPr="00381DA2" w:rsidRDefault="00DB2FF1" w:rsidP="003A66EF">
      <w:pPr>
        <w:pStyle w:val="Heading3"/>
        <w:numPr>
          <w:ilvl w:val="2"/>
          <w:numId w:val="27"/>
        </w:numPr>
        <w:tabs>
          <w:tab w:val="left" w:pos="360"/>
          <w:tab w:val="left" w:pos="540"/>
          <w:tab w:val="left" w:pos="630"/>
        </w:tabs>
        <w:spacing w:before="240" w:after="120" w:line="276" w:lineRule="auto"/>
        <w:ind w:left="0" w:firstLine="0"/>
        <w:jc w:val="both"/>
        <w:rPr>
          <w:rFonts w:cstheme="minorHAnsi"/>
          <w:b/>
          <w:i/>
          <w:color w:val="0070C0"/>
        </w:rPr>
      </w:pPr>
      <w:bookmarkStart w:id="44" w:name="_Toc128640822"/>
      <w:r>
        <w:rPr>
          <w:rFonts w:cstheme="minorHAnsi"/>
          <w:b/>
          <w:i/>
          <w:color w:val="0070C0"/>
        </w:rPr>
        <w:t>A</w:t>
      </w:r>
      <w:r w:rsidR="00A372B0" w:rsidRPr="00381DA2">
        <w:rPr>
          <w:rFonts w:cstheme="minorHAnsi"/>
          <w:b/>
          <w:i/>
          <w:color w:val="0070C0"/>
        </w:rPr>
        <w:t>mbiguități</w:t>
      </w:r>
      <w:r>
        <w:rPr>
          <w:rFonts w:cstheme="minorHAnsi"/>
          <w:b/>
          <w:i/>
          <w:color w:val="0070C0"/>
        </w:rPr>
        <w:t>le</w:t>
      </w:r>
      <w:r w:rsidR="00A372B0" w:rsidRPr="00381DA2">
        <w:rPr>
          <w:rFonts w:cstheme="minorHAnsi"/>
          <w:b/>
          <w:i/>
          <w:color w:val="0070C0"/>
        </w:rPr>
        <w:t xml:space="preserve"> în instituționalizarea organelor responsabile de administrarea procesului de  AJGS</w:t>
      </w:r>
      <w:bookmarkEnd w:id="44"/>
      <w:r w:rsidR="00A372B0" w:rsidRPr="00381DA2">
        <w:rPr>
          <w:rFonts w:cstheme="minorHAnsi"/>
          <w:b/>
          <w:i/>
          <w:color w:val="0070C0"/>
        </w:rPr>
        <w:t xml:space="preserve"> </w:t>
      </w:r>
    </w:p>
    <w:p w14:paraId="43D6ADAE" w14:textId="0B3B011E" w:rsidR="00A372B0" w:rsidRPr="00381DA2" w:rsidRDefault="00A372B0" w:rsidP="003A66EF">
      <w:pPr>
        <w:pStyle w:val="ListParagraph"/>
        <w:tabs>
          <w:tab w:val="left" w:pos="360"/>
        </w:tabs>
        <w:spacing w:after="120" w:line="276" w:lineRule="auto"/>
        <w:ind w:left="0" w:right="59"/>
        <w:contextualSpacing w:val="0"/>
        <w:jc w:val="both"/>
        <w:rPr>
          <w:rFonts w:asciiTheme="majorHAnsi" w:hAnsiTheme="majorHAnsi" w:cstheme="minorHAnsi"/>
          <w:color w:val="FF0000"/>
          <w:sz w:val="24"/>
          <w:szCs w:val="24"/>
        </w:rPr>
      </w:pPr>
      <w:r w:rsidRPr="00381DA2">
        <w:rPr>
          <w:rFonts w:asciiTheme="majorHAnsi" w:hAnsiTheme="majorHAnsi" w:cstheme="minorHAnsi"/>
          <w:sz w:val="24"/>
          <w:szCs w:val="24"/>
        </w:rPr>
        <w:t xml:space="preserve">Odată cu aprobarea în anul 2008 a Legii </w:t>
      </w:r>
      <w:r w:rsidR="00DB2FF1">
        <w:rPr>
          <w:rFonts w:asciiTheme="majorHAnsi" w:hAnsiTheme="majorHAnsi" w:cstheme="minorHAnsi"/>
          <w:sz w:val="24"/>
          <w:szCs w:val="24"/>
        </w:rPr>
        <w:t>nr.</w:t>
      </w:r>
      <w:r w:rsidRPr="00381DA2">
        <w:rPr>
          <w:rFonts w:asciiTheme="majorHAnsi" w:hAnsiTheme="majorHAnsi" w:cstheme="minorHAnsi"/>
          <w:sz w:val="24"/>
          <w:szCs w:val="24"/>
        </w:rPr>
        <w:t>198/2007 au fost instituite</w:t>
      </w:r>
      <w:r w:rsidRPr="00381DA2">
        <w:rPr>
          <w:rStyle w:val="FootnoteReference"/>
          <w:rFonts w:asciiTheme="majorHAnsi" w:hAnsiTheme="majorHAnsi" w:cstheme="minorHAnsi"/>
          <w:sz w:val="24"/>
          <w:szCs w:val="24"/>
        </w:rPr>
        <w:footnoteReference w:id="92"/>
      </w:r>
      <w:r w:rsidRPr="00381DA2">
        <w:rPr>
          <w:rFonts w:asciiTheme="majorHAnsi" w:hAnsiTheme="majorHAnsi" w:cstheme="minorHAnsi"/>
          <w:sz w:val="24"/>
          <w:szCs w:val="24"/>
        </w:rPr>
        <w:t xml:space="preserve"> CNAJGS și Oficiile Teritoriale, organe responsabile de administrarea procesului de acordare a asistenței juridice garantate de stat. În acest context, MJ prin ordin</w:t>
      </w:r>
      <w:r w:rsidRPr="00381DA2">
        <w:rPr>
          <w:rStyle w:val="FootnoteReference"/>
          <w:rFonts w:asciiTheme="majorHAnsi" w:hAnsiTheme="majorHAnsi" w:cstheme="minorHAnsi"/>
          <w:sz w:val="24"/>
          <w:szCs w:val="24"/>
        </w:rPr>
        <w:footnoteReference w:id="93"/>
      </w:r>
      <w:r w:rsidRPr="00381DA2">
        <w:rPr>
          <w:rFonts w:asciiTheme="majorHAnsi" w:hAnsiTheme="majorHAnsi" w:cstheme="minorHAnsi"/>
          <w:sz w:val="24"/>
          <w:szCs w:val="24"/>
        </w:rPr>
        <w:t xml:space="preserve"> a aprobat Regulamentul de funcționare a Consiliului Național, organ colegial cu statut de persoană juridică, format din 7 membri</w:t>
      </w:r>
      <w:r w:rsidRPr="00381DA2">
        <w:rPr>
          <w:rStyle w:val="FootnoteReference"/>
          <w:rFonts w:asciiTheme="majorHAnsi" w:hAnsiTheme="majorHAnsi" w:cstheme="minorHAnsi"/>
          <w:sz w:val="24"/>
          <w:szCs w:val="24"/>
        </w:rPr>
        <w:footnoteReference w:id="94"/>
      </w:r>
      <w:r w:rsidRPr="00381DA2">
        <w:rPr>
          <w:rFonts w:asciiTheme="majorHAnsi" w:hAnsiTheme="majorHAnsi" w:cstheme="minorHAnsi"/>
          <w:sz w:val="24"/>
          <w:szCs w:val="24"/>
        </w:rPr>
        <w:t>, munca cărora nu este remunerabilă. La rândul său, Consiliul Național</w:t>
      </w:r>
      <w:r w:rsidRPr="00381DA2">
        <w:rPr>
          <w:rFonts w:asciiTheme="majorHAnsi" w:hAnsiTheme="majorHAnsi" w:cstheme="minorHAnsi"/>
          <w:sz w:val="24"/>
          <w:szCs w:val="24"/>
          <w:lang w:val="ro-MD"/>
        </w:rPr>
        <w:t xml:space="preserve"> a </w:t>
      </w:r>
      <w:r w:rsidRPr="00381DA2">
        <w:rPr>
          <w:rFonts w:asciiTheme="majorHAnsi" w:hAnsiTheme="majorHAnsi" w:cstheme="minorHAnsi"/>
          <w:sz w:val="24"/>
          <w:szCs w:val="24"/>
        </w:rPr>
        <w:t>aprobat</w:t>
      </w:r>
      <w:r w:rsidRPr="00381DA2">
        <w:rPr>
          <w:rStyle w:val="FootnoteReference"/>
          <w:rFonts w:asciiTheme="majorHAnsi" w:hAnsiTheme="majorHAnsi" w:cstheme="minorHAnsi"/>
          <w:sz w:val="24"/>
          <w:szCs w:val="24"/>
          <w:lang w:val="ro-MD"/>
        </w:rPr>
        <w:footnoteReference w:id="95"/>
      </w:r>
      <w:r w:rsidRPr="00381DA2">
        <w:rPr>
          <w:rFonts w:asciiTheme="majorHAnsi" w:hAnsiTheme="majorHAnsi" w:cstheme="minorHAnsi"/>
          <w:sz w:val="24"/>
          <w:szCs w:val="24"/>
          <w:lang w:val="ro-MD"/>
        </w:rPr>
        <w:t xml:space="preserve"> </w:t>
      </w:r>
      <w:r w:rsidR="00633621">
        <w:rPr>
          <w:rFonts w:asciiTheme="majorHAnsi" w:hAnsiTheme="majorHAnsi" w:cstheme="minorHAnsi"/>
          <w:sz w:val="24"/>
          <w:szCs w:val="24"/>
          <w:lang w:val="ro-MD"/>
        </w:rPr>
        <w:t>R</w:t>
      </w:r>
      <w:proofErr w:type="spellStart"/>
      <w:r w:rsidRPr="00381DA2">
        <w:rPr>
          <w:rFonts w:asciiTheme="majorHAnsi" w:hAnsiTheme="majorHAnsi" w:cstheme="minorHAnsi"/>
          <w:sz w:val="24"/>
          <w:szCs w:val="24"/>
        </w:rPr>
        <w:t>egulamentul</w:t>
      </w:r>
      <w:proofErr w:type="spellEnd"/>
      <w:r w:rsidRPr="00381DA2">
        <w:rPr>
          <w:rFonts w:asciiTheme="majorHAnsi" w:hAnsiTheme="majorHAnsi" w:cstheme="minorHAnsi"/>
          <w:sz w:val="24"/>
          <w:szCs w:val="24"/>
        </w:rPr>
        <w:t xml:space="preserve"> de funcționare a Oficiilor Teritoriale. Atât CNAJGS</w:t>
      </w:r>
      <w:r w:rsidR="00DB2FF1">
        <w:rPr>
          <w:rFonts w:asciiTheme="majorHAnsi" w:hAnsiTheme="majorHAnsi" w:cstheme="minorHAnsi"/>
          <w:sz w:val="24"/>
          <w:szCs w:val="24"/>
        </w:rPr>
        <w:t>,</w:t>
      </w:r>
      <w:r w:rsidRPr="00381DA2">
        <w:rPr>
          <w:rFonts w:asciiTheme="majorHAnsi" w:hAnsiTheme="majorHAnsi" w:cstheme="minorHAnsi"/>
          <w:sz w:val="24"/>
          <w:szCs w:val="24"/>
        </w:rPr>
        <w:t xml:space="preserve"> cât și cele patru oficii s</w:t>
      </w:r>
      <w:r w:rsidR="00DB2FF1">
        <w:rPr>
          <w:rFonts w:asciiTheme="majorHAnsi" w:hAnsiTheme="majorHAnsi" w:cstheme="minorHAnsi"/>
          <w:sz w:val="24"/>
          <w:szCs w:val="24"/>
        </w:rPr>
        <w:t>u</w:t>
      </w:r>
      <w:r w:rsidRPr="00381DA2">
        <w:rPr>
          <w:rFonts w:asciiTheme="majorHAnsi" w:hAnsiTheme="majorHAnsi" w:cstheme="minorHAnsi"/>
          <w:sz w:val="24"/>
          <w:szCs w:val="24"/>
        </w:rPr>
        <w:t>nt instituții de stat</w:t>
      </w:r>
      <w:r w:rsidR="00633621">
        <w:rPr>
          <w:rFonts w:asciiTheme="majorHAnsi" w:hAnsiTheme="majorHAnsi" w:cstheme="minorHAnsi"/>
          <w:sz w:val="24"/>
          <w:szCs w:val="24"/>
        </w:rPr>
        <w:t>,</w:t>
      </w:r>
      <w:r w:rsidRPr="00381DA2">
        <w:rPr>
          <w:rFonts w:asciiTheme="majorHAnsi" w:hAnsiTheme="majorHAnsi" w:cstheme="minorHAnsi"/>
          <w:sz w:val="24"/>
          <w:szCs w:val="24"/>
        </w:rPr>
        <w:t xml:space="preserve"> finanțate de la bugetul de stat și care sunt responsabile de org</w:t>
      </w:r>
      <w:r w:rsidR="00633621">
        <w:rPr>
          <w:rFonts w:asciiTheme="majorHAnsi" w:hAnsiTheme="majorHAnsi" w:cstheme="minorHAnsi"/>
          <w:sz w:val="24"/>
          <w:szCs w:val="24"/>
        </w:rPr>
        <w:t>anizarea activității financiare</w:t>
      </w:r>
      <w:r w:rsidRPr="00381DA2">
        <w:rPr>
          <w:rFonts w:asciiTheme="majorHAnsi" w:hAnsiTheme="majorHAnsi" w:cstheme="minorHAnsi"/>
          <w:sz w:val="24"/>
          <w:szCs w:val="24"/>
        </w:rPr>
        <w:t xml:space="preserve"> și a propriului sistem de control intern managerial.  </w:t>
      </w:r>
    </w:p>
    <w:p w14:paraId="1DD1CE5F" w14:textId="4A4673B4" w:rsidR="00A372B0" w:rsidRDefault="00A372B0" w:rsidP="003A66EF">
      <w:pPr>
        <w:pStyle w:val="ListParagraph"/>
        <w:tabs>
          <w:tab w:val="left" w:pos="360"/>
        </w:tabs>
        <w:spacing w:after="120" w:line="276" w:lineRule="auto"/>
        <w:ind w:left="0" w:right="58"/>
        <w:contextualSpacing w:val="0"/>
        <w:jc w:val="both"/>
        <w:rPr>
          <w:rFonts w:asciiTheme="majorHAnsi" w:hAnsiTheme="majorHAnsi" w:cstheme="minorHAnsi"/>
          <w:sz w:val="24"/>
          <w:szCs w:val="24"/>
        </w:rPr>
      </w:pPr>
      <w:r w:rsidRPr="00381DA2">
        <w:rPr>
          <w:rFonts w:asciiTheme="majorHAnsi" w:hAnsiTheme="majorHAnsi" w:cstheme="minorHAnsi"/>
          <w:sz w:val="24"/>
          <w:szCs w:val="24"/>
        </w:rPr>
        <w:t>Ulterior, în anul 2012, prin modificarea legii speciale menționate supra</w:t>
      </w:r>
      <w:r w:rsidRPr="00381DA2">
        <w:rPr>
          <w:rStyle w:val="FootnoteReference"/>
          <w:rFonts w:asciiTheme="majorHAnsi" w:hAnsiTheme="majorHAnsi" w:cstheme="minorHAnsi"/>
          <w:sz w:val="24"/>
          <w:szCs w:val="24"/>
        </w:rPr>
        <w:footnoteReference w:id="96"/>
      </w:r>
      <w:r w:rsidRPr="00381DA2">
        <w:rPr>
          <w:rFonts w:asciiTheme="majorHAnsi" w:hAnsiTheme="majorHAnsi" w:cstheme="minorHAnsi"/>
          <w:sz w:val="24"/>
          <w:szCs w:val="24"/>
        </w:rPr>
        <w:t>, s-a stabilit că funcționarea Consiliului Național este asigurată de Aparatul administrativ, regulamentul de activitate și efectivul</w:t>
      </w:r>
      <w:r w:rsidR="00DB2FF1">
        <w:rPr>
          <w:rFonts w:asciiTheme="majorHAnsi" w:hAnsiTheme="majorHAnsi" w:cstheme="minorHAnsi"/>
          <w:sz w:val="24"/>
          <w:szCs w:val="24"/>
        </w:rPr>
        <w:t>-</w:t>
      </w:r>
      <w:r w:rsidRPr="00381DA2">
        <w:rPr>
          <w:rFonts w:asciiTheme="majorHAnsi" w:hAnsiTheme="majorHAnsi" w:cstheme="minorHAnsi"/>
          <w:sz w:val="24"/>
          <w:szCs w:val="24"/>
        </w:rPr>
        <w:t>limită a</w:t>
      </w:r>
      <w:r w:rsidR="00DB2FF1">
        <w:rPr>
          <w:rFonts w:asciiTheme="majorHAnsi" w:hAnsiTheme="majorHAnsi" w:cstheme="minorHAnsi"/>
          <w:sz w:val="24"/>
          <w:szCs w:val="24"/>
        </w:rPr>
        <w:t>le</w:t>
      </w:r>
      <w:r w:rsidRPr="00381DA2">
        <w:rPr>
          <w:rFonts w:asciiTheme="majorHAnsi" w:hAnsiTheme="majorHAnsi" w:cstheme="minorHAnsi"/>
          <w:sz w:val="24"/>
          <w:szCs w:val="24"/>
        </w:rPr>
        <w:t xml:space="preserve"> căruia a</w:t>
      </w:r>
      <w:r w:rsidR="00DB2FF1">
        <w:rPr>
          <w:rFonts w:asciiTheme="majorHAnsi" w:hAnsiTheme="majorHAnsi" w:cstheme="minorHAnsi"/>
          <w:sz w:val="24"/>
          <w:szCs w:val="24"/>
        </w:rPr>
        <w:t>u</w:t>
      </w:r>
      <w:r w:rsidRPr="00381DA2">
        <w:rPr>
          <w:rFonts w:asciiTheme="majorHAnsi" w:hAnsiTheme="majorHAnsi" w:cstheme="minorHAnsi"/>
          <w:sz w:val="24"/>
          <w:szCs w:val="24"/>
        </w:rPr>
        <w:t xml:space="preserve"> fost aprobat</w:t>
      </w:r>
      <w:r w:rsidR="00DB2FF1">
        <w:rPr>
          <w:rFonts w:asciiTheme="majorHAnsi" w:hAnsiTheme="majorHAnsi" w:cstheme="minorHAnsi"/>
          <w:sz w:val="24"/>
          <w:szCs w:val="24"/>
        </w:rPr>
        <w:t>e</w:t>
      </w:r>
      <w:r w:rsidRPr="00381DA2">
        <w:rPr>
          <w:rFonts w:asciiTheme="majorHAnsi" w:hAnsiTheme="majorHAnsi" w:cstheme="minorHAnsi"/>
          <w:sz w:val="24"/>
          <w:szCs w:val="24"/>
        </w:rPr>
        <w:t xml:space="preserve"> de către CNAJGS</w:t>
      </w:r>
      <w:r w:rsidRPr="00381DA2">
        <w:rPr>
          <w:rStyle w:val="FootnoteReference"/>
          <w:rFonts w:asciiTheme="majorHAnsi" w:hAnsiTheme="majorHAnsi" w:cstheme="minorHAnsi"/>
          <w:sz w:val="24"/>
          <w:szCs w:val="24"/>
        </w:rPr>
        <w:footnoteReference w:id="97"/>
      </w:r>
      <w:r w:rsidRPr="00381DA2">
        <w:rPr>
          <w:rFonts w:asciiTheme="majorHAnsi" w:hAnsiTheme="majorHAnsi" w:cstheme="minorHAnsi"/>
          <w:sz w:val="24"/>
          <w:szCs w:val="24"/>
        </w:rPr>
        <w:t xml:space="preserve">. </w:t>
      </w:r>
      <w:r w:rsidR="00633621">
        <w:rPr>
          <w:rFonts w:asciiTheme="majorHAnsi" w:hAnsiTheme="majorHAnsi" w:cstheme="minorHAnsi"/>
          <w:sz w:val="24"/>
          <w:szCs w:val="24"/>
        </w:rPr>
        <w:t>Atât prevederile legii, cât și r</w:t>
      </w:r>
      <w:r w:rsidRPr="00381DA2">
        <w:rPr>
          <w:rFonts w:asciiTheme="majorHAnsi" w:hAnsiTheme="majorHAnsi" w:cstheme="minorHAnsi"/>
          <w:sz w:val="24"/>
          <w:szCs w:val="24"/>
        </w:rPr>
        <w:t>egulamentele de activitate a</w:t>
      </w:r>
      <w:r w:rsidR="00DB2FF1">
        <w:rPr>
          <w:rFonts w:asciiTheme="majorHAnsi" w:hAnsiTheme="majorHAnsi" w:cstheme="minorHAnsi"/>
          <w:sz w:val="24"/>
          <w:szCs w:val="24"/>
        </w:rPr>
        <w:t>le</w:t>
      </w:r>
      <w:r w:rsidRPr="00381DA2">
        <w:rPr>
          <w:rFonts w:asciiTheme="majorHAnsi" w:hAnsiTheme="majorHAnsi" w:cstheme="minorHAnsi"/>
          <w:sz w:val="24"/>
          <w:szCs w:val="24"/>
        </w:rPr>
        <w:t xml:space="preserve"> CNAJGS și Aparatului administrativ nu definesc statutul juridic al structurii administrative menționate, precum și poziționarea acesteia în structura organizațională a CNAJGS. Mai mult </w:t>
      </w:r>
      <w:r w:rsidR="00DB2FF1">
        <w:rPr>
          <w:rFonts w:asciiTheme="majorHAnsi" w:hAnsiTheme="majorHAnsi" w:cstheme="minorHAnsi"/>
          <w:sz w:val="24"/>
          <w:szCs w:val="24"/>
        </w:rPr>
        <w:t>decât</w:t>
      </w:r>
      <w:r w:rsidRPr="00381DA2">
        <w:rPr>
          <w:rFonts w:asciiTheme="majorHAnsi" w:hAnsiTheme="majorHAnsi" w:cstheme="minorHAnsi"/>
          <w:sz w:val="24"/>
          <w:szCs w:val="24"/>
        </w:rPr>
        <w:t xml:space="preserve"> atât, odată cu instituirea acestei subdiviziuni nu a fost </w:t>
      </w:r>
      <w:r w:rsidR="00633621">
        <w:rPr>
          <w:rFonts w:asciiTheme="majorHAnsi" w:hAnsiTheme="majorHAnsi" w:cstheme="minorHAnsi"/>
          <w:sz w:val="24"/>
          <w:szCs w:val="24"/>
        </w:rPr>
        <w:t>completat</w:t>
      </w:r>
      <w:r w:rsidRPr="00381DA2">
        <w:rPr>
          <w:rFonts w:asciiTheme="majorHAnsi" w:hAnsiTheme="majorHAnsi" w:cstheme="minorHAnsi"/>
          <w:sz w:val="24"/>
          <w:szCs w:val="24"/>
        </w:rPr>
        <w:t xml:space="preserve"> Regulamentul de activitate a</w:t>
      </w:r>
      <w:r w:rsidR="00DB2FF1">
        <w:rPr>
          <w:rFonts w:asciiTheme="majorHAnsi" w:hAnsiTheme="majorHAnsi" w:cstheme="minorHAnsi"/>
          <w:sz w:val="24"/>
          <w:szCs w:val="24"/>
        </w:rPr>
        <w:t>l</w:t>
      </w:r>
      <w:r w:rsidRPr="00381DA2">
        <w:rPr>
          <w:rFonts w:asciiTheme="majorHAnsi" w:hAnsiTheme="majorHAnsi" w:cstheme="minorHAnsi"/>
          <w:sz w:val="24"/>
          <w:szCs w:val="24"/>
        </w:rPr>
        <w:t xml:space="preserve"> CNAJGS cu prevederi aferente funcționalității acestei structuri. Concomitent, se menționează că actele constitutive nu reglementează funcțiile și drepturile Aparatului admin</w:t>
      </w:r>
      <w:r w:rsidR="00633621">
        <w:rPr>
          <w:rFonts w:asciiTheme="majorHAnsi" w:hAnsiTheme="majorHAnsi" w:cstheme="minorHAnsi"/>
          <w:sz w:val="24"/>
          <w:szCs w:val="24"/>
        </w:rPr>
        <w:t>istrativ, stipulându-se doar</w:t>
      </w:r>
      <w:r w:rsidRPr="00381DA2">
        <w:rPr>
          <w:rFonts w:asciiTheme="majorHAnsi" w:hAnsiTheme="majorHAnsi" w:cstheme="minorHAnsi"/>
          <w:sz w:val="24"/>
          <w:szCs w:val="24"/>
        </w:rPr>
        <w:t xml:space="preserve"> cele ce țin de activitatea directorului executiv. </w:t>
      </w:r>
    </w:p>
    <w:p w14:paraId="0BD1A5EC" w14:textId="77777777" w:rsidR="00AF07F1" w:rsidRPr="00381DA2" w:rsidRDefault="00AF07F1" w:rsidP="003A66EF">
      <w:pPr>
        <w:pStyle w:val="ListParagraph"/>
        <w:tabs>
          <w:tab w:val="left" w:pos="360"/>
        </w:tabs>
        <w:spacing w:after="120" w:line="276" w:lineRule="auto"/>
        <w:ind w:left="0" w:right="58"/>
        <w:contextualSpacing w:val="0"/>
        <w:jc w:val="both"/>
        <w:rPr>
          <w:rFonts w:asciiTheme="majorHAnsi" w:hAnsiTheme="majorHAnsi" w:cstheme="minorHAnsi"/>
          <w:sz w:val="24"/>
          <w:szCs w:val="24"/>
        </w:rPr>
      </w:pPr>
    </w:p>
    <w:p w14:paraId="14E6C40B" w14:textId="2D261C45" w:rsidR="00A372B0" w:rsidRPr="00381DA2" w:rsidRDefault="00AF07F1" w:rsidP="003A66EF">
      <w:pPr>
        <w:pStyle w:val="ListParagraph"/>
        <w:tabs>
          <w:tab w:val="left" w:pos="360"/>
        </w:tabs>
        <w:spacing w:after="120" w:line="276" w:lineRule="auto"/>
        <w:ind w:left="0" w:right="58"/>
        <w:contextualSpacing w:val="0"/>
        <w:jc w:val="both"/>
        <w:rPr>
          <w:rFonts w:asciiTheme="majorHAnsi" w:hAnsiTheme="majorHAnsi" w:cstheme="minorHAnsi"/>
          <w:sz w:val="24"/>
          <w:szCs w:val="24"/>
        </w:rPr>
      </w:pPr>
      <w:r w:rsidRPr="00197432">
        <w:rPr>
          <w:rFonts w:asciiTheme="majorHAnsi" w:hAnsiTheme="majorHAnsi" w:cstheme="minorHAnsi"/>
          <w:sz w:val="24"/>
          <w:szCs w:val="24"/>
        </w:rPr>
        <w:lastRenderedPageBreak/>
        <w:t xml:space="preserve">Există inconsecvențe în prevederile actelor normative </w:t>
      </w:r>
      <w:r w:rsidR="00A372B0" w:rsidRPr="00197432">
        <w:rPr>
          <w:rFonts w:asciiTheme="majorHAnsi" w:hAnsiTheme="majorHAnsi" w:cstheme="minorHAnsi"/>
          <w:sz w:val="24"/>
          <w:szCs w:val="24"/>
        </w:rPr>
        <w:t xml:space="preserve">și la stabilirea efectivului-limită de personal al Aparatului administrativ. Deși prin </w:t>
      </w:r>
      <w:r w:rsidR="00856765" w:rsidRPr="00197432">
        <w:rPr>
          <w:rFonts w:asciiTheme="majorHAnsi" w:hAnsiTheme="majorHAnsi" w:cstheme="minorHAnsi"/>
          <w:sz w:val="24"/>
          <w:szCs w:val="24"/>
        </w:rPr>
        <w:t>Hotărârea</w:t>
      </w:r>
      <w:r w:rsidR="00A372B0" w:rsidRPr="00197432">
        <w:rPr>
          <w:rFonts w:asciiTheme="majorHAnsi" w:hAnsiTheme="majorHAnsi" w:cstheme="minorHAnsi"/>
          <w:sz w:val="24"/>
          <w:szCs w:val="24"/>
        </w:rPr>
        <w:t xml:space="preserve"> CNAJGS</w:t>
      </w:r>
      <w:bookmarkStart w:id="45" w:name="_GoBack"/>
      <w:bookmarkEnd w:id="45"/>
      <w:r w:rsidR="00A372B0" w:rsidRPr="00381DA2">
        <w:rPr>
          <w:rFonts w:asciiTheme="majorHAnsi" w:hAnsiTheme="majorHAnsi" w:cstheme="minorHAnsi"/>
          <w:sz w:val="24"/>
          <w:szCs w:val="24"/>
        </w:rPr>
        <w:t xml:space="preserve"> nr. 9/2012 s-a </w:t>
      </w:r>
      <w:r w:rsidR="00B907A3" w:rsidRPr="00381DA2">
        <w:rPr>
          <w:rFonts w:asciiTheme="majorHAnsi" w:hAnsiTheme="majorHAnsi" w:cstheme="minorHAnsi"/>
          <w:sz w:val="24"/>
          <w:szCs w:val="24"/>
        </w:rPr>
        <w:t xml:space="preserve">prevăzut </w:t>
      </w:r>
      <w:r w:rsidR="00A372B0" w:rsidRPr="00381DA2">
        <w:rPr>
          <w:rFonts w:asciiTheme="majorHAnsi" w:hAnsiTheme="majorHAnsi" w:cstheme="minorHAnsi"/>
          <w:sz w:val="24"/>
          <w:szCs w:val="24"/>
        </w:rPr>
        <w:t>componența acestuia în număr de 5 unități, potrivit schemei de încadrare a Aparatului administrativ aprobată de MJ, s</w:t>
      </w:r>
      <w:r w:rsidR="004C163E">
        <w:rPr>
          <w:rFonts w:asciiTheme="majorHAnsi" w:hAnsiTheme="majorHAnsi" w:cstheme="minorHAnsi"/>
          <w:sz w:val="24"/>
          <w:szCs w:val="24"/>
        </w:rPr>
        <w:t>u</w:t>
      </w:r>
      <w:r w:rsidR="00A372B0" w:rsidRPr="00381DA2">
        <w:rPr>
          <w:rFonts w:asciiTheme="majorHAnsi" w:hAnsiTheme="majorHAnsi" w:cstheme="minorHAnsi"/>
          <w:sz w:val="24"/>
          <w:szCs w:val="24"/>
        </w:rPr>
        <w:t>nt înre</w:t>
      </w:r>
      <w:r w:rsidR="0092002F" w:rsidRPr="00381DA2">
        <w:rPr>
          <w:rFonts w:asciiTheme="majorHAnsi" w:hAnsiTheme="majorHAnsi" w:cstheme="minorHAnsi"/>
          <w:sz w:val="24"/>
          <w:szCs w:val="24"/>
        </w:rPr>
        <w:t>gistrate 6 unități de personal</w:t>
      </w:r>
      <w:r w:rsidR="00EB6009" w:rsidRPr="00381DA2">
        <w:rPr>
          <w:rStyle w:val="FootnoteReference"/>
          <w:rFonts w:asciiTheme="majorHAnsi" w:hAnsiTheme="majorHAnsi" w:cstheme="minorHAnsi"/>
          <w:sz w:val="24"/>
          <w:szCs w:val="24"/>
        </w:rPr>
        <w:footnoteReference w:id="98"/>
      </w:r>
      <w:r w:rsidR="0092002F" w:rsidRPr="00381DA2">
        <w:rPr>
          <w:rFonts w:asciiTheme="majorHAnsi" w:hAnsiTheme="majorHAnsi" w:cstheme="minorHAnsi"/>
          <w:sz w:val="24"/>
          <w:szCs w:val="24"/>
        </w:rPr>
        <w:t xml:space="preserve">. </w:t>
      </w:r>
    </w:p>
    <w:p w14:paraId="73FB8FF1" w14:textId="7D47825A" w:rsidR="00A372B0" w:rsidRPr="00381DA2" w:rsidRDefault="00A372B0" w:rsidP="003A66EF">
      <w:pPr>
        <w:pStyle w:val="ListParagraph"/>
        <w:tabs>
          <w:tab w:val="left" w:pos="360"/>
        </w:tabs>
        <w:spacing w:after="120" w:line="276" w:lineRule="auto"/>
        <w:ind w:left="0" w:right="58"/>
        <w:contextualSpacing w:val="0"/>
        <w:jc w:val="both"/>
        <w:rPr>
          <w:rFonts w:asciiTheme="majorHAnsi" w:hAnsiTheme="majorHAnsi" w:cstheme="minorHAnsi"/>
          <w:sz w:val="24"/>
          <w:szCs w:val="24"/>
          <w:highlight w:val="yellow"/>
        </w:rPr>
      </w:pPr>
      <w:r w:rsidRPr="00381DA2">
        <w:rPr>
          <w:rFonts w:asciiTheme="majorHAnsi" w:hAnsiTheme="majorHAnsi" w:cstheme="minorHAnsi"/>
          <w:sz w:val="24"/>
          <w:szCs w:val="24"/>
        </w:rPr>
        <w:t xml:space="preserve">În organizarea sistemelor de executare, evidență contabilă și raportare a bugetului, entitățile verificate se conduc de principiile </w:t>
      </w:r>
      <w:r w:rsidR="00856765" w:rsidRPr="00381DA2">
        <w:rPr>
          <w:rFonts w:asciiTheme="majorHAnsi" w:hAnsiTheme="majorHAnsi" w:cstheme="minorHAnsi"/>
          <w:sz w:val="24"/>
          <w:szCs w:val="24"/>
        </w:rPr>
        <w:t>și</w:t>
      </w:r>
      <w:r w:rsidRPr="00381DA2">
        <w:rPr>
          <w:rFonts w:asciiTheme="majorHAnsi" w:hAnsiTheme="majorHAnsi" w:cstheme="minorHAnsi"/>
          <w:sz w:val="24"/>
          <w:szCs w:val="24"/>
        </w:rPr>
        <w:t xml:space="preserve"> regulile bugetar-fiscale</w:t>
      </w:r>
      <w:r w:rsidRPr="00381DA2">
        <w:rPr>
          <w:rStyle w:val="FootnoteReference"/>
          <w:rFonts w:asciiTheme="majorHAnsi" w:hAnsiTheme="majorHAnsi" w:cstheme="minorHAnsi"/>
          <w:sz w:val="24"/>
          <w:szCs w:val="24"/>
        </w:rPr>
        <w:footnoteReference w:id="99"/>
      </w:r>
      <w:r w:rsidRPr="00381DA2">
        <w:rPr>
          <w:rFonts w:asciiTheme="majorHAnsi" w:hAnsiTheme="majorHAnsi" w:cstheme="minorHAnsi"/>
          <w:sz w:val="24"/>
          <w:szCs w:val="24"/>
        </w:rPr>
        <w:t>. Astfel, potrivit clasificației bugetare</w:t>
      </w:r>
      <w:r w:rsidRPr="00381DA2">
        <w:rPr>
          <w:rStyle w:val="FootnoteReference"/>
          <w:rFonts w:asciiTheme="majorHAnsi" w:hAnsiTheme="majorHAnsi" w:cstheme="minorHAnsi"/>
          <w:sz w:val="24"/>
          <w:szCs w:val="24"/>
        </w:rPr>
        <w:footnoteReference w:id="100"/>
      </w:r>
      <w:r w:rsidRPr="00381DA2">
        <w:rPr>
          <w:rFonts w:asciiTheme="majorHAnsi" w:hAnsiTheme="majorHAnsi" w:cstheme="minorHAnsi"/>
          <w:sz w:val="24"/>
          <w:szCs w:val="24"/>
        </w:rPr>
        <w:t>, cele cinci instituții s</w:t>
      </w:r>
      <w:r w:rsidR="004C163E">
        <w:rPr>
          <w:rFonts w:asciiTheme="majorHAnsi" w:hAnsiTheme="majorHAnsi" w:cstheme="minorHAnsi"/>
          <w:sz w:val="24"/>
          <w:szCs w:val="24"/>
        </w:rPr>
        <w:t>u</w:t>
      </w:r>
      <w:r w:rsidRPr="00381DA2">
        <w:rPr>
          <w:rFonts w:asciiTheme="majorHAnsi" w:hAnsiTheme="majorHAnsi" w:cstheme="minorHAnsi"/>
          <w:sz w:val="24"/>
          <w:szCs w:val="24"/>
        </w:rPr>
        <w:t>nt de același nivel organizațional - org2 (instituții publice bugetare) și prezintă separat și individual setul de rapoarte aferente executării bugetului autorității publice centrale căreia i se subordonează –</w:t>
      </w:r>
      <w:r w:rsidR="00B907A3" w:rsidRPr="00381DA2">
        <w:rPr>
          <w:rFonts w:asciiTheme="majorHAnsi" w:hAnsiTheme="majorHAnsi" w:cstheme="minorHAnsi"/>
          <w:sz w:val="24"/>
          <w:szCs w:val="24"/>
        </w:rPr>
        <w:t xml:space="preserve"> Ministerul Justiției (org1)</w:t>
      </w:r>
      <w:r w:rsidRPr="00381DA2">
        <w:rPr>
          <w:rFonts w:asciiTheme="majorHAnsi" w:hAnsiTheme="majorHAnsi" w:cstheme="minorHAnsi"/>
          <w:sz w:val="24"/>
          <w:szCs w:val="24"/>
        </w:rPr>
        <w:t>. La fel, conform spețelor</w:t>
      </w:r>
      <w:r w:rsidRPr="00381DA2">
        <w:rPr>
          <w:rStyle w:val="FootnoteReference"/>
          <w:rFonts w:asciiTheme="majorHAnsi" w:hAnsiTheme="majorHAnsi" w:cstheme="minorHAnsi"/>
          <w:sz w:val="24"/>
          <w:szCs w:val="24"/>
        </w:rPr>
        <w:footnoteReference w:id="101"/>
      </w:r>
      <w:r w:rsidRPr="00381DA2">
        <w:rPr>
          <w:rFonts w:asciiTheme="majorHAnsi" w:hAnsiTheme="majorHAnsi" w:cstheme="minorHAnsi"/>
          <w:sz w:val="24"/>
          <w:szCs w:val="24"/>
        </w:rPr>
        <w:t xml:space="preserve"> Legii speciale</w:t>
      </w:r>
      <w:r w:rsidR="004C163E">
        <w:rPr>
          <w:rFonts w:asciiTheme="majorHAnsi" w:hAnsiTheme="majorHAnsi" w:cstheme="minorHAnsi"/>
          <w:sz w:val="24"/>
          <w:szCs w:val="24"/>
        </w:rPr>
        <w:t>,</w:t>
      </w:r>
      <w:r w:rsidRPr="00381DA2">
        <w:rPr>
          <w:rFonts w:asciiTheme="majorHAnsi" w:hAnsiTheme="majorHAnsi" w:cstheme="minorHAnsi"/>
          <w:sz w:val="24"/>
          <w:szCs w:val="24"/>
        </w:rPr>
        <w:t xml:space="preserve"> se prevede că asistența </w:t>
      </w:r>
      <w:proofErr w:type="spellStart"/>
      <w:r w:rsidRPr="00381DA2">
        <w:rPr>
          <w:rFonts w:asciiTheme="majorHAnsi" w:hAnsiTheme="majorHAnsi" w:cstheme="minorHAnsi"/>
          <w:sz w:val="24"/>
          <w:szCs w:val="24"/>
        </w:rPr>
        <w:t>tehnico</w:t>
      </w:r>
      <w:proofErr w:type="spellEnd"/>
      <w:r w:rsidRPr="00381DA2">
        <w:rPr>
          <w:rFonts w:asciiTheme="majorHAnsi" w:hAnsiTheme="majorHAnsi" w:cstheme="minorHAnsi"/>
          <w:sz w:val="24"/>
          <w:szCs w:val="24"/>
        </w:rPr>
        <w:t xml:space="preserve">-materială a Consiliului </w:t>
      </w:r>
      <w:proofErr w:type="spellStart"/>
      <w:r w:rsidRPr="00381DA2">
        <w:rPr>
          <w:rFonts w:asciiTheme="majorHAnsi" w:hAnsiTheme="majorHAnsi" w:cstheme="minorHAnsi"/>
          <w:sz w:val="24"/>
          <w:szCs w:val="24"/>
        </w:rPr>
        <w:t>Naţional</w:t>
      </w:r>
      <w:proofErr w:type="spellEnd"/>
      <w:r w:rsidRPr="00381DA2">
        <w:rPr>
          <w:rFonts w:asciiTheme="majorHAnsi" w:hAnsiTheme="majorHAnsi" w:cstheme="minorHAnsi"/>
          <w:sz w:val="24"/>
          <w:szCs w:val="24"/>
        </w:rPr>
        <w:t xml:space="preserve"> este asigurată de MJ de la bugetul de stat </w:t>
      </w:r>
      <w:proofErr w:type="spellStart"/>
      <w:r w:rsidRPr="00381DA2">
        <w:rPr>
          <w:rFonts w:asciiTheme="majorHAnsi" w:hAnsiTheme="majorHAnsi" w:cstheme="minorHAnsi"/>
          <w:sz w:val="24"/>
          <w:szCs w:val="24"/>
        </w:rPr>
        <w:t>şi</w:t>
      </w:r>
      <w:proofErr w:type="spellEnd"/>
      <w:r w:rsidRPr="00381DA2">
        <w:rPr>
          <w:rFonts w:asciiTheme="majorHAnsi" w:hAnsiTheme="majorHAnsi" w:cstheme="minorHAnsi"/>
          <w:sz w:val="24"/>
          <w:szCs w:val="24"/>
        </w:rPr>
        <w:t xml:space="preserve"> din alte surse neinterzise de lege. </w:t>
      </w:r>
    </w:p>
    <w:p w14:paraId="14CE085D" w14:textId="0D759145" w:rsidR="00A372B0" w:rsidRPr="00381DA2" w:rsidRDefault="00A372B0" w:rsidP="00AB7851">
      <w:pPr>
        <w:pStyle w:val="ListParagraph"/>
        <w:tabs>
          <w:tab w:val="left" w:pos="360"/>
        </w:tabs>
        <w:spacing w:line="276" w:lineRule="auto"/>
        <w:ind w:left="0" w:right="58"/>
        <w:contextualSpacing w:val="0"/>
        <w:jc w:val="both"/>
        <w:rPr>
          <w:rFonts w:asciiTheme="majorHAnsi" w:hAnsiTheme="majorHAnsi" w:cstheme="minorHAnsi"/>
          <w:sz w:val="24"/>
          <w:szCs w:val="24"/>
        </w:rPr>
      </w:pPr>
      <w:r w:rsidRPr="00381DA2">
        <w:rPr>
          <w:rFonts w:asciiTheme="majorHAnsi" w:hAnsiTheme="majorHAnsi" w:cstheme="minorHAnsi"/>
          <w:sz w:val="24"/>
          <w:szCs w:val="24"/>
        </w:rPr>
        <w:t>Deși se atest</w:t>
      </w:r>
      <w:r w:rsidRPr="00381DA2">
        <w:rPr>
          <w:rFonts w:asciiTheme="majorHAnsi" w:hAnsiTheme="majorHAnsi" w:cstheme="minorHAnsi"/>
          <w:sz w:val="24"/>
          <w:szCs w:val="24"/>
          <w:lang w:val="ro-MD"/>
        </w:rPr>
        <w:t xml:space="preserve">ă </w:t>
      </w:r>
      <w:r w:rsidRPr="00381DA2">
        <w:rPr>
          <w:rFonts w:asciiTheme="majorHAnsi" w:hAnsiTheme="majorHAnsi" w:cstheme="minorHAnsi"/>
          <w:sz w:val="24"/>
          <w:szCs w:val="24"/>
        </w:rPr>
        <w:t xml:space="preserve">existența relațiilor de raportare </w:t>
      </w:r>
      <w:proofErr w:type="spellStart"/>
      <w:r w:rsidR="00AC219F" w:rsidRPr="00381DA2">
        <w:rPr>
          <w:rFonts w:asciiTheme="majorHAnsi" w:hAnsiTheme="majorHAnsi" w:cstheme="minorHAnsi"/>
          <w:sz w:val="24"/>
          <w:szCs w:val="24"/>
        </w:rPr>
        <w:t>economico</w:t>
      </w:r>
      <w:proofErr w:type="spellEnd"/>
      <w:r w:rsidR="00AC219F" w:rsidRPr="00381DA2">
        <w:rPr>
          <w:rFonts w:asciiTheme="majorHAnsi" w:hAnsiTheme="majorHAnsi" w:cstheme="minorHAnsi"/>
          <w:sz w:val="24"/>
          <w:szCs w:val="24"/>
        </w:rPr>
        <w:t>-</w:t>
      </w:r>
      <w:r w:rsidRPr="00381DA2">
        <w:rPr>
          <w:rFonts w:asciiTheme="majorHAnsi" w:hAnsiTheme="majorHAnsi" w:cstheme="minorHAnsi"/>
          <w:sz w:val="24"/>
          <w:szCs w:val="24"/>
        </w:rPr>
        <w:t>financiar</w:t>
      </w:r>
      <w:r w:rsidR="004C163E">
        <w:rPr>
          <w:rFonts w:asciiTheme="majorHAnsi" w:hAnsiTheme="majorHAnsi" w:cstheme="minorHAnsi"/>
          <w:sz w:val="24"/>
          <w:szCs w:val="24"/>
        </w:rPr>
        <w:t>ă</w:t>
      </w:r>
      <w:r w:rsidRPr="00381DA2">
        <w:rPr>
          <w:rFonts w:asciiTheme="majorHAnsi" w:hAnsiTheme="majorHAnsi" w:cstheme="minorHAnsi"/>
          <w:sz w:val="24"/>
          <w:szCs w:val="24"/>
        </w:rPr>
        <w:t xml:space="preserve"> între CNAJGS, Oficiile Teritoriale către MJ, </w:t>
      </w:r>
      <w:r w:rsidR="00B907A3" w:rsidRPr="00381DA2">
        <w:rPr>
          <w:rFonts w:asciiTheme="majorHAnsi" w:hAnsiTheme="majorHAnsi" w:cstheme="minorHAnsi"/>
          <w:sz w:val="24"/>
          <w:szCs w:val="24"/>
        </w:rPr>
        <w:t xml:space="preserve">aceste instituții </w:t>
      </w:r>
      <w:r w:rsidRPr="00381DA2">
        <w:rPr>
          <w:rFonts w:asciiTheme="majorHAnsi" w:hAnsiTheme="majorHAnsi" w:cstheme="minorHAnsi"/>
          <w:sz w:val="24"/>
          <w:szCs w:val="24"/>
        </w:rPr>
        <w:t>nu se regăsesc în lista structurilor subordonate autorității publice centrale.</w:t>
      </w:r>
    </w:p>
    <w:p w14:paraId="3F239C58" w14:textId="3E08AFDC" w:rsidR="00A372B0" w:rsidRPr="00381DA2" w:rsidRDefault="00A372B0" w:rsidP="00AB7851">
      <w:pPr>
        <w:pStyle w:val="Heading3"/>
        <w:numPr>
          <w:ilvl w:val="2"/>
          <w:numId w:val="27"/>
        </w:numPr>
        <w:tabs>
          <w:tab w:val="left" w:pos="360"/>
          <w:tab w:val="left" w:pos="540"/>
          <w:tab w:val="left" w:pos="630"/>
        </w:tabs>
        <w:spacing w:before="120" w:after="120" w:line="276" w:lineRule="auto"/>
        <w:ind w:left="0" w:firstLine="0"/>
        <w:jc w:val="both"/>
        <w:rPr>
          <w:rFonts w:cstheme="minorHAnsi"/>
          <w:b/>
          <w:i/>
          <w:color w:val="0070C0"/>
        </w:rPr>
      </w:pPr>
      <w:bookmarkStart w:id="46" w:name="_Toc128640823"/>
      <w:r w:rsidRPr="00381DA2">
        <w:rPr>
          <w:rFonts w:cstheme="minorHAnsi"/>
          <w:b/>
          <w:i/>
          <w:color w:val="0070C0"/>
        </w:rPr>
        <w:t>Organizarea administrării funcționale a sistemului necesită a fi consolidată și conformată principiilor bunei guvernări</w:t>
      </w:r>
      <w:r w:rsidR="004C163E">
        <w:rPr>
          <w:rFonts w:cstheme="minorHAnsi"/>
          <w:b/>
          <w:i/>
          <w:color w:val="0070C0"/>
        </w:rPr>
        <w:t>.</w:t>
      </w:r>
      <w:bookmarkEnd w:id="46"/>
    </w:p>
    <w:p w14:paraId="5431BD86" w14:textId="03019549" w:rsidR="00A372B0" w:rsidRPr="00381DA2" w:rsidRDefault="00A372B0" w:rsidP="003A66EF">
      <w:pPr>
        <w:tabs>
          <w:tab w:val="left" w:pos="270"/>
        </w:tabs>
        <w:spacing w:after="120" w:line="276" w:lineRule="auto"/>
        <w:jc w:val="both"/>
        <w:rPr>
          <w:rFonts w:asciiTheme="majorHAnsi" w:hAnsiTheme="majorHAnsi" w:cstheme="minorHAnsi"/>
          <w:sz w:val="24"/>
          <w:szCs w:val="24"/>
        </w:rPr>
      </w:pPr>
      <w:r w:rsidRPr="00381DA2">
        <w:rPr>
          <w:rFonts w:asciiTheme="majorHAnsi" w:hAnsiTheme="majorHAnsi" w:cstheme="minorHAnsi"/>
          <w:sz w:val="24"/>
          <w:szCs w:val="24"/>
        </w:rPr>
        <w:t xml:space="preserve">Actualul sistem </w:t>
      </w:r>
      <w:r w:rsidRPr="00D341A8">
        <w:rPr>
          <w:rFonts w:asciiTheme="majorHAnsi" w:hAnsiTheme="majorHAnsi" w:cstheme="minorHAnsi"/>
          <w:sz w:val="24"/>
          <w:szCs w:val="24"/>
        </w:rPr>
        <w:t>de organizare a</w:t>
      </w:r>
      <w:r w:rsidR="00D341A8" w:rsidRPr="00D341A8">
        <w:rPr>
          <w:rFonts w:asciiTheme="majorHAnsi" w:hAnsiTheme="majorHAnsi" w:cstheme="minorHAnsi"/>
          <w:sz w:val="24"/>
          <w:szCs w:val="24"/>
        </w:rPr>
        <w:t xml:space="preserve"> sistemului de administrare a AJGS prin </w:t>
      </w:r>
      <w:r w:rsidRPr="00D341A8">
        <w:rPr>
          <w:rFonts w:asciiTheme="majorHAnsi" w:hAnsiTheme="majorHAnsi" w:cstheme="minorHAnsi"/>
          <w:sz w:val="24"/>
          <w:szCs w:val="24"/>
        </w:rPr>
        <w:t xml:space="preserve"> intermediul</w:t>
      </w:r>
      <w:r w:rsidR="00D341A8" w:rsidRPr="00D341A8">
        <w:rPr>
          <w:rFonts w:asciiTheme="majorHAnsi" w:hAnsiTheme="majorHAnsi" w:cstheme="minorHAnsi"/>
          <w:sz w:val="24"/>
          <w:szCs w:val="24"/>
        </w:rPr>
        <w:t xml:space="preserve"> CNAJGS, </w:t>
      </w:r>
      <w:r w:rsidRPr="00D341A8">
        <w:rPr>
          <w:rFonts w:asciiTheme="majorHAnsi" w:hAnsiTheme="majorHAnsi" w:cstheme="minorHAnsi"/>
          <w:sz w:val="24"/>
          <w:szCs w:val="24"/>
        </w:rPr>
        <w:t xml:space="preserve"> aparatului</w:t>
      </w:r>
      <w:r w:rsidR="00D341A8" w:rsidRPr="00D341A8">
        <w:rPr>
          <w:rFonts w:asciiTheme="majorHAnsi" w:hAnsiTheme="majorHAnsi" w:cstheme="minorHAnsi"/>
          <w:sz w:val="24"/>
          <w:szCs w:val="24"/>
        </w:rPr>
        <w:t xml:space="preserve"> administrativ</w:t>
      </w:r>
      <w:r w:rsidRPr="00381DA2">
        <w:rPr>
          <w:rFonts w:asciiTheme="majorHAnsi" w:hAnsiTheme="majorHAnsi" w:cstheme="minorHAnsi"/>
          <w:sz w:val="24"/>
          <w:szCs w:val="24"/>
        </w:rPr>
        <w:t xml:space="preserve">, cât și a celor patru OT, care sunt persoane juridice distincte </w:t>
      </w:r>
      <w:r w:rsidR="00953B0C" w:rsidRPr="00381DA2">
        <w:rPr>
          <w:rFonts w:asciiTheme="majorHAnsi" w:hAnsiTheme="majorHAnsi" w:cstheme="minorHAnsi"/>
          <w:sz w:val="24"/>
          <w:szCs w:val="24"/>
        </w:rPr>
        <w:t>și</w:t>
      </w:r>
      <w:r w:rsidRPr="00381DA2">
        <w:rPr>
          <w:rFonts w:asciiTheme="majorHAnsi" w:hAnsiTheme="majorHAnsi" w:cstheme="minorHAnsi"/>
          <w:sz w:val="24"/>
          <w:szCs w:val="24"/>
        </w:rPr>
        <w:t xml:space="preserve"> gestionează fiecare în parte mijloacele bugetare aprobate, nu asigură pe deplin respectarea principiilor bunei guvernări, în speță a eficienței și economicității utilizării mijloacelor publice.</w:t>
      </w:r>
    </w:p>
    <w:p w14:paraId="1340AA8E" w14:textId="22654C2B" w:rsidR="00A372B0" w:rsidRPr="00381DA2" w:rsidRDefault="00A372B0" w:rsidP="00A274C6">
      <w:pPr>
        <w:spacing w:after="80" w:line="276" w:lineRule="auto"/>
        <w:jc w:val="both"/>
        <w:rPr>
          <w:rFonts w:asciiTheme="majorHAnsi" w:hAnsiTheme="majorHAnsi" w:cstheme="minorHAnsi"/>
          <w:sz w:val="24"/>
          <w:szCs w:val="24"/>
        </w:rPr>
      </w:pPr>
      <w:r w:rsidRPr="00381DA2">
        <w:rPr>
          <w:rFonts w:asciiTheme="majorHAnsi" w:hAnsiTheme="majorHAnsi" w:cstheme="minorHAnsi"/>
          <w:sz w:val="24"/>
          <w:szCs w:val="24"/>
          <w:lang w:val="ro-RO"/>
        </w:rPr>
        <w:t>Structura funcțională și efectivul</w:t>
      </w:r>
      <w:r w:rsidR="004C163E">
        <w:rPr>
          <w:rFonts w:asciiTheme="majorHAnsi" w:hAnsiTheme="majorHAnsi" w:cstheme="minorHAnsi"/>
          <w:sz w:val="24"/>
          <w:szCs w:val="24"/>
          <w:lang w:val="ro-RO"/>
        </w:rPr>
        <w:t>-</w:t>
      </w:r>
      <w:r w:rsidRPr="00381DA2">
        <w:rPr>
          <w:rFonts w:asciiTheme="majorHAnsi" w:hAnsiTheme="majorHAnsi" w:cstheme="minorHAnsi"/>
          <w:sz w:val="24"/>
          <w:szCs w:val="24"/>
          <w:lang w:val="ro-RO"/>
        </w:rPr>
        <w:t>limită de personal al</w:t>
      </w:r>
      <w:r w:rsidR="005E66AB">
        <w:rPr>
          <w:rFonts w:asciiTheme="majorHAnsi" w:hAnsiTheme="majorHAnsi" w:cstheme="minorHAnsi"/>
          <w:sz w:val="24"/>
          <w:szCs w:val="24"/>
          <w:lang w:val="ro-RO"/>
        </w:rPr>
        <w:t>e</w:t>
      </w:r>
      <w:r w:rsidRPr="00381DA2">
        <w:rPr>
          <w:rFonts w:asciiTheme="majorHAnsi" w:hAnsiTheme="majorHAnsi" w:cstheme="minorHAnsi"/>
          <w:sz w:val="24"/>
          <w:szCs w:val="24"/>
          <w:lang w:val="ro-RO"/>
        </w:rPr>
        <w:t xml:space="preserve"> instituțiilor publice responsabile de administrarea sistemului de AJGS, aprobate prin schemele de încadrare este constituită  din 33 de angajați, inclusiv: Aparatul administrativ – 6 unități, OT Chișinău – 13 unități, OT Bălți – 6 unități, OT Cahul – 4 unități</w:t>
      </w:r>
      <w:r w:rsidR="005E66AB">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și OT Comrat – 4 unități.</w:t>
      </w:r>
      <w:r w:rsidRPr="00381DA2">
        <w:rPr>
          <w:rFonts w:asciiTheme="majorHAnsi" w:hAnsiTheme="majorHAnsi" w:cstheme="minorHAnsi"/>
          <w:sz w:val="24"/>
          <w:szCs w:val="24"/>
        </w:rPr>
        <w:t xml:space="preserve"> Analizele de audit relevă că</w:t>
      </w:r>
      <w:r w:rsidRPr="00381DA2">
        <w:rPr>
          <w:rFonts w:asciiTheme="majorHAnsi" w:hAnsiTheme="majorHAnsi" w:cstheme="minorHAnsi"/>
          <w:sz w:val="24"/>
          <w:szCs w:val="24"/>
          <w:lang w:val="ro-RO"/>
        </w:rPr>
        <w:t xml:space="preserve"> în entitățile responsabile de administrarea sistemului în teritoriu activează: patru coordonatori ai OT și patru contabili</w:t>
      </w:r>
      <w:r w:rsidR="005E66AB">
        <w:rPr>
          <w:rFonts w:asciiTheme="majorHAnsi" w:hAnsiTheme="majorHAnsi" w:cstheme="minorHAnsi"/>
          <w:sz w:val="24"/>
          <w:szCs w:val="24"/>
          <w:lang w:val="ro-RO"/>
        </w:rPr>
        <w:t>-</w:t>
      </w:r>
      <w:r w:rsidRPr="00381DA2">
        <w:rPr>
          <w:rFonts w:asciiTheme="majorHAnsi" w:hAnsiTheme="majorHAnsi" w:cstheme="minorHAnsi"/>
          <w:sz w:val="24"/>
          <w:szCs w:val="24"/>
          <w:lang w:val="ro-RO"/>
        </w:rPr>
        <w:t>șefi, care</w:t>
      </w:r>
      <w:r w:rsidR="005E66AB">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deși s</w:t>
      </w:r>
      <w:r w:rsidR="005E66AB">
        <w:rPr>
          <w:rFonts w:asciiTheme="majorHAnsi" w:hAnsiTheme="majorHAnsi" w:cstheme="minorHAnsi"/>
          <w:sz w:val="24"/>
          <w:szCs w:val="24"/>
          <w:lang w:val="ro-RO"/>
        </w:rPr>
        <w:t>u</w:t>
      </w:r>
      <w:r w:rsidRPr="00381DA2">
        <w:rPr>
          <w:rFonts w:asciiTheme="majorHAnsi" w:hAnsiTheme="majorHAnsi" w:cstheme="minorHAnsi"/>
          <w:sz w:val="24"/>
          <w:szCs w:val="24"/>
          <w:lang w:val="ro-RO"/>
        </w:rPr>
        <w:t>nt remunerați în condiții egale</w:t>
      </w:r>
      <w:r w:rsidR="005E66AB">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exercită un volum de muncă diferit. Mai mult </w:t>
      </w:r>
      <w:r w:rsidR="005E66AB">
        <w:rPr>
          <w:rFonts w:asciiTheme="majorHAnsi" w:hAnsiTheme="majorHAnsi" w:cstheme="minorHAnsi"/>
          <w:sz w:val="24"/>
          <w:szCs w:val="24"/>
          <w:lang w:val="ro-RO"/>
        </w:rPr>
        <w:t>dec</w:t>
      </w:r>
      <w:proofErr w:type="spellStart"/>
      <w:r w:rsidR="005E66AB">
        <w:rPr>
          <w:rFonts w:asciiTheme="majorHAnsi" w:hAnsiTheme="majorHAnsi" w:cstheme="minorHAnsi"/>
          <w:sz w:val="24"/>
          <w:szCs w:val="24"/>
        </w:rPr>
        <w:t>ât</w:t>
      </w:r>
      <w:proofErr w:type="spellEnd"/>
      <w:r w:rsidRPr="00381DA2">
        <w:rPr>
          <w:rFonts w:asciiTheme="majorHAnsi" w:hAnsiTheme="majorHAnsi" w:cstheme="minorHAnsi"/>
          <w:sz w:val="24"/>
          <w:szCs w:val="24"/>
          <w:lang w:val="ro-RO"/>
        </w:rPr>
        <w:t xml:space="preserve"> atât, reieșind din faptul că în structura organizațională a oficiilor nu există o subdiviziune responsabilă de procesele financiar-administrative, un număr semnificativ de funcții și atribuții aferente acestora le execută contabilul-șef, coordonatorul și</w:t>
      </w:r>
      <w:r w:rsidR="00CE18E6">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după caz</w:t>
      </w:r>
      <w:r w:rsidR="00CE18E6">
        <w:rPr>
          <w:rFonts w:asciiTheme="majorHAnsi" w:hAnsiTheme="majorHAnsi" w:cstheme="minorHAnsi"/>
          <w:sz w:val="24"/>
          <w:szCs w:val="24"/>
          <w:lang w:val="ro-RO"/>
        </w:rPr>
        <w:t>,</w:t>
      </w:r>
      <w:r w:rsidRPr="00381DA2">
        <w:rPr>
          <w:rFonts w:asciiTheme="majorHAnsi" w:hAnsiTheme="majorHAnsi" w:cstheme="minorHAnsi"/>
          <w:sz w:val="24"/>
          <w:szCs w:val="24"/>
          <w:lang w:val="ro-RO"/>
        </w:rPr>
        <w:t xml:space="preserve"> alți angajați. Astfel, se atestă </w:t>
      </w:r>
      <w:r w:rsidRPr="00381DA2">
        <w:rPr>
          <w:rFonts w:asciiTheme="majorHAnsi" w:hAnsiTheme="majorHAnsi"/>
          <w:sz w:val="24"/>
          <w:szCs w:val="24"/>
        </w:rPr>
        <w:t xml:space="preserve">disproporționalități semnificative în ceea ce privește </w:t>
      </w:r>
      <w:r w:rsidRPr="002E3358">
        <w:rPr>
          <w:rFonts w:asciiTheme="majorHAnsi" w:hAnsiTheme="majorHAnsi"/>
          <w:sz w:val="24"/>
          <w:szCs w:val="24"/>
        </w:rPr>
        <w:t>exercitarea de către funcțiile manageriale din Oficiile teritoriale cu volum de lucru mai mare, comparativ</w:t>
      </w:r>
      <w:r w:rsidRPr="00381DA2">
        <w:rPr>
          <w:rFonts w:asciiTheme="majorHAnsi" w:hAnsiTheme="majorHAnsi"/>
          <w:sz w:val="24"/>
          <w:szCs w:val="24"/>
        </w:rPr>
        <w:t xml:space="preserve"> cu Oficiile teritoriale cu încărcătura mai mică.</w:t>
      </w:r>
      <w:r w:rsidR="00A274C6">
        <w:rPr>
          <w:rFonts w:asciiTheme="majorHAnsi" w:hAnsiTheme="majorHAnsi"/>
          <w:sz w:val="24"/>
          <w:szCs w:val="24"/>
        </w:rPr>
        <w:t xml:space="preserve"> </w:t>
      </w:r>
      <w:r w:rsidRPr="00381DA2">
        <w:rPr>
          <w:rFonts w:asciiTheme="majorHAnsi" w:hAnsiTheme="majorHAnsi" w:cstheme="minorHAnsi"/>
          <w:sz w:val="24"/>
          <w:szCs w:val="24"/>
        </w:rPr>
        <w:t>Sintetic, situația grafică</w:t>
      </w:r>
      <w:r w:rsidR="00CE18E6">
        <w:rPr>
          <w:rFonts w:asciiTheme="majorHAnsi" w:hAnsiTheme="majorHAnsi" w:cstheme="minorHAnsi"/>
          <w:sz w:val="24"/>
          <w:szCs w:val="24"/>
        </w:rPr>
        <w:t>,</w:t>
      </w:r>
      <w:r w:rsidRPr="00381DA2">
        <w:rPr>
          <w:rFonts w:asciiTheme="majorHAnsi" w:hAnsiTheme="majorHAnsi" w:cstheme="minorHAnsi"/>
          <w:sz w:val="24"/>
          <w:szCs w:val="24"/>
        </w:rPr>
        <w:t xml:space="preserve"> precum și repartizarea procentuală a volumului de AJGS gestionat de fiecare din cele patru oficii teritoriale pentru anul 2022 se prezintă în diagrama de mai jos.   </w:t>
      </w:r>
    </w:p>
    <w:p w14:paraId="07929BB9" w14:textId="77777777" w:rsidR="00BB118F" w:rsidRDefault="00BB118F" w:rsidP="003A66EF">
      <w:pPr>
        <w:spacing w:after="0" w:line="276" w:lineRule="auto"/>
        <w:jc w:val="right"/>
        <w:rPr>
          <w:rFonts w:asciiTheme="majorHAnsi" w:hAnsiTheme="majorHAnsi" w:cstheme="minorHAnsi"/>
          <w:sz w:val="24"/>
          <w:szCs w:val="24"/>
        </w:rPr>
      </w:pPr>
    </w:p>
    <w:p w14:paraId="2B58CBF0" w14:textId="77777777" w:rsidR="00BB118F" w:rsidRDefault="00BB118F" w:rsidP="003A66EF">
      <w:pPr>
        <w:spacing w:after="0" w:line="276" w:lineRule="auto"/>
        <w:jc w:val="right"/>
        <w:rPr>
          <w:rFonts w:asciiTheme="majorHAnsi" w:hAnsiTheme="majorHAnsi" w:cstheme="minorHAnsi"/>
          <w:sz w:val="24"/>
          <w:szCs w:val="24"/>
        </w:rPr>
      </w:pPr>
    </w:p>
    <w:p w14:paraId="5B7FD861" w14:textId="77777777" w:rsidR="00BB118F" w:rsidRDefault="00BB118F" w:rsidP="003A66EF">
      <w:pPr>
        <w:spacing w:after="0" w:line="276" w:lineRule="auto"/>
        <w:jc w:val="right"/>
        <w:rPr>
          <w:rFonts w:asciiTheme="majorHAnsi" w:hAnsiTheme="majorHAnsi" w:cstheme="minorHAnsi"/>
          <w:sz w:val="24"/>
          <w:szCs w:val="24"/>
        </w:rPr>
      </w:pPr>
    </w:p>
    <w:p w14:paraId="2A5DCA5E" w14:textId="77777777" w:rsidR="00BB118F" w:rsidRDefault="00BB118F" w:rsidP="003A66EF">
      <w:pPr>
        <w:spacing w:after="0" w:line="276" w:lineRule="auto"/>
        <w:jc w:val="right"/>
        <w:rPr>
          <w:rFonts w:asciiTheme="majorHAnsi" w:hAnsiTheme="majorHAnsi" w:cstheme="minorHAnsi"/>
          <w:sz w:val="24"/>
          <w:szCs w:val="24"/>
        </w:rPr>
      </w:pPr>
    </w:p>
    <w:p w14:paraId="32DBBA24" w14:textId="7E6CAE0B" w:rsidR="00A372B0" w:rsidRPr="00381DA2" w:rsidRDefault="00A372B0" w:rsidP="003A66EF">
      <w:pPr>
        <w:spacing w:after="0" w:line="276" w:lineRule="auto"/>
        <w:jc w:val="right"/>
        <w:rPr>
          <w:rFonts w:asciiTheme="majorHAnsi" w:hAnsiTheme="majorHAnsi" w:cstheme="minorHAnsi"/>
          <w:sz w:val="24"/>
          <w:szCs w:val="24"/>
        </w:rPr>
      </w:pPr>
      <w:r w:rsidRPr="00381DA2">
        <w:rPr>
          <w:rFonts w:asciiTheme="majorHAnsi" w:hAnsiTheme="majorHAnsi" w:cstheme="minorHAnsi"/>
          <w:sz w:val="24"/>
          <w:szCs w:val="24"/>
        </w:rPr>
        <w:t>Diagrama nr. 3</w:t>
      </w:r>
    </w:p>
    <w:p w14:paraId="3280C587" w14:textId="77777777" w:rsidR="00A372B0" w:rsidRPr="00381DA2" w:rsidRDefault="00082DEC" w:rsidP="003A66EF">
      <w:pPr>
        <w:spacing w:after="0" w:line="276" w:lineRule="auto"/>
        <w:jc w:val="center"/>
        <w:rPr>
          <w:rFonts w:asciiTheme="majorHAnsi" w:hAnsiTheme="majorHAnsi" w:cstheme="minorHAnsi"/>
          <w:b/>
          <w:color w:val="002060"/>
          <w:sz w:val="24"/>
          <w:szCs w:val="24"/>
          <w:u w:val="single"/>
        </w:rPr>
      </w:pPr>
      <w:r w:rsidRPr="00381DA2">
        <w:rPr>
          <w:rFonts w:asciiTheme="majorHAnsi" w:hAnsiTheme="majorHAnsi" w:cstheme="minorHAnsi"/>
          <w:b/>
          <w:color w:val="002060"/>
          <w:sz w:val="24"/>
          <w:szCs w:val="24"/>
          <w:u w:val="single"/>
        </w:rPr>
        <w:t xml:space="preserve">Disproporționalități între </w:t>
      </w:r>
      <w:r w:rsidR="00A372B0" w:rsidRPr="00381DA2">
        <w:rPr>
          <w:rFonts w:asciiTheme="majorHAnsi" w:hAnsiTheme="majorHAnsi" w:cstheme="minorHAnsi"/>
          <w:b/>
          <w:color w:val="002060"/>
          <w:sz w:val="24"/>
          <w:szCs w:val="24"/>
          <w:u w:val="single"/>
        </w:rPr>
        <w:t>v</w:t>
      </w:r>
      <w:r w:rsidR="00FD5156">
        <w:rPr>
          <w:rFonts w:asciiTheme="majorHAnsi" w:hAnsiTheme="majorHAnsi" w:cstheme="minorHAnsi"/>
          <w:b/>
          <w:color w:val="002060"/>
          <w:sz w:val="24"/>
          <w:szCs w:val="24"/>
          <w:u w:val="single"/>
        </w:rPr>
        <w:t>olumul</w:t>
      </w:r>
      <w:r w:rsidRPr="00381DA2">
        <w:rPr>
          <w:rFonts w:asciiTheme="majorHAnsi" w:hAnsiTheme="majorHAnsi" w:cstheme="minorHAnsi"/>
          <w:b/>
          <w:color w:val="002060"/>
          <w:sz w:val="24"/>
          <w:szCs w:val="24"/>
          <w:u w:val="single"/>
        </w:rPr>
        <w:t xml:space="preserve"> de asistență acordat</w:t>
      </w:r>
      <w:r w:rsidR="00FD5156">
        <w:rPr>
          <w:rFonts w:asciiTheme="majorHAnsi" w:hAnsiTheme="majorHAnsi" w:cstheme="minorHAnsi"/>
          <w:b/>
          <w:color w:val="002060"/>
          <w:sz w:val="24"/>
          <w:szCs w:val="24"/>
          <w:u w:val="single"/>
        </w:rPr>
        <w:t>ă</w:t>
      </w:r>
      <w:r w:rsidRPr="00381DA2">
        <w:rPr>
          <w:rFonts w:asciiTheme="majorHAnsi" w:hAnsiTheme="majorHAnsi" w:cstheme="minorHAnsi"/>
          <w:b/>
          <w:color w:val="002060"/>
          <w:sz w:val="24"/>
          <w:szCs w:val="24"/>
          <w:u w:val="single"/>
        </w:rPr>
        <w:t xml:space="preserve"> de către </w:t>
      </w:r>
      <w:r w:rsidR="00A372B0" w:rsidRPr="00381DA2">
        <w:rPr>
          <w:rFonts w:asciiTheme="majorHAnsi" w:hAnsiTheme="majorHAnsi" w:cstheme="minorHAnsi"/>
          <w:b/>
          <w:color w:val="002060"/>
          <w:sz w:val="24"/>
          <w:szCs w:val="24"/>
          <w:u w:val="single"/>
        </w:rPr>
        <w:t>Oficiile Teritoriale</w:t>
      </w:r>
    </w:p>
    <w:p w14:paraId="1126ACB4" w14:textId="2327D987" w:rsidR="00A372B0" w:rsidRPr="00381DA2" w:rsidRDefault="00A372B0" w:rsidP="003A66EF">
      <w:pPr>
        <w:spacing w:line="276" w:lineRule="auto"/>
        <w:jc w:val="center"/>
        <w:rPr>
          <w:rFonts w:asciiTheme="majorHAnsi" w:hAnsiTheme="majorHAnsi" w:cstheme="minorHAnsi"/>
          <w:b/>
          <w:color w:val="002060"/>
          <w:sz w:val="24"/>
          <w:szCs w:val="24"/>
          <w:u w:val="single"/>
        </w:rPr>
      </w:pPr>
      <w:r w:rsidRPr="00381DA2">
        <w:rPr>
          <w:rFonts w:asciiTheme="majorHAnsi" w:hAnsiTheme="majorHAnsi" w:cstheme="minorHAnsi"/>
          <w:b/>
          <w:color w:val="002060"/>
          <w:sz w:val="24"/>
          <w:szCs w:val="24"/>
          <w:u w:val="single"/>
        </w:rPr>
        <w:t xml:space="preserve">în </w:t>
      </w:r>
      <w:r w:rsidR="00FF02D2">
        <w:rPr>
          <w:rFonts w:asciiTheme="majorHAnsi" w:hAnsiTheme="majorHAnsi" w:cstheme="minorHAnsi"/>
          <w:b/>
          <w:color w:val="002060"/>
          <w:sz w:val="24"/>
          <w:szCs w:val="24"/>
          <w:u w:val="single"/>
        </w:rPr>
        <w:t>funcție</w:t>
      </w:r>
      <w:r w:rsidR="00FF02D2" w:rsidRPr="00381DA2">
        <w:rPr>
          <w:rFonts w:asciiTheme="majorHAnsi" w:hAnsiTheme="majorHAnsi" w:cstheme="minorHAnsi"/>
          <w:b/>
          <w:color w:val="002060"/>
          <w:sz w:val="24"/>
          <w:szCs w:val="24"/>
          <w:u w:val="single"/>
        </w:rPr>
        <w:t xml:space="preserve"> </w:t>
      </w:r>
      <w:r w:rsidRPr="00381DA2">
        <w:rPr>
          <w:rFonts w:asciiTheme="majorHAnsi" w:hAnsiTheme="majorHAnsi" w:cstheme="minorHAnsi"/>
          <w:b/>
          <w:color w:val="002060"/>
          <w:sz w:val="24"/>
          <w:szCs w:val="24"/>
          <w:u w:val="single"/>
        </w:rPr>
        <w:t>de capacitate</w:t>
      </w:r>
      <w:r w:rsidR="00FF02D2">
        <w:rPr>
          <w:rFonts w:asciiTheme="majorHAnsi" w:hAnsiTheme="majorHAnsi" w:cstheme="minorHAnsi"/>
          <w:b/>
          <w:color w:val="002060"/>
          <w:sz w:val="24"/>
          <w:szCs w:val="24"/>
          <w:u w:val="single"/>
        </w:rPr>
        <w:t>a</w:t>
      </w:r>
      <w:r w:rsidRPr="00381DA2">
        <w:rPr>
          <w:rFonts w:asciiTheme="majorHAnsi" w:hAnsiTheme="majorHAnsi" w:cstheme="minorHAnsi"/>
          <w:b/>
          <w:color w:val="002060"/>
          <w:sz w:val="24"/>
          <w:szCs w:val="24"/>
          <w:u w:val="single"/>
        </w:rPr>
        <w:t xml:space="preserve"> instituțională</w:t>
      </w:r>
    </w:p>
    <w:p w14:paraId="13BC3502" w14:textId="77777777" w:rsidR="00A372B0" w:rsidRPr="00381DA2" w:rsidRDefault="00A372B0" w:rsidP="003A66EF">
      <w:pPr>
        <w:spacing w:line="276" w:lineRule="auto"/>
        <w:jc w:val="center"/>
        <w:rPr>
          <w:rFonts w:asciiTheme="majorHAnsi" w:hAnsiTheme="majorHAnsi" w:cstheme="minorHAnsi"/>
          <w:sz w:val="24"/>
          <w:szCs w:val="24"/>
          <w:lang w:val="ro-RO"/>
        </w:rPr>
      </w:pPr>
      <w:r w:rsidRPr="00381DA2">
        <w:rPr>
          <w:rFonts w:asciiTheme="majorHAnsi" w:hAnsiTheme="majorHAnsi" w:cstheme="minorHAnsi"/>
          <w:noProof/>
          <w:sz w:val="24"/>
          <w:szCs w:val="24"/>
          <w:lang w:val="en-US"/>
        </w:rPr>
        <w:drawing>
          <wp:inline distT="0" distB="0" distL="0" distR="0" wp14:anchorId="25EB406F" wp14:editId="4D139A73">
            <wp:extent cx="5224780" cy="3499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4780" cy="3499485"/>
                    </a:xfrm>
                    <a:prstGeom prst="rect">
                      <a:avLst/>
                    </a:prstGeom>
                    <a:noFill/>
                  </pic:spPr>
                </pic:pic>
              </a:graphicData>
            </a:graphic>
          </wp:inline>
        </w:drawing>
      </w:r>
    </w:p>
    <w:p w14:paraId="364A495F" w14:textId="27276336" w:rsidR="00A372B0" w:rsidRPr="00381DA2" w:rsidRDefault="00A372B0" w:rsidP="003A66EF">
      <w:pPr>
        <w:spacing w:line="276" w:lineRule="auto"/>
        <w:jc w:val="both"/>
        <w:rPr>
          <w:rFonts w:asciiTheme="majorHAnsi" w:hAnsiTheme="majorHAnsi" w:cstheme="minorHAnsi"/>
          <w:sz w:val="24"/>
          <w:szCs w:val="24"/>
        </w:rPr>
      </w:pPr>
      <w:r w:rsidRPr="00381DA2">
        <w:rPr>
          <w:rFonts w:asciiTheme="majorHAnsi" w:hAnsiTheme="majorHAnsi" w:cstheme="minorHAnsi"/>
          <w:sz w:val="24"/>
          <w:szCs w:val="24"/>
          <w:lang w:val="ro-RO"/>
        </w:rPr>
        <w:t>Așa cum rezultă din diagramă, d</w:t>
      </w:r>
      <w:r w:rsidRPr="00381DA2">
        <w:rPr>
          <w:rFonts w:asciiTheme="majorHAnsi" w:hAnsiTheme="majorHAnsi" w:cstheme="minorHAnsi"/>
          <w:sz w:val="24"/>
          <w:szCs w:val="24"/>
        </w:rPr>
        <w:t>in punct</w:t>
      </w:r>
      <w:r w:rsidR="00FF02D2">
        <w:rPr>
          <w:rFonts w:asciiTheme="majorHAnsi" w:hAnsiTheme="majorHAnsi" w:cstheme="minorHAnsi"/>
          <w:sz w:val="24"/>
          <w:szCs w:val="24"/>
        </w:rPr>
        <w:t>ul</w:t>
      </w:r>
      <w:r w:rsidRPr="00381DA2">
        <w:rPr>
          <w:rFonts w:asciiTheme="majorHAnsi" w:hAnsiTheme="majorHAnsi" w:cstheme="minorHAnsi"/>
          <w:sz w:val="24"/>
          <w:szCs w:val="24"/>
        </w:rPr>
        <w:t xml:space="preserve"> de vedere al gestionării mijloacelor bugetare destinate finanțării AJGS, cea mai mare pondere, de circa </w:t>
      </w:r>
      <w:r w:rsidRPr="00381DA2">
        <w:rPr>
          <w:rFonts w:asciiTheme="majorHAnsi" w:hAnsiTheme="majorHAnsi" w:cstheme="minorHAnsi"/>
          <w:bCs/>
          <w:sz w:val="24"/>
          <w:szCs w:val="24"/>
        </w:rPr>
        <w:t>60%,</w:t>
      </w:r>
      <w:r w:rsidRPr="00381DA2">
        <w:rPr>
          <w:rFonts w:asciiTheme="majorHAnsi" w:hAnsiTheme="majorHAnsi" w:cstheme="minorHAnsi"/>
          <w:b/>
          <w:bCs/>
          <w:sz w:val="24"/>
          <w:szCs w:val="24"/>
        </w:rPr>
        <w:t xml:space="preserve"> </w:t>
      </w:r>
      <w:r w:rsidRPr="00381DA2">
        <w:rPr>
          <w:rFonts w:asciiTheme="majorHAnsi" w:hAnsiTheme="majorHAnsi" w:cstheme="minorHAnsi"/>
          <w:sz w:val="24"/>
          <w:szCs w:val="24"/>
        </w:rPr>
        <w:t>a fost înregistrată la OT Chișinău al C</w:t>
      </w:r>
      <w:r w:rsidR="00FD5156">
        <w:rPr>
          <w:rFonts w:asciiTheme="majorHAnsi" w:hAnsiTheme="majorHAnsi" w:cstheme="minorHAnsi"/>
          <w:sz w:val="24"/>
          <w:szCs w:val="24"/>
        </w:rPr>
        <w:t xml:space="preserve">NAJGS, urmat de OT Bălți – 27%, </w:t>
      </w:r>
      <w:r w:rsidRPr="00381DA2">
        <w:rPr>
          <w:rFonts w:asciiTheme="majorHAnsi" w:hAnsiTheme="majorHAnsi" w:cstheme="minorHAnsi"/>
          <w:sz w:val="24"/>
          <w:szCs w:val="24"/>
        </w:rPr>
        <w:t xml:space="preserve">OT Cahul și OT Comrat </w:t>
      </w:r>
      <w:r w:rsidR="00FF02D2">
        <w:rPr>
          <w:rFonts w:asciiTheme="majorHAnsi" w:hAnsiTheme="majorHAnsi" w:cstheme="minorHAnsi"/>
          <w:sz w:val="24"/>
          <w:szCs w:val="24"/>
        </w:rPr>
        <w:t xml:space="preserve">– </w:t>
      </w:r>
      <w:r w:rsidRPr="00381DA2">
        <w:rPr>
          <w:rFonts w:asciiTheme="majorHAnsi" w:hAnsiTheme="majorHAnsi" w:cstheme="minorHAnsi"/>
          <w:sz w:val="24"/>
          <w:szCs w:val="24"/>
        </w:rPr>
        <w:t>câte 6%. Aceleași ponderi s</w:t>
      </w:r>
      <w:r w:rsidR="00FF02D2">
        <w:rPr>
          <w:rFonts w:asciiTheme="majorHAnsi" w:hAnsiTheme="majorHAnsi" w:cstheme="minorHAnsi"/>
          <w:sz w:val="24"/>
          <w:szCs w:val="24"/>
        </w:rPr>
        <w:t>u</w:t>
      </w:r>
      <w:r w:rsidRPr="00381DA2">
        <w:rPr>
          <w:rFonts w:asciiTheme="majorHAnsi" w:hAnsiTheme="majorHAnsi" w:cstheme="minorHAnsi"/>
          <w:sz w:val="24"/>
          <w:szCs w:val="24"/>
        </w:rPr>
        <w:t>nt înregistrate atât la repartizarea volumului de asistență juridică acordată</w:t>
      </w:r>
      <w:r w:rsidR="00FF02D2">
        <w:rPr>
          <w:rFonts w:asciiTheme="majorHAnsi" w:hAnsiTheme="majorHAnsi" w:cstheme="minorHAnsi"/>
          <w:sz w:val="24"/>
          <w:szCs w:val="24"/>
        </w:rPr>
        <w:t>,</w:t>
      </w:r>
      <w:r w:rsidRPr="00381DA2">
        <w:rPr>
          <w:rFonts w:asciiTheme="majorHAnsi" w:hAnsiTheme="majorHAnsi" w:cstheme="minorHAnsi"/>
          <w:sz w:val="24"/>
          <w:szCs w:val="24"/>
        </w:rPr>
        <w:t xml:space="preserve"> precum și la numărul de prestatori de servicii juridice contractați de către Oficiile teritoriale. În fapt, situația expusă este determinată de jurisdicția teritorială în raza căreia activează OT, astfel: Chișinău cuprinde 17 raioane și mun. Chișinău; OT Bălți – 11 raioane și mun. Bălți; OT Comrat – 6 raioane</w:t>
      </w:r>
      <w:r w:rsidR="00FF02D2">
        <w:rPr>
          <w:rFonts w:asciiTheme="majorHAnsi" w:hAnsiTheme="majorHAnsi" w:cstheme="minorHAnsi"/>
          <w:sz w:val="24"/>
          <w:szCs w:val="24"/>
        </w:rPr>
        <w:t>,</w:t>
      </w:r>
      <w:r w:rsidRPr="00381DA2">
        <w:rPr>
          <w:rFonts w:asciiTheme="majorHAnsi" w:hAnsiTheme="majorHAnsi" w:cstheme="minorHAnsi"/>
          <w:sz w:val="24"/>
          <w:szCs w:val="24"/>
        </w:rPr>
        <w:t xml:space="preserve"> și OT Cahul – 3 raioane.</w:t>
      </w:r>
    </w:p>
    <w:p w14:paraId="5AED8B77" w14:textId="64979E22" w:rsidR="00A372B0" w:rsidRPr="00381DA2" w:rsidRDefault="00A372B0" w:rsidP="00086ABE">
      <w:pPr>
        <w:pStyle w:val="ListParagraph"/>
        <w:tabs>
          <w:tab w:val="left" w:pos="360"/>
        </w:tabs>
        <w:spacing w:line="276" w:lineRule="auto"/>
        <w:ind w:left="0" w:right="58"/>
        <w:contextualSpacing w:val="0"/>
        <w:jc w:val="both"/>
        <w:rPr>
          <w:rFonts w:asciiTheme="majorHAnsi" w:hAnsiTheme="majorHAnsi" w:cstheme="minorHAnsi"/>
          <w:sz w:val="24"/>
          <w:szCs w:val="24"/>
        </w:rPr>
      </w:pPr>
      <w:r w:rsidRPr="00381DA2">
        <w:rPr>
          <w:rFonts w:asciiTheme="majorHAnsi" w:hAnsiTheme="majorHAnsi" w:cstheme="minorHAnsi"/>
          <w:sz w:val="24"/>
          <w:szCs w:val="24"/>
        </w:rPr>
        <w:t xml:space="preserve">O altă observație de audit ține de neconcordanța între diferite acte juridice și administrative </w:t>
      </w:r>
      <w:r w:rsidR="00795408">
        <w:rPr>
          <w:rFonts w:asciiTheme="majorHAnsi" w:hAnsiTheme="majorHAnsi" w:cstheme="minorHAnsi"/>
          <w:sz w:val="24"/>
          <w:szCs w:val="24"/>
        </w:rPr>
        <w:t>privind</w:t>
      </w:r>
      <w:r w:rsidRPr="00381DA2">
        <w:rPr>
          <w:rFonts w:asciiTheme="majorHAnsi" w:hAnsiTheme="majorHAnsi" w:cstheme="minorHAnsi"/>
          <w:sz w:val="24"/>
          <w:szCs w:val="24"/>
        </w:rPr>
        <w:t xml:space="preserve"> funcțiil</w:t>
      </w:r>
      <w:r w:rsidR="00795408">
        <w:rPr>
          <w:rFonts w:asciiTheme="majorHAnsi" w:hAnsiTheme="majorHAnsi" w:cstheme="minorHAnsi"/>
          <w:sz w:val="24"/>
          <w:szCs w:val="24"/>
        </w:rPr>
        <w:t>e</w:t>
      </w:r>
      <w:r w:rsidRPr="00381DA2">
        <w:rPr>
          <w:rFonts w:asciiTheme="majorHAnsi" w:hAnsiTheme="majorHAnsi" w:cstheme="minorHAnsi"/>
          <w:sz w:val="24"/>
          <w:szCs w:val="24"/>
        </w:rPr>
        <w:t xml:space="preserve"> deținute de personalul din entitățile verificate</w:t>
      </w:r>
      <w:r w:rsidR="00795408">
        <w:rPr>
          <w:rFonts w:asciiTheme="majorHAnsi" w:hAnsiTheme="majorHAnsi" w:cstheme="minorHAnsi"/>
          <w:sz w:val="24"/>
          <w:szCs w:val="24"/>
        </w:rPr>
        <w:t>,</w:t>
      </w:r>
      <w:r w:rsidRPr="00381DA2">
        <w:rPr>
          <w:rFonts w:asciiTheme="majorHAnsi" w:hAnsiTheme="majorHAnsi" w:cstheme="minorHAnsi"/>
          <w:sz w:val="24"/>
          <w:szCs w:val="24"/>
        </w:rPr>
        <w:t xml:space="preserve"> atât la nivel</w:t>
      </w:r>
      <w:r w:rsidR="00795408">
        <w:rPr>
          <w:rFonts w:asciiTheme="majorHAnsi" w:hAnsiTheme="majorHAnsi" w:cstheme="minorHAnsi"/>
          <w:sz w:val="24"/>
          <w:szCs w:val="24"/>
        </w:rPr>
        <w:t>ul</w:t>
      </w:r>
      <w:r w:rsidRPr="00381DA2">
        <w:rPr>
          <w:rFonts w:asciiTheme="majorHAnsi" w:hAnsiTheme="majorHAnsi" w:cstheme="minorHAnsi"/>
          <w:sz w:val="24"/>
          <w:szCs w:val="24"/>
        </w:rPr>
        <w:t xml:space="preserve"> funcțiilor de  conducere</w:t>
      </w:r>
      <w:r w:rsidR="00795408">
        <w:rPr>
          <w:rFonts w:asciiTheme="majorHAnsi" w:hAnsiTheme="majorHAnsi" w:cstheme="minorHAnsi"/>
          <w:sz w:val="24"/>
          <w:szCs w:val="24"/>
        </w:rPr>
        <w:t>,</w:t>
      </w:r>
      <w:r w:rsidRPr="00381DA2">
        <w:rPr>
          <w:rFonts w:asciiTheme="majorHAnsi" w:hAnsiTheme="majorHAnsi" w:cstheme="minorHAnsi"/>
          <w:sz w:val="24"/>
          <w:szCs w:val="24"/>
        </w:rPr>
        <w:t xml:space="preserve"> cât și celor de execuție. </w:t>
      </w:r>
      <w:r w:rsidRPr="00381DA2">
        <w:rPr>
          <w:rFonts w:asciiTheme="majorHAnsi" w:hAnsiTheme="majorHAnsi" w:cstheme="minorHAnsi"/>
          <w:sz w:val="24"/>
          <w:szCs w:val="24"/>
          <w:shd w:val="clear" w:color="auto" w:fill="FFFFFF"/>
        </w:rPr>
        <w:t>În contextul expus</w:t>
      </w:r>
      <w:r w:rsidR="00795408">
        <w:rPr>
          <w:rFonts w:asciiTheme="majorHAnsi" w:hAnsiTheme="majorHAnsi" w:cstheme="minorHAnsi"/>
          <w:sz w:val="24"/>
          <w:szCs w:val="24"/>
          <w:shd w:val="clear" w:color="auto" w:fill="FFFFFF"/>
        </w:rPr>
        <w:t>,</w:t>
      </w:r>
      <w:r w:rsidRPr="00381DA2">
        <w:rPr>
          <w:rFonts w:asciiTheme="majorHAnsi" w:hAnsiTheme="majorHAnsi" w:cstheme="minorHAnsi"/>
          <w:sz w:val="24"/>
          <w:szCs w:val="24"/>
          <w:shd w:val="clear" w:color="auto" w:fill="FFFFFF"/>
        </w:rPr>
        <w:t xml:space="preserve"> se menționează următoarele:</w:t>
      </w:r>
    </w:p>
    <w:p w14:paraId="660C38C8" w14:textId="7A38CC32" w:rsidR="00A372B0" w:rsidRPr="00381DA2" w:rsidRDefault="00D76DC6" w:rsidP="00086ABE">
      <w:pPr>
        <w:pStyle w:val="ListParagraph"/>
        <w:numPr>
          <w:ilvl w:val="0"/>
          <w:numId w:val="31"/>
        </w:numPr>
        <w:tabs>
          <w:tab w:val="left" w:pos="360"/>
        </w:tabs>
        <w:spacing w:line="276" w:lineRule="auto"/>
        <w:ind w:left="0" w:right="58" w:firstLine="360"/>
        <w:contextualSpacing w:val="0"/>
        <w:jc w:val="both"/>
        <w:rPr>
          <w:rFonts w:asciiTheme="majorHAnsi" w:hAnsiTheme="majorHAnsi" w:cstheme="minorHAnsi"/>
          <w:sz w:val="24"/>
          <w:szCs w:val="24"/>
        </w:rPr>
      </w:pPr>
      <w:r>
        <w:rPr>
          <w:rFonts w:asciiTheme="majorHAnsi" w:hAnsiTheme="majorHAnsi" w:cstheme="minorHAnsi"/>
          <w:sz w:val="24"/>
          <w:szCs w:val="24"/>
        </w:rPr>
        <w:t>p</w:t>
      </w:r>
      <w:r w:rsidR="00A372B0" w:rsidRPr="00381DA2">
        <w:rPr>
          <w:rFonts w:asciiTheme="majorHAnsi" w:hAnsiTheme="majorHAnsi" w:cstheme="minorHAnsi"/>
          <w:sz w:val="24"/>
          <w:szCs w:val="24"/>
        </w:rPr>
        <w:t xml:space="preserve">otrivit art. 14 alin. (4) din Legea </w:t>
      </w:r>
      <w:r>
        <w:rPr>
          <w:rFonts w:asciiTheme="majorHAnsi" w:hAnsiTheme="majorHAnsi" w:cstheme="minorHAnsi"/>
          <w:sz w:val="24"/>
          <w:szCs w:val="24"/>
        </w:rPr>
        <w:t>nr.</w:t>
      </w:r>
      <w:r w:rsidR="00A372B0" w:rsidRPr="00381DA2">
        <w:rPr>
          <w:rFonts w:asciiTheme="majorHAnsi" w:hAnsiTheme="majorHAnsi" w:cstheme="minorHAnsi"/>
          <w:sz w:val="24"/>
          <w:szCs w:val="24"/>
        </w:rPr>
        <w:t>198/2007, precum și normelor interne aprobate de CNAJGS, lucrul de asigurare a acordării asistenței juridice calificate este efectuat nemijlocit de „</w:t>
      </w:r>
      <w:r w:rsidR="00A372B0" w:rsidRPr="00381DA2">
        <w:rPr>
          <w:rFonts w:asciiTheme="majorHAnsi" w:hAnsiTheme="majorHAnsi" w:cstheme="minorHAnsi"/>
          <w:i/>
          <w:sz w:val="24"/>
          <w:szCs w:val="24"/>
        </w:rPr>
        <w:t>Coordonator/coordonatoarea OT al CNAJGS</w:t>
      </w:r>
      <w:r w:rsidR="00A372B0" w:rsidRPr="00381DA2">
        <w:rPr>
          <w:rFonts w:asciiTheme="majorHAnsi" w:hAnsiTheme="majorHAnsi" w:cstheme="minorHAnsi"/>
          <w:sz w:val="24"/>
          <w:szCs w:val="24"/>
        </w:rPr>
        <w:t>”, funcție care se regăsește la codul 134904 din Clasificatorul Ocupațiilor</w:t>
      </w:r>
      <w:r w:rsidR="00A372B0" w:rsidRPr="00381DA2">
        <w:rPr>
          <w:rStyle w:val="FootnoteReference"/>
          <w:rFonts w:asciiTheme="majorHAnsi" w:hAnsiTheme="majorHAnsi" w:cstheme="minorHAnsi"/>
          <w:sz w:val="24"/>
          <w:szCs w:val="24"/>
        </w:rPr>
        <w:footnoteReference w:id="102"/>
      </w:r>
      <w:r w:rsidR="00A372B0" w:rsidRPr="00381DA2">
        <w:rPr>
          <w:rFonts w:asciiTheme="majorHAnsi" w:hAnsiTheme="majorHAnsi" w:cstheme="minorHAnsi"/>
          <w:sz w:val="24"/>
          <w:szCs w:val="24"/>
        </w:rPr>
        <w:t xml:space="preserve">. Însă, în actele legislative care stau la baza calculării salarizării în sectorul bugetar, în speță la Anexa nr.4 Grupul operațional „Justiție” din Legea </w:t>
      </w:r>
      <w:r>
        <w:rPr>
          <w:rFonts w:asciiTheme="majorHAnsi" w:hAnsiTheme="majorHAnsi" w:cstheme="minorHAnsi"/>
          <w:sz w:val="24"/>
          <w:szCs w:val="24"/>
        </w:rPr>
        <w:t>nr.</w:t>
      </w:r>
      <w:r w:rsidR="00A372B0" w:rsidRPr="00381DA2">
        <w:rPr>
          <w:rFonts w:asciiTheme="majorHAnsi" w:hAnsiTheme="majorHAnsi" w:cstheme="minorHAnsi"/>
          <w:sz w:val="24"/>
          <w:szCs w:val="24"/>
        </w:rPr>
        <w:t>270/2018</w:t>
      </w:r>
      <w:r w:rsidR="00A372B0" w:rsidRPr="00381DA2">
        <w:rPr>
          <w:rStyle w:val="FootnoteReference"/>
          <w:rFonts w:asciiTheme="majorHAnsi" w:hAnsiTheme="majorHAnsi" w:cstheme="minorHAnsi"/>
          <w:sz w:val="24"/>
          <w:szCs w:val="24"/>
        </w:rPr>
        <w:footnoteReference w:id="103"/>
      </w:r>
      <w:r>
        <w:rPr>
          <w:rFonts w:asciiTheme="majorHAnsi" w:hAnsiTheme="majorHAnsi" w:cstheme="minorHAnsi"/>
          <w:sz w:val="24"/>
          <w:szCs w:val="24"/>
        </w:rPr>
        <w:t>,</w:t>
      </w:r>
      <w:r w:rsidR="00A372B0" w:rsidRPr="00381DA2">
        <w:rPr>
          <w:rFonts w:asciiTheme="majorHAnsi" w:hAnsiTheme="majorHAnsi" w:cstheme="minorHAnsi"/>
          <w:sz w:val="24"/>
          <w:szCs w:val="24"/>
        </w:rPr>
        <w:t xml:space="preserve"> denumirea acestei funcții este „Șef oficiu” cu același cod 134904. Prin urmare, neconcordanța  normelor menționate supra a determinat faptul c</w:t>
      </w:r>
      <w:r>
        <w:rPr>
          <w:rFonts w:asciiTheme="majorHAnsi" w:hAnsiTheme="majorHAnsi" w:cstheme="minorHAnsi"/>
          <w:sz w:val="24"/>
          <w:szCs w:val="24"/>
        </w:rPr>
        <w:t>ă</w:t>
      </w:r>
      <w:r w:rsidR="00A372B0" w:rsidRPr="00381DA2">
        <w:rPr>
          <w:rFonts w:asciiTheme="majorHAnsi" w:hAnsiTheme="majorHAnsi" w:cstheme="minorHAnsi"/>
          <w:sz w:val="24"/>
          <w:szCs w:val="24"/>
        </w:rPr>
        <w:t xml:space="preserve"> în unele acte administrative ale OT și </w:t>
      </w:r>
      <w:r w:rsidR="00A372B0" w:rsidRPr="00381DA2">
        <w:rPr>
          <w:rFonts w:asciiTheme="majorHAnsi" w:hAnsiTheme="majorHAnsi" w:cstheme="minorHAnsi"/>
          <w:sz w:val="24"/>
          <w:szCs w:val="24"/>
        </w:rPr>
        <w:lastRenderedPageBreak/>
        <w:t>CNAJGS</w:t>
      </w:r>
      <w:r w:rsidR="00A372B0" w:rsidRPr="00381DA2">
        <w:rPr>
          <w:rStyle w:val="FootnoteReference"/>
          <w:rFonts w:asciiTheme="majorHAnsi" w:hAnsiTheme="majorHAnsi" w:cstheme="minorHAnsi"/>
          <w:sz w:val="24"/>
          <w:szCs w:val="24"/>
        </w:rPr>
        <w:footnoteReference w:id="104"/>
      </w:r>
      <w:r w:rsidR="00A372B0" w:rsidRPr="00381DA2">
        <w:rPr>
          <w:rFonts w:asciiTheme="majorHAnsi" w:hAnsiTheme="majorHAnsi" w:cstheme="minorHAnsi"/>
          <w:sz w:val="24"/>
          <w:szCs w:val="24"/>
        </w:rPr>
        <w:t xml:space="preserve"> figurează funcția de coordonator, iar în documentele aferente procesului de salarizare</w:t>
      </w:r>
      <w:r w:rsidR="00A372B0" w:rsidRPr="00381DA2">
        <w:rPr>
          <w:rStyle w:val="FootnoteReference"/>
          <w:rFonts w:asciiTheme="majorHAnsi" w:hAnsiTheme="majorHAnsi" w:cstheme="minorHAnsi"/>
          <w:sz w:val="24"/>
          <w:szCs w:val="24"/>
        </w:rPr>
        <w:footnoteReference w:id="105"/>
      </w:r>
      <w:r w:rsidR="00A372B0" w:rsidRPr="00381DA2">
        <w:rPr>
          <w:rFonts w:asciiTheme="majorHAnsi" w:hAnsiTheme="majorHAnsi" w:cstheme="minorHAnsi"/>
          <w:sz w:val="24"/>
          <w:szCs w:val="24"/>
        </w:rPr>
        <w:t xml:space="preserve"> se regăsește ocupația șef de oficiu</w:t>
      </w:r>
      <w:r>
        <w:rPr>
          <w:rFonts w:asciiTheme="majorHAnsi" w:hAnsiTheme="majorHAnsi" w:cstheme="minorHAnsi"/>
          <w:sz w:val="24"/>
          <w:szCs w:val="24"/>
        </w:rPr>
        <w:t>;</w:t>
      </w:r>
      <w:r w:rsidR="00A372B0" w:rsidRPr="00381DA2">
        <w:rPr>
          <w:rFonts w:asciiTheme="majorHAnsi" w:hAnsiTheme="majorHAnsi" w:cstheme="minorHAnsi"/>
          <w:sz w:val="24"/>
          <w:szCs w:val="24"/>
        </w:rPr>
        <w:t xml:space="preserve"> </w:t>
      </w:r>
    </w:p>
    <w:p w14:paraId="7DEB47B7" w14:textId="56B3B887" w:rsidR="00A372B0" w:rsidRPr="00D76DC6" w:rsidRDefault="00D76DC6" w:rsidP="00D76DC6">
      <w:pPr>
        <w:pStyle w:val="ListParagraph"/>
        <w:numPr>
          <w:ilvl w:val="0"/>
          <w:numId w:val="31"/>
        </w:numPr>
        <w:tabs>
          <w:tab w:val="left" w:pos="360"/>
        </w:tabs>
        <w:spacing w:line="276" w:lineRule="auto"/>
        <w:ind w:left="0" w:right="58" w:firstLine="360"/>
        <w:contextualSpacing w:val="0"/>
        <w:jc w:val="both"/>
        <w:rPr>
          <w:rFonts w:asciiTheme="majorHAnsi" w:hAnsiTheme="majorHAnsi" w:cstheme="minorHAnsi"/>
          <w:sz w:val="24"/>
          <w:szCs w:val="24"/>
        </w:rPr>
      </w:pPr>
      <w:r w:rsidRPr="00D76DC6">
        <w:rPr>
          <w:rFonts w:asciiTheme="majorHAnsi" w:hAnsiTheme="majorHAnsi" w:cstheme="minorHAnsi"/>
          <w:sz w:val="24"/>
          <w:szCs w:val="24"/>
        </w:rPr>
        <w:t>a</w:t>
      </w:r>
      <w:r w:rsidR="00A372B0" w:rsidRPr="00D76DC6">
        <w:rPr>
          <w:rFonts w:asciiTheme="majorHAnsi" w:hAnsiTheme="majorHAnsi" w:cstheme="minorHAnsi"/>
          <w:sz w:val="24"/>
          <w:szCs w:val="24"/>
        </w:rPr>
        <w:t>specte de necorespundere se regăsesc și la nivel de reglementare a funcțiilor de execuție. Astfel, dacă în Clasificatorul Ocupațiilor este stipulat despre funcția de „</w:t>
      </w:r>
      <w:r w:rsidR="00A372B0" w:rsidRPr="00D76DC6">
        <w:rPr>
          <w:rFonts w:asciiTheme="majorHAnsi" w:eastAsia="Times New Roman" w:hAnsiTheme="majorHAnsi" w:cs="Times New Roman"/>
          <w:sz w:val="24"/>
          <w:szCs w:val="24"/>
          <w:lang w:eastAsia="ro-RO"/>
        </w:rPr>
        <w:t>Consultant/consultantă CNAJGS”, cod 242212, atunci în normele privind determinarea salariului în sectorul bugetar, inclusiv în schemele de încadrare a</w:t>
      </w:r>
      <w:r w:rsidRPr="00D76DC6">
        <w:rPr>
          <w:rFonts w:asciiTheme="majorHAnsi" w:eastAsia="Times New Roman" w:hAnsiTheme="majorHAnsi" w:cs="Times New Roman"/>
          <w:sz w:val="24"/>
          <w:szCs w:val="24"/>
          <w:lang w:eastAsia="ro-RO"/>
        </w:rPr>
        <w:t>le</w:t>
      </w:r>
      <w:r w:rsidR="00A372B0" w:rsidRPr="00D76DC6">
        <w:rPr>
          <w:rFonts w:asciiTheme="majorHAnsi" w:eastAsia="Times New Roman" w:hAnsiTheme="majorHAnsi" w:cs="Times New Roman"/>
          <w:sz w:val="24"/>
          <w:szCs w:val="24"/>
          <w:lang w:eastAsia="ro-RO"/>
        </w:rPr>
        <w:t xml:space="preserve"> Aparatului administrativ al CNAJGS</w:t>
      </w:r>
      <w:r w:rsidRPr="00D76DC6">
        <w:rPr>
          <w:rFonts w:asciiTheme="majorHAnsi" w:eastAsia="Times New Roman" w:hAnsiTheme="majorHAnsi" w:cs="Times New Roman"/>
          <w:sz w:val="24"/>
          <w:szCs w:val="24"/>
          <w:lang w:eastAsia="ro-RO"/>
        </w:rPr>
        <w:t>,</w:t>
      </w:r>
      <w:r w:rsidR="00A372B0" w:rsidRPr="00D76DC6">
        <w:rPr>
          <w:rFonts w:asciiTheme="majorHAnsi" w:eastAsia="Times New Roman" w:hAnsiTheme="majorHAnsi" w:cs="Times New Roman"/>
          <w:sz w:val="24"/>
          <w:szCs w:val="24"/>
          <w:lang w:eastAsia="ro-RO"/>
        </w:rPr>
        <w:t xml:space="preserve"> </w:t>
      </w:r>
      <w:r w:rsidR="00336A25" w:rsidRPr="00D76DC6">
        <w:rPr>
          <w:rFonts w:asciiTheme="majorHAnsi" w:eastAsia="Times New Roman" w:hAnsiTheme="majorHAnsi" w:cs="Times New Roman"/>
          <w:sz w:val="24"/>
          <w:szCs w:val="24"/>
          <w:lang w:eastAsia="ro-RO"/>
        </w:rPr>
        <w:t>cât</w:t>
      </w:r>
      <w:r w:rsidR="00A372B0" w:rsidRPr="00D76DC6">
        <w:rPr>
          <w:rFonts w:asciiTheme="majorHAnsi" w:eastAsia="Times New Roman" w:hAnsiTheme="majorHAnsi" w:cs="Times New Roman"/>
          <w:sz w:val="24"/>
          <w:szCs w:val="24"/>
          <w:lang w:eastAsia="ro-RO"/>
        </w:rPr>
        <w:t xml:space="preserve"> și al</w:t>
      </w:r>
      <w:r w:rsidRPr="00D76DC6">
        <w:rPr>
          <w:rFonts w:asciiTheme="majorHAnsi" w:eastAsia="Times New Roman" w:hAnsiTheme="majorHAnsi" w:cs="Times New Roman"/>
          <w:sz w:val="24"/>
          <w:szCs w:val="24"/>
          <w:lang w:eastAsia="ro-RO"/>
        </w:rPr>
        <w:t>e</w:t>
      </w:r>
      <w:r w:rsidR="00A372B0" w:rsidRPr="00D76DC6">
        <w:rPr>
          <w:rFonts w:asciiTheme="majorHAnsi" w:eastAsia="Times New Roman" w:hAnsiTheme="majorHAnsi" w:cs="Times New Roman"/>
          <w:sz w:val="24"/>
          <w:szCs w:val="24"/>
          <w:lang w:eastAsia="ro-RO"/>
        </w:rPr>
        <w:t xml:space="preserve"> OT această funcție nu se regăsește, fiind indicată o altă </w:t>
      </w:r>
      <w:r w:rsidR="004A44EE" w:rsidRPr="00D76DC6">
        <w:rPr>
          <w:rFonts w:asciiTheme="majorHAnsi" w:eastAsia="Times New Roman" w:hAnsiTheme="majorHAnsi" w:cs="Times New Roman"/>
          <w:sz w:val="24"/>
          <w:szCs w:val="24"/>
          <w:lang w:eastAsia="ro-RO"/>
        </w:rPr>
        <w:t>poziție ocupațională</w:t>
      </w:r>
      <w:r w:rsidR="00A372B0" w:rsidRPr="00D76DC6">
        <w:rPr>
          <w:rFonts w:asciiTheme="majorHAnsi" w:eastAsia="Times New Roman" w:hAnsiTheme="majorHAnsi" w:cs="Times New Roman"/>
          <w:sz w:val="24"/>
          <w:szCs w:val="24"/>
          <w:lang w:eastAsia="ro-RO"/>
        </w:rPr>
        <w:t xml:space="preserve"> </w:t>
      </w:r>
      <w:r w:rsidRPr="00D76DC6">
        <w:rPr>
          <w:rFonts w:asciiTheme="majorHAnsi" w:eastAsia="Times New Roman" w:hAnsiTheme="majorHAnsi" w:cs="Times New Roman"/>
          <w:sz w:val="24"/>
          <w:szCs w:val="24"/>
          <w:lang w:eastAsia="ro-RO"/>
        </w:rPr>
        <w:t xml:space="preserve">– </w:t>
      </w:r>
      <w:r w:rsidR="00A372B0" w:rsidRPr="00D76DC6">
        <w:rPr>
          <w:rFonts w:asciiTheme="majorHAnsi" w:eastAsia="Times New Roman" w:hAnsiTheme="majorHAnsi" w:cs="Times New Roman"/>
          <w:sz w:val="24"/>
          <w:szCs w:val="24"/>
          <w:lang w:eastAsia="ro-RO"/>
        </w:rPr>
        <w:t>„specialist principal”</w:t>
      </w:r>
      <w:r>
        <w:rPr>
          <w:rFonts w:asciiTheme="majorHAnsi" w:eastAsia="Times New Roman" w:hAnsiTheme="majorHAnsi" w:cs="Times New Roman"/>
          <w:sz w:val="24"/>
          <w:szCs w:val="24"/>
          <w:lang w:eastAsia="ro-RO"/>
        </w:rPr>
        <w:t>,</w:t>
      </w:r>
      <w:r w:rsidR="00A372B0" w:rsidRPr="00D76DC6">
        <w:rPr>
          <w:rFonts w:asciiTheme="majorHAnsi" w:eastAsia="Times New Roman" w:hAnsiTheme="majorHAnsi" w:cs="Times New Roman"/>
          <w:sz w:val="24"/>
          <w:szCs w:val="24"/>
          <w:lang w:eastAsia="ro-RO"/>
        </w:rPr>
        <w:t xml:space="preserve"> cod 242215. În contextul expus</w:t>
      </w:r>
      <w:r>
        <w:rPr>
          <w:rFonts w:asciiTheme="majorHAnsi" w:eastAsia="Times New Roman" w:hAnsiTheme="majorHAnsi" w:cs="Times New Roman"/>
          <w:sz w:val="24"/>
          <w:szCs w:val="24"/>
          <w:lang w:eastAsia="ro-RO"/>
        </w:rPr>
        <w:t>,</w:t>
      </w:r>
      <w:r w:rsidR="00A372B0" w:rsidRPr="00D76DC6">
        <w:rPr>
          <w:rFonts w:asciiTheme="majorHAnsi" w:eastAsia="Times New Roman" w:hAnsiTheme="majorHAnsi" w:cs="Times New Roman"/>
          <w:sz w:val="24"/>
          <w:szCs w:val="24"/>
          <w:lang w:eastAsia="ro-RO"/>
        </w:rPr>
        <w:t xml:space="preserve"> necesită a fi ajustate și coroborate actele normative, în speță</w:t>
      </w:r>
      <w:r w:rsidR="00953B0C" w:rsidRPr="00D76DC6">
        <w:rPr>
          <w:rFonts w:asciiTheme="majorHAnsi" w:eastAsia="Times New Roman" w:hAnsiTheme="majorHAnsi" w:cs="Times New Roman"/>
          <w:sz w:val="24"/>
          <w:szCs w:val="24"/>
          <w:lang w:eastAsia="ro-RO"/>
        </w:rPr>
        <w:t xml:space="preserve"> </w:t>
      </w:r>
      <w:r w:rsidR="00A372B0" w:rsidRPr="00D76DC6">
        <w:rPr>
          <w:rFonts w:asciiTheme="majorHAnsi" w:hAnsiTheme="majorHAnsi" w:cstheme="minorHAnsi"/>
          <w:sz w:val="24"/>
          <w:szCs w:val="24"/>
        </w:rPr>
        <w:t>Clasificatorul Ocupațiilor.</w:t>
      </w:r>
    </w:p>
    <w:p w14:paraId="462B295F" w14:textId="7877D64C" w:rsidR="00A372B0" w:rsidRPr="00381DA2" w:rsidRDefault="00A372B0" w:rsidP="00AF1469">
      <w:pPr>
        <w:pStyle w:val="Heading3"/>
        <w:numPr>
          <w:ilvl w:val="2"/>
          <w:numId w:val="27"/>
        </w:numPr>
        <w:tabs>
          <w:tab w:val="left" w:pos="360"/>
          <w:tab w:val="left" w:pos="540"/>
          <w:tab w:val="left" w:pos="630"/>
        </w:tabs>
        <w:spacing w:before="120" w:after="120" w:line="276" w:lineRule="auto"/>
        <w:ind w:left="0" w:firstLine="0"/>
        <w:jc w:val="both"/>
        <w:rPr>
          <w:rFonts w:cstheme="minorHAnsi"/>
          <w:b/>
          <w:i/>
          <w:color w:val="0070C0"/>
        </w:rPr>
      </w:pPr>
      <w:bookmarkStart w:id="47" w:name="_Toc128640824"/>
      <w:r w:rsidRPr="00381DA2">
        <w:rPr>
          <w:rFonts w:cstheme="minorHAnsi"/>
          <w:b/>
          <w:i/>
          <w:color w:val="0070C0"/>
        </w:rPr>
        <w:t>Componentele cont</w:t>
      </w:r>
      <w:r w:rsidR="00D76DC6">
        <w:rPr>
          <w:rFonts w:cstheme="minorHAnsi"/>
          <w:b/>
          <w:i/>
          <w:color w:val="0070C0"/>
        </w:rPr>
        <w:t>r</w:t>
      </w:r>
      <w:r w:rsidRPr="00381DA2">
        <w:rPr>
          <w:rFonts w:cstheme="minorHAnsi"/>
          <w:b/>
          <w:i/>
          <w:color w:val="0070C0"/>
        </w:rPr>
        <w:t>o</w:t>
      </w:r>
      <w:r w:rsidR="00D76DC6">
        <w:rPr>
          <w:rFonts w:cstheme="minorHAnsi"/>
          <w:b/>
          <w:i/>
          <w:color w:val="0070C0"/>
        </w:rPr>
        <w:t>l</w:t>
      </w:r>
      <w:r w:rsidRPr="00381DA2">
        <w:rPr>
          <w:rFonts w:cstheme="minorHAnsi"/>
          <w:b/>
          <w:i/>
          <w:color w:val="0070C0"/>
        </w:rPr>
        <w:t>ului intern managerial în cadrul entităților responsabile de administrarea sistemului de AJGS necesită a fi fortificate</w:t>
      </w:r>
      <w:r w:rsidR="00D76DC6">
        <w:rPr>
          <w:rFonts w:cstheme="minorHAnsi"/>
          <w:b/>
          <w:i/>
          <w:color w:val="0070C0"/>
        </w:rPr>
        <w:t>.</w:t>
      </w:r>
      <w:bookmarkEnd w:id="47"/>
    </w:p>
    <w:p w14:paraId="00DEFEF4" w14:textId="1FF60DC6" w:rsidR="00A372B0" w:rsidRPr="00381DA2" w:rsidRDefault="00A372B0" w:rsidP="00086ABE">
      <w:pPr>
        <w:tabs>
          <w:tab w:val="left" w:pos="270"/>
        </w:tabs>
        <w:spacing w:after="80" w:line="276" w:lineRule="auto"/>
        <w:jc w:val="both"/>
        <w:rPr>
          <w:rFonts w:asciiTheme="majorHAnsi" w:eastAsia="Calibri" w:hAnsiTheme="majorHAnsi" w:cstheme="minorHAnsi"/>
          <w:sz w:val="24"/>
          <w:szCs w:val="24"/>
        </w:rPr>
      </w:pPr>
      <w:r w:rsidRPr="00381DA2">
        <w:rPr>
          <w:rFonts w:asciiTheme="majorHAnsi" w:hAnsiTheme="majorHAnsi" w:cstheme="minorHAnsi"/>
          <w:sz w:val="24"/>
          <w:szCs w:val="24"/>
        </w:rPr>
        <w:t>Pornind de la faptul că entitățile menționate supra sunt persoane juridice distincte, acestea își organizează și raportează independent funcționalitatea sistemului</w:t>
      </w:r>
      <w:r w:rsidRPr="00381DA2">
        <w:rPr>
          <w:rFonts w:asciiTheme="majorHAnsi" w:eastAsia="Calibri" w:hAnsiTheme="majorHAnsi" w:cstheme="minorHAnsi"/>
          <w:sz w:val="24"/>
          <w:szCs w:val="24"/>
        </w:rPr>
        <w:t xml:space="preserve"> de control intern managerial instituit</w:t>
      </w:r>
      <w:r w:rsidRPr="00381DA2">
        <w:rPr>
          <w:rFonts w:asciiTheme="majorHAnsi" w:hAnsiTheme="majorHAnsi"/>
          <w:vertAlign w:val="superscript"/>
        </w:rPr>
        <w:footnoteReference w:id="106"/>
      </w:r>
      <w:r w:rsidRPr="00381DA2">
        <w:rPr>
          <w:rFonts w:asciiTheme="majorHAnsi" w:eastAsia="Calibri" w:hAnsiTheme="majorHAnsi" w:cstheme="minorHAnsi"/>
          <w:sz w:val="24"/>
          <w:szCs w:val="24"/>
        </w:rPr>
        <w:t xml:space="preserve">. Deși, potrivit Declaraților de răspundere managerială, emise de cele patru OT ale CNAJGS și Aparatul administrativ, pentru anii 2020-2021, s-a afirmat că instituțiile dispun de un </w:t>
      </w:r>
      <w:r w:rsidRPr="00381DA2">
        <w:rPr>
          <w:rFonts w:asciiTheme="majorHAnsi" w:hAnsiTheme="majorHAnsi" w:cstheme="minorHAnsi"/>
          <w:sz w:val="24"/>
          <w:szCs w:val="24"/>
        </w:rPr>
        <w:t>sistem</w:t>
      </w:r>
      <w:r w:rsidRPr="00381DA2">
        <w:rPr>
          <w:rFonts w:asciiTheme="majorHAnsi" w:eastAsia="Calibri" w:hAnsiTheme="majorHAnsi" w:cstheme="minorHAnsi"/>
          <w:sz w:val="24"/>
          <w:szCs w:val="24"/>
        </w:rPr>
        <w:t xml:space="preserve"> de control intern managerial</w:t>
      </w:r>
      <w:r w:rsidR="00D76DC6">
        <w:rPr>
          <w:rFonts w:asciiTheme="majorHAnsi" w:eastAsia="Calibri" w:hAnsiTheme="majorHAnsi" w:cstheme="minorHAnsi"/>
          <w:sz w:val="24"/>
          <w:szCs w:val="24"/>
        </w:rPr>
        <w:t>,</w:t>
      </w:r>
      <w:r w:rsidRPr="00381DA2">
        <w:rPr>
          <w:rFonts w:asciiTheme="majorHAnsi" w:eastAsia="Calibri" w:hAnsiTheme="majorHAnsi" w:cstheme="minorHAnsi"/>
          <w:sz w:val="24"/>
          <w:szCs w:val="24"/>
        </w:rPr>
        <w:t xml:space="preserve"> precum și</w:t>
      </w:r>
      <w:r w:rsidR="00FD5156">
        <w:rPr>
          <w:rFonts w:asciiTheme="majorHAnsi" w:eastAsia="Calibri" w:hAnsiTheme="majorHAnsi" w:cstheme="minorHAnsi"/>
          <w:sz w:val="24"/>
          <w:szCs w:val="24"/>
        </w:rPr>
        <w:t xml:space="preserve"> că</w:t>
      </w:r>
      <w:r w:rsidRPr="00381DA2">
        <w:rPr>
          <w:rFonts w:asciiTheme="majorHAnsi" w:eastAsia="Calibri" w:hAnsiTheme="majorHAnsi" w:cstheme="minorHAnsi"/>
          <w:sz w:val="24"/>
          <w:szCs w:val="24"/>
        </w:rPr>
        <w:t xml:space="preserve"> es</w:t>
      </w:r>
      <w:r w:rsidR="00FD5156">
        <w:rPr>
          <w:rFonts w:asciiTheme="majorHAnsi" w:eastAsia="Calibri" w:hAnsiTheme="majorHAnsi" w:cstheme="minorHAnsi"/>
          <w:sz w:val="24"/>
          <w:szCs w:val="24"/>
        </w:rPr>
        <w:t>te conform completamente cu SNC</w:t>
      </w:r>
      <w:r w:rsidR="006B66B8">
        <w:rPr>
          <w:rFonts w:asciiTheme="majorHAnsi" w:eastAsia="Calibri" w:hAnsiTheme="majorHAnsi" w:cstheme="minorHAnsi"/>
          <w:sz w:val="24"/>
          <w:szCs w:val="24"/>
        </w:rPr>
        <w:t>ISP</w:t>
      </w:r>
      <w:r w:rsidR="00FD5156">
        <w:rPr>
          <w:rStyle w:val="FootnoteReference"/>
          <w:rFonts w:asciiTheme="majorHAnsi" w:eastAsia="Calibri" w:hAnsiTheme="majorHAnsi" w:cstheme="minorHAnsi"/>
          <w:sz w:val="24"/>
          <w:szCs w:val="24"/>
        </w:rPr>
        <w:footnoteReference w:id="107"/>
      </w:r>
      <w:r w:rsidRPr="00381DA2">
        <w:rPr>
          <w:rFonts w:asciiTheme="majorHAnsi" w:eastAsia="Calibri" w:hAnsiTheme="majorHAnsi" w:cstheme="minorHAnsi"/>
          <w:sz w:val="24"/>
          <w:szCs w:val="24"/>
        </w:rPr>
        <w:t xml:space="preserve">, auditul a constatat că acesta este la etapa de implementare conform standardelor menționate și necesită a fi consolidat  în continuare. Astfel, conducătorii urmează să se conformeze prevederilor legale și să asigure: </w:t>
      </w:r>
    </w:p>
    <w:p w14:paraId="05E7772A" w14:textId="77777777" w:rsidR="00A372B0" w:rsidRPr="00381DA2" w:rsidRDefault="00A35F28" w:rsidP="003A66EF">
      <w:pPr>
        <w:numPr>
          <w:ilvl w:val="0"/>
          <w:numId w:val="22"/>
        </w:numPr>
        <w:spacing w:line="276" w:lineRule="auto"/>
        <w:contextualSpacing/>
        <w:jc w:val="both"/>
        <w:rPr>
          <w:rFonts w:asciiTheme="majorHAnsi" w:eastAsia="Calibri" w:hAnsiTheme="majorHAnsi" w:cstheme="minorHAnsi"/>
          <w:sz w:val="24"/>
          <w:szCs w:val="24"/>
        </w:rPr>
      </w:pPr>
      <w:r w:rsidRPr="00381DA2">
        <w:rPr>
          <w:rFonts w:asciiTheme="majorHAnsi" w:eastAsia="Calibri" w:hAnsiTheme="majorHAnsi" w:cstheme="minorHAnsi"/>
          <w:sz w:val="24"/>
          <w:szCs w:val="24"/>
        </w:rPr>
        <w:t>i</w:t>
      </w:r>
      <w:r w:rsidR="00A372B0" w:rsidRPr="00381DA2">
        <w:rPr>
          <w:rFonts w:asciiTheme="majorHAnsi" w:eastAsia="Calibri" w:hAnsiTheme="majorHAnsi" w:cstheme="minorHAnsi"/>
          <w:sz w:val="24"/>
          <w:szCs w:val="24"/>
        </w:rPr>
        <w:t>mplementarea componentei legate de managementul riscurilor privind gestionarea mijloacelor bugetare, inclusiv: evaluarea riscurilor, stabilirea reacției la riscuri, determinarea activităților de control, precum și a persoanelor responsabile de implementarea, monitorizarea și raportarea acestora;</w:t>
      </w:r>
    </w:p>
    <w:p w14:paraId="1BD3334B" w14:textId="508ACB9B" w:rsidR="00BB03B5" w:rsidRPr="00381DA2" w:rsidRDefault="00A35F28" w:rsidP="00086ABE">
      <w:pPr>
        <w:numPr>
          <w:ilvl w:val="0"/>
          <w:numId w:val="22"/>
        </w:numPr>
        <w:spacing w:after="0" w:line="276" w:lineRule="auto"/>
        <w:jc w:val="both"/>
        <w:rPr>
          <w:rFonts w:asciiTheme="majorHAnsi" w:eastAsia="Calibri" w:hAnsiTheme="majorHAnsi" w:cstheme="minorHAnsi"/>
          <w:sz w:val="24"/>
          <w:szCs w:val="24"/>
        </w:rPr>
      </w:pPr>
      <w:r w:rsidRPr="00381DA2">
        <w:rPr>
          <w:rFonts w:asciiTheme="majorHAnsi" w:eastAsia="Calibri" w:hAnsiTheme="majorHAnsi" w:cstheme="minorHAnsi"/>
          <w:sz w:val="24"/>
          <w:szCs w:val="24"/>
        </w:rPr>
        <w:t>d</w:t>
      </w:r>
      <w:r w:rsidR="00A372B0" w:rsidRPr="00381DA2">
        <w:rPr>
          <w:rFonts w:asciiTheme="majorHAnsi" w:eastAsia="Calibri" w:hAnsiTheme="majorHAnsi" w:cstheme="minorHAnsi"/>
          <w:sz w:val="24"/>
          <w:szCs w:val="24"/>
        </w:rPr>
        <w:t>escrierea tuturor proceselor ope</w:t>
      </w:r>
      <w:r w:rsidR="00CE40A6" w:rsidRPr="00381DA2">
        <w:rPr>
          <w:rFonts w:asciiTheme="majorHAnsi" w:eastAsia="Calibri" w:hAnsiTheme="majorHAnsi" w:cstheme="minorHAnsi"/>
          <w:sz w:val="24"/>
          <w:szCs w:val="24"/>
        </w:rPr>
        <w:t>raționale aferente activității de bază</w:t>
      </w:r>
      <w:r w:rsidR="00A372B0" w:rsidRPr="00381DA2">
        <w:rPr>
          <w:rFonts w:asciiTheme="majorHAnsi" w:eastAsia="Calibri" w:hAnsiTheme="majorHAnsi" w:cstheme="minorHAnsi"/>
          <w:sz w:val="24"/>
          <w:szCs w:val="24"/>
        </w:rPr>
        <w:t xml:space="preserve"> și celor ce țin de  activitatea  </w:t>
      </w:r>
      <w:proofErr w:type="spellStart"/>
      <w:r w:rsidR="00A372B0" w:rsidRPr="00381DA2">
        <w:rPr>
          <w:rFonts w:asciiTheme="majorHAnsi" w:eastAsia="Calibri" w:hAnsiTheme="majorHAnsi" w:cstheme="minorHAnsi"/>
          <w:sz w:val="24"/>
          <w:szCs w:val="24"/>
        </w:rPr>
        <w:t>economico</w:t>
      </w:r>
      <w:proofErr w:type="spellEnd"/>
      <w:r w:rsidR="00D76DC6">
        <w:rPr>
          <w:rFonts w:asciiTheme="majorHAnsi" w:eastAsia="Calibri" w:hAnsiTheme="majorHAnsi" w:cstheme="minorHAnsi"/>
          <w:sz w:val="24"/>
          <w:szCs w:val="24"/>
        </w:rPr>
        <w:t>-</w:t>
      </w:r>
      <w:r w:rsidR="00A372B0" w:rsidRPr="00381DA2">
        <w:rPr>
          <w:rFonts w:asciiTheme="majorHAnsi" w:eastAsia="Calibri" w:hAnsiTheme="majorHAnsi" w:cstheme="minorHAnsi"/>
          <w:sz w:val="24"/>
          <w:szCs w:val="24"/>
        </w:rPr>
        <w:t>financiară</w:t>
      </w:r>
      <w:r w:rsidR="00BB03B5" w:rsidRPr="00381DA2">
        <w:rPr>
          <w:rFonts w:asciiTheme="majorHAnsi" w:eastAsia="Calibri" w:hAnsiTheme="majorHAnsi" w:cstheme="minorHAnsi"/>
          <w:sz w:val="24"/>
          <w:szCs w:val="24"/>
        </w:rPr>
        <w:t>;</w:t>
      </w:r>
    </w:p>
    <w:p w14:paraId="10638997" w14:textId="77B1C9C7" w:rsidR="00BB03B5" w:rsidRPr="00381DA2" w:rsidRDefault="00A35F28" w:rsidP="003A66EF">
      <w:pPr>
        <w:numPr>
          <w:ilvl w:val="0"/>
          <w:numId w:val="22"/>
        </w:numPr>
        <w:spacing w:after="120" w:line="276" w:lineRule="auto"/>
        <w:jc w:val="both"/>
        <w:rPr>
          <w:rFonts w:asciiTheme="majorHAnsi" w:eastAsia="Calibri" w:hAnsiTheme="majorHAnsi" w:cstheme="minorHAnsi"/>
          <w:sz w:val="24"/>
          <w:szCs w:val="24"/>
        </w:rPr>
      </w:pPr>
      <w:r w:rsidRPr="00381DA2">
        <w:rPr>
          <w:rFonts w:asciiTheme="majorHAnsi" w:eastAsia="Calibri" w:hAnsiTheme="majorHAnsi" w:cstheme="minorHAnsi"/>
          <w:sz w:val="24"/>
          <w:szCs w:val="24"/>
        </w:rPr>
        <w:t>reglementarea regulilor de conduită etică și profesională a angajaților din sistemul AJGS, ținând cont că acestea trebuie să fie în concordanță cu valorile și obiectivele instituțiilor</w:t>
      </w:r>
      <w:r w:rsidR="00D76DC6">
        <w:rPr>
          <w:rFonts w:asciiTheme="majorHAnsi" w:eastAsia="Calibri" w:hAnsiTheme="majorHAnsi" w:cstheme="minorHAnsi"/>
          <w:sz w:val="24"/>
          <w:szCs w:val="24"/>
        </w:rPr>
        <w:t>,</w:t>
      </w:r>
      <w:r w:rsidRPr="00381DA2">
        <w:rPr>
          <w:rFonts w:asciiTheme="majorHAnsi" w:eastAsia="Calibri" w:hAnsiTheme="majorHAnsi" w:cstheme="minorHAnsi"/>
          <w:sz w:val="24"/>
          <w:szCs w:val="24"/>
        </w:rPr>
        <w:t xml:space="preserve"> precum și având în </w:t>
      </w:r>
      <w:r w:rsidR="00FD5156">
        <w:rPr>
          <w:rFonts w:asciiTheme="majorHAnsi" w:eastAsia="Calibri" w:hAnsiTheme="majorHAnsi" w:cstheme="minorHAnsi"/>
          <w:sz w:val="24"/>
          <w:szCs w:val="24"/>
        </w:rPr>
        <w:t>vedere interacțiunea</w:t>
      </w:r>
      <w:r w:rsidRPr="00381DA2">
        <w:rPr>
          <w:rFonts w:asciiTheme="majorHAnsi" w:eastAsia="Calibri" w:hAnsiTheme="majorHAnsi" w:cstheme="minorHAnsi"/>
          <w:sz w:val="24"/>
          <w:szCs w:val="24"/>
        </w:rPr>
        <w:t xml:space="preserve"> directă </w:t>
      </w:r>
      <w:r w:rsidR="00FD5156">
        <w:rPr>
          <w:rFonts w:asciiTheme="majorHAnsi" w:eastAsia="Calibri" w:hAnsiTheme="majorHAnsi" w:cstheme="minorHAnsi"/>
          <w:sz w:val="24"/>
          <w:szCs w:val="24"/>
        </w:rPr>
        <w:t xml:space="preserve">a </w:t>
      </w:r>
      <w:r w:rsidRPr="00381DA2">
        <w:rPr>
          <w:rFonts w:asciiTheme="majorHAnsi" w:eastAsia="Calibri" w:hAnsiTheme="majorHAnsi" w:cstheme="minorHAnsi"/>
          <w:sz w:val="24"/>
          <w:szCs w:val="24"/>
        </w:rPr>
        <w:t>personalului cu beneficiarii cetățen</w:t>
      </w:r>
      <w:r w:rsidR="00DE2A4B" w:rsidRPr="00381DA2">
        <w:rPr>
          <w:rFonts w:asciiTheme="majorHAnsi" w:eastAsia="Calibri" w:hAnsiTheme="majorHAnsi" w:cstheme="minorHAnsi"/>
          <w:sz w:val="24"/>
          <w:szCs w:val="24"/>
        </w:rPr>
        <w:t xml:space="preserve">i. </w:t>
      </w:r>
    </w:p>
    <w:p w14:paraId="55A22907" w14:textId="7A96DAA4" w:rsidR="00A372B0" w:rsidRPr="00381DA2" w:rsidRDefault="00A372B0" w:rsidP="003A66EF">
      <w:pPr>
        <w:spacing w:line="276" w:lineRule="auto"/>
        <w:contextualSpacing/>
        <w:jc w:val="both"/>
        <w:rPr>
          <w:rFonts w:asciiTheme="majorHAnsi" w:hAnsiTheme="majorHAnsi"/>
        </w:rPr>
      </w:pPr>
      <w:r w:rsidRPr="00381DA2">
        <w:rPr>
          <w:rFonts w:asciiTheme="majorHAnsi" w:hAnsiTheme="majorHAnsi" w:cstheme="minorHAnsi"/>
          <w:sz w:val="24"/>
          <w:szCs w:val="24"/>
        </w:rPr>
        <w:t>Suplimentar, se evidențiază că</w:t>
      </w:r>
      <w:r w:rsidR="00D76DC6">
        <w:rPr>
          <w:rFonts w:asciiTheme="majorHAnsi" w:hAnsiTheme="majorHAnsi" w:cstheme="minorHAnsi"/>
          <w:sz w:val="24"/>
          <w:szCs w:val="24"/>
        </w:rPr>
        <w:t>,</w:t>
      </w:r>
      <w:r w:rsidRPr="00381DA2">
        <w:rPr>
          <w:rFonts w:asciiTheme="majorHAnsi" w:hAnsiTheme="majorHAnsi" w:cstheme="minorHAnsi"/>
          <w:sz w:val="24"/>
          <w:szCs w:val="24"/>
        </w:rPr>
        <w:t xml:space="preserve"> în baza constatărilor menționate în</w:t>
      </w:r>
      <w:r w:rsidR="00FD5156">
        <w:rPr>
          <w:rFonts w:asciiTheme="majorHAnsi" w:hAnsiTheme="majorHAnsi" w:cstheme="minorHAnsi"/>
          <w:sz w:val="24"/>
          <w:szCs w:val="24"/>
        </w:rPr>
        <w:t xml:space="preserve"> prezentul Raport</w:t>
      </w:r>
      <w:r w:rsidRPr="00381DA2">
        <w:rPr>
          <w:rFonts w:asciiTheme="majorHAnsi" w:hAnsiTheme="majorHAnsi" w:cstheme="minorHAnsi"/>
          <w:sz w:val="24"/>
          <w:szCs w:val="24"/>
        </w:rPr>
        <w:t xml:space="preserve"> de audit aferente neconcordanțelor, deficiențelor și lacunelor cadrului normativ intern care reglementează sistemul de asistență juridică de stat, se conchide că necesită a fi  îmbunătățit și mediul de control intern</w:t>
      </w:r>
      <w:r w:rsidR="00614A86" w:rsidRPr="00381DA2">
        <w:rPr>
          <w:rFonts w:asciiTheme="majorHAnsi" w:hAnsiTheme="majorHAnsi" w:cstheme="minorHAnsi"/>
          <w:sz w:val="24"/>
          <w:szCs w:val="24"/>
        </w:rPr>
        <w:t xml:space="preserve"> al instituțiilor</w:t>
      </w:r>
      <w:r w:rsidRPr="00381DA2">
        <w:rPr>
          <w:rFonts w:asciiTheme="majorHAnsi" w:hAnsiTheme="majorHAnsi" w:cstheme="minorHAnsi"/>
          <w:sz w:val="24"/>
          <w:szCs w:val="24"/>
        </w:rPr>
        <w:t>. În fapt, această componentă a CIM reprezintă temelia întregului sistem, constituie baza tuturor celorlalte componente ale CIM și stabilește tonul entității, reflectând politicile manage</w:t>
      </w:r>
      <w:r w:rsidR="00086ABE">
        <w:rPr>
          <w:rFonts w:asciiTheme="majorHAnsi" w:hAnsiTheme="majorHAnsi" w:cstheme="minorHAnsi"/>
          <w:sz w:val="24"/>
          <w:szCs w:val="24"/>
        </w:rPr>
        <w:t>riale și atitudinea conducerii.</w:t>
      </w:r>
    </w:p>
    <w:p w14:paraId="490CD875" w14:textId="77777777" w:rsidR="00B77F08" w:rsidRPr="00381DA2" w:rsidRDefault="000B1C5D" w:rsidP="003A66EF">
      <w:pPr>
        <w:pStyle w:val="Heading1"/>
        <w:numPr>
          <w:ilvl w:val="0"/>
          <w:numId w:val="1"/>
        </w:numPr>
        <w:spacing w:before="0" w:after="160" w:line="276" w:lineRule="auto"/>
        <w:ind w:left="360" w:hanging="360"/>
        <w:rPr>
          <w:rFonts w:cstheme="minorHAnsi"/>
          <w:b/>
          <w:color w:val="1F4E79" w:themeColor="accent1" w:themeShade="80"/>
          <w:sz w:val="28"/>
          <w:szCs w:val="28"/>
        </w:rPr>
      </w:pPr>
      <w:bookmarkStart w:id="48" w:name="_Toc76371149"/>
      <w:bookmarkStart w:id="49" w:name="_Toc128640825"/>
      <w:r w:rsidRPr="00381DA2">
        <w:rPr>
          <w:rFonts w:cstheme="minorHAnsi"/>
          <w:b/>
          <w:color w:val="1F4E79" w:themeColor="accent1" w:themeShade="80"/>
          <w:sz w:val="28"/>
          <w:szCs w:val="28"/>
        </w:rPr>
        <w:t>CONCLUZIA</w:t>
      </w:r>
      <w:r w:rsidR="00B77F08" w:rsidRPr="00381DA2">
        <w:rPr>
          <w:rFonts w:cstheme="minorHAnsi"/>
          <w:b/>
          <w:color w:val="1F4E79" w:themeColor="accent1" w:themeShade="80"/>
          <w:sz w:val="28"/>
          <w:szCs w:val="28"/>
        </w:rPr>
        <w:t xml:space="preserve"> GENERALĂ</w:t>
      </w:r>
      <w:bookmarkEnd w:id="48"/>
      <w:bookmarkEnd w:id="49"/>
    </w:p>
    <w:p w14:paraId="0CD8D9AC" w14:textId="379BA6E0" w:rsidR="00916391" w:rsidRDefault="00916391" w:rsidP="00916391">
      <w:pPr>
        <w:shd w:val="clear" w:color="auto" w:fill="FFFFFF"/>
        <w:spacing w:after="80" w:line="276" w:lineRule="auto"/>
        <w:jc w:val="both"/>
        <w:rPr>
          <w:rFonts w:asciiTheme="majorHAnsi" w:hAnsiTheme="majorHAnsi" w:cstheme="minorHAnsi"/>
          <w:sz w:val="24"/>
          <w:szCs w:val="24"/>
        </w:rPr>
      </w:pPr>
      <w:bookmarkStart w:id="50" w:name="_Toc76371150"/>
      <w:r w:rsidRPr="00916391">
        <w:rPr>
          <w:rFonts w:asciiTheme="majorHAnsi" w:hAnsiTheme="majorHAnsi" w:cstheme="minorHAnsi"/>
          <w:sz w:val="24"/>
          <w:szCs w:val="24"/>
        </w:rPr>
        <w:t xml:space="preserve">În baza testărilor de audit efectuate, auditul public </w:t>
      </w:r>
      <w:r w:rsidRPr="00FF245C">
        <w:rPr>
          <w:rFonts w:asciiTheme="majorHAnsi" w:hAnsiTheme="majorHAnsi" w:cstheme="minorHAnsi"/>
          <w:sz w:val="24"/>
          <w:szCs w:val="24"/>
        </w:rPr>
        <w:t>constată că organele de administrare a</w:t>
      </w:r>
      <w:r w:rsidR="00606797" w:rsidRPr="00FF245C">
        <w:rPr>
          <w:rFonts w:asciiTheme="majorHAnsi" w:hAnsiTheme="majorHAnsi" w:cstheme="minorHAnsi"/>
          <w:sz w:val="24"/>
          <w:szCs w:val="24"/>
        </w:rPr>
        <w:t>le</w:t>
      </w:r>
      <w:r w:rsidRPr="00FF245C">
        <w:rPr>
          <w:rFonts w:asciiTheme="majorHAnsi" w:hAnsiTheme="majorHAnsi" w:cstheme="minorHAnsi"/>
          <w:sz w:val="24"/>
          <w:szCs w:val="24"/>
        </w:rPr>
        <w:t xml:space="preserve"> sistemului de AJGS în perioada 2020-2022 au întreprins</w:t>
      </w:r>
      <w:r w:rsidR="003072B6" w:rsidRPr="00FF245C">
        <w:rPr>
          <w:rFonts w:asciiTheme="majorHAnsi" w:hAnsiTheme="majorHAnsi" w:cstheme="minorHAnsi"/>
          <w:sz w:val="24"/>
          <w:szCs w:val="24"/>
        </w:rPr>
        <w:t xml:space="preserve"> unele </w:t>
      </w:r>
      <w:r w:rsidRPr="00FF245C">
        <w:rPr>
          <w:rFonts w:asciiTheme="majorHAnsi" w:hAnsiTheme="majorHAnsi" w:cstheme="minorHAnsi"/>
          <w:sz w:val="24"/>
          <w:szCs w:val="24"/>
        </w:rPr>
        <w:t xml:space="preserve">măsuri în vederea valorificării </w:t>
      </w:r>
      <w:r w:rsidRPr="00FF245C">
        <w:rPr>
          <w:rFonts w:asciiTheme="majorHAnsi" w:hAnsiTheme="majorHAnsi" w:cstheme="minorHAnsi"/>
          <w:sz w:val="24"/>
          <w:szCs w:val="24"/>
        </w:rPr>
        <w:lastRenderedPageBreak/>
        <w:t>conforme a mijloacelor bugetare alocate. Însă</w:t>
      </w:r>
      <w:r w:rsidR="00606797" w:rsidRPr="00FF245C">
        <w:rPr>
          <w:rFonts w:asciiTheme="majorHAnsi" w:hAnsiTheme="majorHAnsi" w:cstheme="minorHAnsi"/>
          <w:sz w:val="24"/>
          <w:szCs w:val="24"/>
        </w:rPr>
        <w:t>,</w:t>
      </w:r>
      <w:r w:rsidRPr="00FF245C">
        <w:rPr>
          <w:rFonts w:asciiTheme="majorHAnsi" w:hAnsiTheme="majorHAnsi" w:cstheme="minorHAnsi"/>
          <w:sz w:val="24"/>
          <w:szCs w:val="24"/>
        </w:rPr>
        <w:t xml:space="preserve"> în pofida efortului depus de conducerea instituțiilor, se atestă prezența unor carențe și iregularități</w:t>
      </w:r>
      <w:r w:rsidRPr="00916391">
        <w:rPr>
          <w:rFonts w:asciiTheme="majorHAnsi" w:hAnsiTheme="majorHAnsi" w:cstheme="minorHAnsi"/>
          <w:sz w:val="24"/>
          <w:szCs w:val="24"/>
        </w:rPr>
        <w:t xml:space="preserve"> aferente administrării sistemului de asistență garantată de stat, care au rezultat în:</w:t>
      </w:r>
    </w:p>
    <w:p w14:paraId="762354CD" w14:textId="3D80CA36" w:rsidR="00086ABE" w:rsidRDefault="00FF245C" w:rsidP="00086ABE">
      <w:pPr>
        <w:pStyle w:val="ListParagraph"/>
        <w:numPr>
          <w:ilvl w:val="0"/>
          <w:numId w:val="46"/>
        </w:numPr>
        <w:shd w:val="clear" w:color="auto" w:fill="FFFFFF"/>
        <w:spacing w:after="120" w:line="276" w:lineRule="auto"/>
        <w:jc w:val="both"/>
        <w:rPr>
          <w:rFonts w:asciiTheme="majorHAnsi" w:hAnsiTheme="majorHAnsi" w:cstheme="minorHAnsi"/>
          <w:sz w:val="24"/>
          <w:szCs w:val="24"/>
        </w:rPr>
      </w:pPr>
      <w:r>
        <w:rPr>
          <w:rFonts w:asciiTheme="majorHAnsi" w:hAnsiTheme="majorHAnsi" w:cstheme="minorHAnsi"/>
          <w:sz w:val="24"/>
          <w:szCs w:val="24"/>
        </w:rPr>
        <w:t>S</w:t>
      </w:r>
      <w:r w:rsidR="00086ABE">
        <w:rPr>
          <w:rFonts w:asciiTheme="majorHAnsi" w:hAnsiTheme="majorHAnsi" w:cstheme="minorHAnsi"/>
          <w:sz w:val="24"/>
          <w:szCs w:val="24"/>
        </w:rPr>
        <w:t>olicitări</w:t>
      </w:r>
      <w:r>
        <w:rPr>
          <w:rFonts w:asciiTheme="majorHAnsi" w:hAnsiTheme="majorHAnsi" w:cstheme="minorHAnsi"/>
          <w:sz w:val="24"/>
          <w:szCs w:val="24"/>
        </w:rPr>
        <w:t xml:space="preserve"> excesive </w:t>
      </w:r>
      <w:r w:rsidR="00FD5156">
        <w:rPr>
          <w:rFonts w:asciiTheme="majorHAnsi" w:hAnsiTheme="majorHAnsi" w:cstheme="minorHAnsi"/>
          <w:sz w:val="24"/>
          <w:szCs w:val="24"/>
        </w:rPr>
        <w:t>din partea diferitor apelanți</w:t>
      </w:r>
      <w:r w:rsidR="00086ABE">
        <w:rPr>
          <w:rFonts w:asciiTheme="majorHAnsi" w:hAnsiTheme="majorHAnsi" w:cstheme="minorHAnsi"/>
          <w:sz w:val="24"/>
          <w:szCs w:val="24"/>
        </w:rPr>
        <w:t xml:space="preserve"> a serviciilor juridice garantate de stat, or, invocând unele</w:t>
      </w:r>
      <w:r w:rsidR="00086ABE" w:rsidRPr="00CE4E84">
        <w:rPr>
          <w:rFonts w:asciiTheme="majorHAnsi" w:hAnsiTheme="majorHAnsi" w:cstheme="minorHAnsi"/>
          <w:sz w:val="24"/>
          <w:szCs w:val="24"/>
        </w:rPr>
        <w:t xml:space="preserve"> temeiuri legale obligatorii</w:t>
      </w:r>
      <w:r w:rsidR="00606797">
        <w:rPr>
          <w:rFonts w:asciiTheme="majorHAnsi" w:hAnsiTheme="majorHAnsi" w:cstheme="minorHAnsi"/>
          <w:sz w:val="24"/>
          <w:szCs w:val="24"/>
        </w:rPr>
        <w:t>, aceștia</w:t>
      </w:r>
      <w:r w:rsidR="00086ABE" w:rsidRPr="00CE4E84">
        <w:rPr>
          <w:rFonts w:asciiTheme="majorHAnsi" w:hAnsiTheme="majorHAnsi" w:cstheme="minorHAnsi"/>
          <w:sz w:val="24"/>
          <w:szCs w:val="24"/>
        </w:rPr>
        <w:t xml:space="preserve"> a</w:t>
      </w:r>
      <w:r w:rsidR="00086ABE">
        <w:rPr>
          <w:rFonts w:asciiTheme="majorHAnsi" w:hAnsiTheme="majorHAnsi" w:cstheme="minorHAnsi"/>
          <w:sz w:val="24"/>
          <w:szCs w:val="24"/>
        </w:rPr>
        <w:t>u ocolit</w:t>
      </w:r>
      <w:r w:rsidR="00086ABE" w:rsidRPr="00CE4E84">
        <w:rPr>
          <w:rFonts w:asciiTheme="majorHAnsi" w:hAnsiTheme="majorHAnsi" w:cstheme="minorHAnsi"/>
          <w:sz w:val="24"/>
          <w:szCs w:val="24"/>
        </w:rPr>
        <w:t xml:space="preserve"> procedura prestabilită de </w:t>
      </w:r>
      <w:r w:rsidR="00086ABE">
        <w:rPr>
          <w:rFonts w:asciiTheme="majorHAnsi" w:hAnsiTheme="majorHAnsi" w:cstheme="minorHAnsi"/>
          <w:sz w:val="24"/>
          <w:szCs w:val="24"/>
        </w:rPr>
        <w:t xml:space="preserve">acordare a asistenței juridice </w:t>
      </w:r>
      <w:r w:rsidR="00086ABE" w:rsidRPr="00CE4E84">
        <w:rPr>
          <w:rFonts w:asciiTheme="majorHAnsi" w:hAnsiTheme="majorHAnsi" w:cstheme="minorHAnsi"/>
          <w:sz w:val="24"/>
          <w:szCs w:val="24"/>
        </w:rPr>
        <w:t>în teme</w:t>
      </w:r>
      <w:r w:rsidR="00086ABE">
        <w:rPr>
          <w:rFonts w:asciiTheme="majorHAnsi" w:hAnsiTheme="majorHAnsi" w:cstheme="minorHAnsi"/>
          <w:sz w:val="24"/>
          <w:szCs w:val="24"/>
        </w:rPr>
        <w:t>iul aplicării testului de venit;</w:t>
      </w:r>
    </w:p>
    <w:p w14:paraId="44793AF4" w14:textId="53702A8F" w:rsidR="00086ABE" w:rsidRDefault="00086ABE" w:rsidP="00086ABE">
      <w:pPr>
        <w:pStyle w:val="ListParagraph"/>
        <w:numPr>
          <w:ilvl w:val="0"/>
          <w:numId w:val="46"/>
        </w:numPr>
        <w:shd w:val="clear" w:color="auto" w:fill="FFFFFF"/>
        <w:spacing w:after="120" w:line="276" w:lineRule="auto"/>
        <w:jc w:val="both"/>
        <w:rPr>
          <w:rFonts w:asciiTheme="majorHAnsi" w:hAnsiTheme="majorHAnsi" w:cstheme="minorHAnsi"/>
          <w:sz w:val="24"/>
          <w:szCs w:val="24"/>
        </w:rPr>
      </w:pPr>
      <w:r>
        <w:rPr>
          <w:rFonts w:asciiTheme="majorHAnsi" w:hAnsiTheme="majorHAnsi" w:cstheme="minorHAnsi"/>
          <w:sz w:val="24"/>
          <w:szCs w:val="24"/>
        </w:rPr>
        <w:t xml:space="preserve">nerespectarea întocmai a actelor normative la calcularea </w:t>
      </w:r>
      <w:r w:rsidRPr="00D80E21">
        <w:rPr>
          <w:rFonts w:asciiTheme="majorHAnsi" w:hAnsiTheme="majorHAnsi" w:cstheme="minorHAnsi"/>
          <w:sz w:val="24"/>
          <w:szCs w:val="24"/>
        </w:rPr>
        <w:t xml:space="preserve">venitului </w:t>
      </w:r>
      <w:r>
        <w:rPr>
          <w:rFonts w:asciiTheme="majorHAnsi" w:hAnsiTheme="majorHAnsi" w:cstheme="minorHAnsi"/>
          <w:sz w:val="24"/>
          <w:szCs w:val="24"/>
        </w:rPr>
        <w:t>mediu</w:t>
      </w:r>
      <w:r w:rsidR="00606797">
        <w:rPr>
          <w:rFonts w:asciiTheme="majorHAnsi" w:hAnsiTheme="majorHAnsi" w:cstheme="minorHAnsi"/>
          <w:sz w:val="24"/>
          <w:szCs w:val="24"/>
        </w:rPr>
        <w:t>,</w:t>
      </w:r>
      <w:r>
        <w:rPr>
          <w:rFonts w:asciiTheme="majorHAnsi" w:hAnsiTheme="majorHAnsi" w:cstheme="minorHAnsi"/>
          <w:sz w:val="24"/>
          <w:szCs w:val="24"/>
        </w:rPr>
        <w:t xml:space="preserve"> determinat </w:t>
      </w:r>
      <w:r w:rsidRPr="00D80E21">
        <w:rPr>
          <w:rFonts w:asciiTheme="majorHAnsi" w:hAnsiTheme="majorHAnsi" w:cstheme="minorHAnsi"/>
          <w:sz w:val="24"/>
          <w:szCs w:val="24"/>
        </w:rPr>
        <w:t>în scopul acordării AJGS</w:t>
      </w:r>
      <w:r>
        <w:rPr>
          <w:rFonts w:asciiTheme="majorHAnsi" w:hAnsiTheme="majorHAnsi" w:cstheme="minorHAnsi"/>
          <w:sz w:val="24"/>
          <w:szCs w:val="24"/>
        </w:rPr>
        <w:t xml:space="preserve"> beneficiarilor, precum și </w:t>
      </w:r>
      <w:r w:rsidRPr="00D80E21">
        <w:rPr>
          <w:rFonts w:asciiTheme="majorHAnsi" w:hAnsiTheme="majorHAnsi" w:cstheme="minorHAnsi"/>
          <w:sz w:val="24"/>
          <w:szCs w:val="24"/>
        </w:rPr>
        <w:t>caracterul desuet</w:t>
      </w:r>
      <w:r>
        <w:rPr>
          <w:rFonts w:asciiTheme="majorHAnsi" w:hAnsiTheme="majorHAnsi" w:cstheme="minorHAnsi"/>
          <w:sz w:val="24"/>
          <w:szCs w:val="24"/>
        </w:rPr>
        <w:t xml:space="preserve"> </w:t>
      </w:r>
      <w:r w:rsidRPr="00D80E21">
        <w:rPr>
          <w:rFonts w:asciiTheme="majorHAnsi" w:hAnsiTheme="majorHAnsi" w:cstheme="minorHAnsi"/>
          <w:sz w:val="24"/>
          <w:szCs w:val="24"/>
        </w:rPr>
        <w:t xml:space="preserve">și neaplicabilitatea </w:t>
      </w:r>
      <w:r>
        <w:rPr>
          <w:rFonts w:asciiTheme="majorHAnsi" w:hAnsiTheme="majorHAnsi" w:cstheme="minorHAnsi"/>
          <w:sz w:val="24"/>
          <w:szCs w:val="24"/>
        </w:rPr>
        <w:t>acestor</w:t>
      </w:r>
      <w:r w:rsidRPr="00D80E21">
        <w:rPr>
          <w:rFonts w:asciiTheme="majorHAnsi" w:hAnsiTheme="majorHAnsi" w:cstheme="minorHAnsi"/>
          <w:sz w:val="24"/>
          <w:szCs w:val="24"/>
        </w:rPr>
        <w:t xml:space="preserve"> norme</w:t>
      </w:r>
      <w:r>
        <w:rPr>
          <w:rFonts w:asciiTheme="majorHAnsi" w:hAnsiTheme="majorHAnsi" w:cstheme="minorHAnsi"/>
          <w:sz w:val="24"/>
          <w:szCs w:val="24"/>
        </w:rPr>
        <w:t>;</w:t>
      </w:r>
    </w:p>
    <w:p w14:paraId="79D76D7E" w14:textId="77777777" w:rsidR="00086ABE" w:rsidRDefault="00086ABE" w:rsidP="00086ABE">
      <w:pPr>
        <w:pStyle w:val="ListParagraph"/>
        <w:numPr>
          <w:ilvl w:val="0"/>
          <w:numId w:val="46"/>
        </w:numPr>
        <w:spacing w:after="160" w:line="259" w:lineRule="auto"/>
        <w:jc w:val="both"/>
        <w:rPr>
          <w:rFonts w:asciiTheme="majorHAnsi" w:hAnsiTheme="majorHAnsi" w:cstheme="minorHAnsi"/>
          <w:sz w:val="24"/>
          <w:szCs w:val="24"/>
        </w:rPr>
      </w:pPr>
      <w:r w:rsidRPr="00547380">
        <w:rPr>
          <w:rFonts w:asciiTheme="majorHAnsi" w:hAnsiTheme="majorHAnsi" w:cstheme="minorHAnsi"/>
          <w:sz w:val="24"/>
          <w:szCs w:val="24"/>
        </w:rPr>
        <w:t>discrepanțe semnificative și practici neuniforme în cadrul procesului de repartizare a cauzelor de AJGS avocaților contractați</w:t>
      </w:r>
      <w:r>
        <w:rPr>
          <w:rFonts w:asciiTheme="majorHAnsi" w:hAnsiTheme="majorHAnsi" w:cstheme="minorHAnsi"/>
          <w:sz w:val="24"/>
          <w:szCs w:val="24"/>
        </w:rPr>
        <w:t>;</w:t>
      </w:r>
    </w:p>
    <w:p w14:paraId="58906638" w14:textId="77777777" w:rsidR="00086ABE" w:rsidRPr="00BD2230" w:rsidRDefault="00086ABE" w:rsidP="00086ABE">
      <w:pPr>
        <w:pStyle w:val="ListParagraph"/>
        <w:numPr>
          <w:ilvl w:val="0"/>
          <w:numId w:val="46"/>
        </w:numPr>
        <w:spacing w:after="160" w:line="259" w:lineRule="auto"/>
        <w:jc w:val="both"/>
        <w:rPr>
          <w:rFonts w:asciiTheme="majorHAnsi" w:hAnsiTheme="majorHAnsi" w:cstheme="minorHAnsi"/>
          <w:sz w:val="24"/>
          <w:szCs w:val="24"/>
        </w:rPr>
      </w:pPr>
      <w:r>
        <w:rPr>
          <w:rFonts w:asciiTheme="majorHAnsi" w:hAnsiTheme="majorHAnsi" w:cstheme="minorHAnsi"/>
          <w:sz w:val="24"/>
          <w:szCs w:val="24"/>
        </w:rPr>
        <w:t xml:space="preserve">remunerarea avocaților în condiții incerte, </w:t>
      </w:r>
      <w:r w:rsidRPr="00BD2230">
        <w:rPr>
          <w:rFonts w:asciiTheme="majorHAnsi" w:hAnsiTheme="majorHAnsi" w:cstheme="minorHAnsi"/>
          <w:sz w:val="24"/>
          <w:szCs w:val="24"/>
        </w:rPr>
        <w:t xml:space="preserve">ceea ce denotă că activitățile de control intern sunt slabe și permit </w:t>
      </w:r>
      <w:r>
        <w:rPr>
          <w:rFonts w:asciiTheme="majorHAnsi" w:hAnsiTheme="majorHAnsi" w:cstheme="minorHAnsi"/>
          <w:sz w:val="24"/>
          <w:szCs w:val="24"/>
        </w:rPr>
        <w:t>iregularități</w:t>
      </w:r>
      <w:r w:rsidRPr="00BD2230">
        <w:rPr>
          <w:rFonts w:asciiTheme="majorHAnsi" w:hAnsiTheme="majorHAnsi" w:cstheme="minorHAnsi"/>
          <w:sz w:val="24"/>
          <w:szCs w:val="24"/>
        </w:rPr>
        <w:t>;</w:t>
      </w:r>
    </w:p>
    <w:p w14:paraId="36AE5E77" w14:textId="77777777" w:rsidR="00086ABE" w:rsidRDefault="00086ABE" w:rsidP="00086ABE">
      <w:pPr>
        <w:pStyle w:val="ListParagraph"/>
        <w:numPr>
          <w:ilvl w:val="0"/>
          <w:numId w:val="46"/>
        </w:numPr>
        <w:shd w:val="clear" w:color="auto" w:fill="FFFFFF"/>
        <w:spacing w:after="120" w:line="276" w:lineRule="auto"/>
        <w:jc w:val="both"/>
        <w:rPr>
          <w:rFonts w:asciiTheme="majorHAnsi" w:hAnsiTheme="majorHAnsi" w:cstheme="minorHAnsi"/>
          <w:sz w:val="24"/>
          <w:szCs w:val="24"/>
        </w:rPr>
      </w:pPr>
      <w:r>
        <w:rPr>
          <w:rFonts w:asciiTheme="majorHAnsi" w:hAnsiTheme="majorHAnsi" w:cstheme="minorHAnsi"/>
          <w:sz w:val="24"/>
          <w:szCs w:val="24"/>
        </w:rPr>
        <w:t xml:space="preserve">lipsa unor instrumente funcționale care ar asigura recuperarea la buget a tuturor </w:t>
      </w:r>
      <w:r w:rsidRPr="001D4664">
        <w:rPr>
          <w:rFonts w:asciiTheme="majorHAnsi" w:hAnsiTheme="majorHAnsi" w:cstheme="minorHAnsi"/>
          <w:sz w:val="24"/>
          <w:szCs w:val="24"/>
        </w:rPr>
        <w:t>costurilor asistenței juridice pasibile r</w:t>
      </w:r>
      <w:r>
        <w:rPr>
          <w:rFonts w:asciiTheme="majorHAnsi" w:hAnsiTheme="majorHAnsi" w:cstheme="minorHAnsi"/>
          <w:sz w:val="24"/>
          <w:szCs w:val="24"/>
        </w:rPr>
        <w:t>estituirii;</w:t>
      </w:r>
    </w:p>
    <w:p w14:paraId="5A6AD930" w14:textId="77777777" w:rsidR="00086ABE" w:rsidRDefault="00086ABE" w:rsidP="00086ABE">
      <w:pPr>
        <w:pStyle w:val="ListParagraph"/>
        <w:numPr>
          <w:ilvl w:val="0"/>
          <w:numId w:val="46"/>
        </w:numPr>
        <w:shd w:val="clear" w:color="auto" w:fill="FFFFFF"/>
        <w:spacing w:after="120" w:line="276" w:lineRule="auto"/>
        <w:jc w:val="both"/>
        <w:rPr>
          <w:rFonts w:asciiTheme="majorHAnsi" w:hAnsiTheme="majorHAnsi" w:cstheme="minorHAnsi"/>
          <w:sz w:val="24"/>
          <w:szCs w:val="24"/>
        </w:rPr>
      </w:pPr>
      <w:r w:rsidRPr="001A0651">
        <w:rPr>
          <w:rFonts w:asciiTheme="majorHAnsi" w:hAnsiTheme="majorHAnsi" w:cstheme="minorHAnsi"/>
          <w:sz w:val="24"/>
          <w:szCs w:val="24"/>
        </w:rPr>
        <w:t>tergiversarea punerii în aplicare</w:t>
      </w:r>
      <w:r>
        <w:rPr>
          <w:rFonts w:asciiTheme="majorHAnsi" w:hAnsiTheme="majorHAnsi" w:cstheme="minorHAnsi"/>
          <w:sz w:val="24"/>
          <w:szCs w:val="24"/>
        </w:rPr>
        <w:t xml:space="preserve"> a mecanismului de evaluare a</w:t>
      </w:r>
      <w:r w:rsidRPr="001A0651">
        <w:rPr>
          <w:rFonts w:asciiTheme="majorHAnsi" w:hAnsiTheme="majorHAnsi" w:cstheme="minorHAnsi"/>
          <w:sz w:val="24"/>
          <w:szCs w:val="24"/>
        </w:rPr>
        <w:t xml:space="preserve"> calității serviciilor jur</w:t>
      </w:r>
      <w:r>
        <w:rPr>
          <w:rFonts w:asciiTheme="majorHAnsi" w:hAnsiTheme="majorHAnsi" w:cstheme="minorHAnsi"/>
          <w:sz w:val="24"/>
          <w:szCs w:val="24"/>
        </w:rPr>
        <w:t>idice prestate de către avocați;</w:t>
      </w:r>
    </w:p>
    <w:p w14:paraId="501AFE19" w14:textId="2441FA08" w:rsidR="00086ABE" w:rsidRPr="0095473B" w:rsidRDefault="00086ABE" w:rsidP="00086ABE">
      <w:pPr>
        <w:pStyle w:val="ListParagraph"/>
        <w:numPr>
          <w:ilvl w:val="0"/>
          <w:numId w:val="46"/>
        </w:numPr>
        <w:shd w:val="clear" w:color="auto" w:fill="FFFFFF"/>
        <w:spacing w:after="120" w:line="276" w:lineRule="auto"/>
        <w:jc w:val="both"/>
        <w:rPr>
          <w:rFonts w:asciiTheme="majorHAnsi" w:hAnsiTheme="majorHAnsi" w:cstheme="minorHAnsi"/>
          <w:sz w:val="24"/>
          <w:szCs w:val="24"/>
        </w:rPr>
      </w:pPr>
      <w:r w:rsidRPr="001A0651">
        <w:rPr>
          <w:rFonts w:asciiTheme="majorHAnsi" w:hAnsiTheme="majorHAnsi" w:cstheme="minorHAnsi"/>
          <w:sz w:val="24"/>
          <w:szCs w:val="24"/>
        </w:rPr>
        <w:t>neclarități privind statutul juridic a</w:t>
      </w:r>
      <w:r w:rsidR="00606797">
        <w:rPr>
          <w:rFonts w:asciiTheme="majorHAnsi" w:hAnsiTheme="majorHAnsi" w:cstheme="minorHAnsi"/>
          <w:sz w:val="24"/>
          <w:szCs w:val="24"/>
        </w:rPr>
        <w:t>l</w:t>
      </w:r>
      <w:r w:rsidRPr="001A0651">
        <w:rPr>
          <w:rFonts w:asciiTheme="majorHAnsi" w:hAnsiTheme="majorHAnsi" w:cstheme="minorHAnsi"/>
          <w:sz w:val="24"/>
          <w:szCs w:val="24"/>
        </w:rPr>
        <w:t xml:space="preserve"> unor structuri </w:t>
      </w:r>
      <w:r>
        <w:rPr>
          <w:rFonts w:asciiTheme="majorHAnsi" w:hAnsiTheme="majorHAnsi" w:cstheme="minorHAnsi"/>
          <w:sz w:val="24"/>
          <w:szCs w:val="24"/>
        </w:rPr>
        <w:t>responsabile de administrarea sistemului de AJGS</w:t>
      </w:r>
      <w:r w:rsidRPr="001A0651">
        <w:rPr>
          <w:rFonts w:asciiTheme="majorHAnsi" w:hAnsiTheme="majorHAnsi" w:cstheme="minorHAnsi"/>
          <w:sz w:val="24"/>
          <w:szCs w:val="24"/>
        </w:rPr>
        <w:t>, rolul și</w:t>
      </w:r>
      <w:r>
        <w:rPr>
          <w:rFonts w:asciiTheme="majorHAnsi" w:hAnsiTheme="majorHAnsi" w:cstheme="minorHAnsi"/>
          <w:sz w:val="24"/>
          <w:szCs w:val="24"/>
        </w:rPr>
        <w:t xml:space="preserve"> </w:t>
      </w:r>
      <w:r w:rsidRPr="001A0651">
        <w:rPr>
          <w:rFonts w:asciiTheme="majorHAnsi" w:hAnsiTheme="majorHAnsi" w:cstheme="minorHAnsi"/>
          <w:sz w:val="24"/>
          <w:szCs w:val="24"/>
        </w:rPr>
        <w:t>responsabilitățile atribuite acestora, inclusiv în procesul de planificare,  gestionare și raportare a mijloacelor bugetare.</w:t>
      </w:r>
    </w:p>
    <w:p w14:paraId="3692E1FE" w14:textId="27720DA6" w:rsidR="00086ABE" w:rsidRPr="00BC0F93" w:rsidRDefault="00086ABE" w:rsidP="00086ABE">
      <w:pPr>
        <w:shd w:val="clear" w:color="auto" w:fill="FFFFFF"/>
        <w:spacing w:after="120" w:line="276" w:lineRule="auto"/>
        <w:jc w:val="both"/>
        <w:rPr>
          <w:rFonts w:asciiTheme="majorHAnsi" w:hAnsiTheme="majorHAnsi" w:cstheme="minorHAnsi"/>
          <w:sz w:val="24"/>
          <w:szCs w:val="24"/>
        </w:rPr>
      </w:pPr>
      <w:r w:rsidRPr="00BC0F93">
        <w:rPr>
          <w:rFonts w:asciiTheme="majorHAnsi" w:hAnsiTheme="majorHAnsi" w:cstheme="minorHAnsi"/>
          <w:sz w:val="24"/>
          <w:szCs w:val="24"/>
        </w:rPr>
        <w:t xml:space="preserve">Deși o parte din carențele constatate de audit au fost cauzate de imperfecțiunea/lacunele cadrului normativ, cunoscute de autoritățile statului, </w:t>
      </w:r>
      <w:r w:rsidR="00101104" w:rsidRPr="00101104">
        <w:rPr>
          <w:rFonts w:asciiTheme="majorHAnsi" w:hAnsiTheme="majorHAnsi" w:cstheme="minorHAnsi"/>
          <w:sz w:val="24"/>
          <w:szCs w:val="24"/>
        </w:rPr>
        <w:t>acestea nu au întreprins în termeni oportuni acțiunile necesare întru remedierea lor</w:t>
      </w:r>
      <w:r w:rsidRPr="00BC0F93">
        <w:rPr>
          <w:rFonts w:asciiTheme="majorHAnsi" w:hAnsiTheme="majorHAnsi" w:cstheme="minorHAnsi"/>
          <w:sz w:val="24"/>
          <w:szCs w:val="24"/>
        </w:rPr>
        <w:t xml:space="preserve">, nefiind promovate modificările necesare în cadrul normativ aplicabil, care ar fi asigurat plusvaloare în administrarea </w:t>
      </w:r>
      <w:r>
        <w:rPr>
          <w:rFonts w:asciiTheme="majorHAnsi" w:hAnsiTheme="majorHAnsi" w:cstheme="minorHAnsi"/>
          <w:sz w:val="24"/>
          <w:szCs w:val="24"/>
        </w:rPr>
        <w:t>sistemului de AJGS</w:t>
      </w:r>
      <w:r w:rsidRPr="00BC0F93">
        <w:rPr>
          <w:rFonts w:asciiTheme="majorHAnsi" w:hAnsiTheme="majorHAnsi" w:cstheme="minorHAnsi"/>
          <w:sz w:val="24"/>
          <w:szCs w:val="24"/>
        </w:rPr>
        <w:t>,</w:t>
      </w:r>
      <w:r>
        <w:rPr>
          <w:rFonts w:asciiTheme="majorHAnsi" w:hAnsiTheme="majorHAnsi" w:cstheme="minorHAnsi"/>
          <w:sz w:val="24"/>
          <w:szCs w:val="24"/>
        </w:rPr>
        <w:t xml:space="preserve"> direcționarea AJGS beneficiarilor eligibili</w:t>
      </w:r>
      <w:r w:rsidR="00606797">
        <w:rPr>
          <w:rFonts w:asciiTheme="majorHAnsi" w:hAnsiTheme="majorHAnsi" w:cstheme="minorHAnsi"/>
          <w:sz w:val="24"/>
          <w:szCs w:val="24"/>
        </w:rPr>
        <w:t>,</w:t>
      </w:r>
      <w:r>
        <w:rPr>
          <w:rFonts w:asciiTheme="majorHAnsi" w:hAnsiTheme="majorHAnsi" w:cstheme="minorHAnsi"/>
          <w:sz w:val="24"/>
          <w:szCs w:val="24"/>
        </w:rPr>
        <w:t xml:space="preserve"> precum și remunerarea avocaților</w:t>
      </w:r>
      <w:r w:rsidRPr="00BC0F93">
        <w:rPr>
          <w:rFonts w:asciiTheme="majorHAnsi" w:hAnsiTheme="majorHAnsi" w:cstheme="minorHAnsi"/>
          <w:sz w:val="24"/>
          <w:szCs w:val="24"/>
        </w:rPr>
        <w:t xml:space="preserve"> </w:t>
      </w:r>
      <w:r>
        <w:rPr>
          <w:rFonts w:asciiTheme="majorHAnsi" w:hAnsiTheme="majorHAnsi" w:cstheme="minorHAnsi"/>
          <w:sz w:val="24"/>
          <w:szCs w:val="24"/>
        </w:rPr>
        <w:t xml:space="preserve">în condiții clare. </w:t>
      </w:r>
    </w:p>
    <w:p w14:paraId="3BF4B01B" w14:textId="5603BBDF" w:rsidR="00086ABE" w:rsidRPr="00381DA2" w:rsidRDefault="00086ABE" w:rsidP="00086ABE">
      <w:pPr>
        <w:shd w:val="clear" w:color="auto" w:fill="FFFFFF"/>
        <w:spacing w:line="276" w:lineRule="auto"/>
        <w:jc w:val="both"/>
        <w:rPr>
          <w:rFonts w:asciiTheme="majorHAnsi" w:eastAsia="Times New Roman" w:hAnsiTheme="majorHAnsi" w:cstheme="minorHAnsi"/>
          <w:bCs/>
          <w:sz w:val="24"/>
          <w:szCs w:val="24"/>
        </w:rPr>
      </w:pPr>
      <w:r w:rsidRPr="00381DA2">
        <w:rPr>
          <w:rFonts w:asciiTheme="majorHAnsi" w:hAnsiTheme="majorHAnsi" w:cstheme="minorHAnsi"/>
          <w:sz w:val="24"/>
          <w:szCs w:val="24"/>
        </w:rPr>
        <w:t>Rezumând constatările și concluziile formulate,</w:t>
      </w:r>
      <w:r w:rsidR="0066537F">
        <w:rPr>
          <w:rFonts w:asciiTheme="majorHAnsi" w:hAnsiTheme="majorHAnsi" w:cstheme="minorHAnsi"/>
          <w:sz w:val="24"/>
          <w:szCs w:val="24"/>
        </w:rPr>
        <w:t xml:space="preserve"> care au fost coordonate și agreate de către factorii decizorii a</w:t>
      </w:r>
      <w:r w:rsidR="00606797">
        <w:rPr>
          <w:rFonts w:asciiTheme="majorHAnsi" w:hAnsiTheme="majorHAnsi" w:cstheme="minorHAnsi"/>
          <w:sz w:val="24"/>
          <w:szCs w:val="24"/>
        </w:rPr>
        <w:t>i</w:t>
      </w:r>
      <w:r w:rsidR="0066537F">
        <w:rPr>
          <w:rFonts w:asciiTheme="majorHAnsi" w:hAnsiTheme="majorHAnsi" w:cstheme="minorHAnsi"/>
          <w:sz w:val="24"/>
          <w:szCs w:val="24"/>
        </w:rPr>
        <w:t xml:space="preserve"> instituțiilor verificate,</w:t>
      </w:r>
      <w:r w:rsidRPr="00381DA2">
        <w:rPr>
          <w:rFonts w:asciiTheme="majorHAnsi" w:hAnsiTheme="majorHAnsi" w:cstheme="minorHAnsi"/>
          <w:sz w:val="24"/>
          <w:szCs w:val="24"/>
        </w:rPr>
        <w:t xml:space="preserve"> auditul public extern a oferit următoarele recomandări pentru remedierea punctelor vulnerabile </w:t>
      </w:r>
      <w:r w:rsidR="00FD5156">
        <w:rPr>
          <w:rFonts w:asciiTheme="majorHAnsi" w:hAnsiTheme="majorHAnsi" w:cstheme="minorHAnsi"/>
          <w:sz w:val="24"/>
          <w:szCs w:val="24"/>
        </w:rPr>
        <w:t>identificate</w:t>
      </w:r>
      <w:r w:rsidRPr="00381DA2">
        <w:rPr>
          <w:rFonts w:asciiTheme="majorHAnsi" w:hAnsiTheme="majorHAnsi" w:cstheme="minorHAnsi"/>
          <w:sz w:val="24"/>
          <w:szCs w:val="24"/>
        </w:rPr>
        <w:t xml:space="preserve"> în cadrul prezentei misiuni de audit, acestea fiind acceptate de către entitățile din domeniul AJGS, cu implementarea lor în termen de 12 luni. </w:t>
      </w:r>
    </w:p>
    <w:p w14:paraId="3514C5B0" w14:textId="77777777" w:rsidR="00B77F08" w:rsidRPr="00381DA2" w:rsidRDefault="00B77F08" w:rsidP="003A66EF">
      <w:pPr>
        <w:pStyle w:val="Heading1"/>
        <w:numPr>
          <w:ilvl w:val="0"/>
          <w:numId w:val="1"/>
        </w:numPr>
        <w:spacing w:before="0" w:after="160" w:line="276" w:lineRule="auto"/>
        <w:ind w:left="360" w:hanging="360"/>
        <w:rPr>
          <w:rFonts w:cstheme="minorHAnsi"/>
          <w:b/>
          <w:color w:val="1F4E79" w:themeColor="accent1" w:themeShade="80"/>
          <w:sz w:val="28"/>
          <w:szCs w:val="28"/>
        </w:rPr>
      </w:pPr>
      <w:bookmarkStart w:id="51" w:name="_Toc128640826"/>
      <w:r w:rsidRPr="00381DA2">
        <w:rPr>
          <w:rFonts w:cstheme="minorHAnsi"/>
          <w:b/>
          <w:color w:val="1F4E79" w:themeColor="accent1" w:themeShade="80"/>
          <w:sz w:val="28"/>
          <w:szCs w:val="28"/>
        </w:rPr>
        <w:t>RECOMANDĂRI</w:t>
      </w:r>
      <w:bookmarkEnd w:id="50"/>
      <w:bookmarkEnd w:id="51"/>
    </w:p>
    <w:p w14:paraId="78F0CE85" w14:textId="77777777" w:rsidR="00917F2C" w:rsidRPr="00381DA2" w:rsidRDefault="00BE243E" w:rsidP="003A66EF">
      <w:pPr>
        <w:tabs>
          <w:tab w:val="left" w:pos="360"/>
          <w:tab w:val="left" w:pos="630"/>
        </w:tabs>
        <w:spacing w:after="240" w:line="276" w:lineRule="auto"/>
        <w:jc w:val="both"/>
        <w:rPr>
          <w:rFonts w:asciiTheme="majorHAnsi" w:eastAsia="Times New Roman" w:hAnsiTheme="majorHAnsi" w:cstheme="minorHAnsi"/>
          <w:b/>
          <w:sz w:val="24"/>
          <w:szCs w:val="24"/>
          <w:lang w:eastAsia="ru-RU"/>
        </w:rPr>
      </w:pPr>
      <w:r w:rsidRPr="00381DA2">
        <w:rPr>
          <w:rFonts w:asciiTheme="majorHAnsi" w:eastAsia="Times New Roman" w:hAnsiTheme="majorHAnsi" w:cstheme="minorHAnsi"/>
          <w:b/>
          <w:sz w:val="24"/>
          <w:szCs w:val="24"/>
          <w:lang w:eastAsia="ru-RU"/>
        </w:rPr>
        <w:t>Ministerului Justiției:</w:t>
      </w:r>
      <w:r w:rsidR="00917F2C" w:rsidRPr="00381DA2">
        <w:rPr>
          <w:rFonts w:asciiTheme="majorHAnsi" w:eastAsia="Times New Roman" w:hAnsiTheme="majorHAnsi" w:cstheme="minorHAnsi"/>
          <w:b/>
          <w:sz w:val="24"/>
          <w:szCs w:val="24"/>
          <w:lang w:eastAsia="ru-RU"/>
        </w:rPr>
        <w:t xml:space="preserve"> </w:t>
      </w:r>
    </w:p>
    <w:p w14:paraId="492FBF80" w14:textId="4BD53D18" w:rsidR="009106A8" w:rsidRPr="009106A8" w:rsidRDefault="003356F3" w:rsidP="009106A8">
      <w:pPr>
        <w:pStyle w:val="ListParagraph"/>
        <w:numPr>
          <w:ilvl w:val="0"/>
          <w:numId w:val="28"/>
        </w:numPr>
        <w:tabs>
          <w:tab w:val="left" w:pos="27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eastAsia="Times New Roman" w:hAnsiTheme="majorHAnsi" w:cstheme="minorHAnsi"/>
          <w:sz w:val="24"/>
          <w:szCs w:val="24"/>
          <w:lang w:val="ro-MD" w:eastAsia="ru-RU"/>
        </w:rPr>
        <w:t>S</w:t>
      </w:r>
      <w:r w:rsidR="009106A8" w:rsidRPr="009106A8">
        <w:rPr>
          <w:rFonts w:asciiTheme="majorHAnsi" w:eastAsia="Times New Roman" w:hAnsiTheme="majorHAnsi" w:cstheme="minorHAnsi"/>
          <w:sz w:val="24"/>
          <w:szCs w:val="24"/>
          <w:lang w:val="ro-MD" w:eastAsia="ru-RU"/>
        </w:rPr>
        <w:t>ă analizeze și să sistematizeze lacunele/deficiențele privind aplicabilitatea cadrului normativ aferent domeniului AJGS, constatate de prezentul audit, cu înaintarea către legiuitor a propunerilor de perfecționare</w:t>
      </w:r>
      <w:r w:rsidR="00606797">
        <w:rPr>
          <w:rFonts w:asciiTheme="majorHAnsi" w:eastAsia="Times New Roman" w:hAnsiTheme="majorHAnsi" w:cstheme="minorHAnsi"/>
          <w:sz w:val="24"/>
          <w:szCs w:val="24"/>
          <w:lang w:val="ro-MD" w:eastAsia="ru-RU"/>
        </w:rPr>
        <w:t xml:space="preserve"> a</w:t>
      </w:r>
      <w:r w:rsidR="009106A8" w:rsidRPr="009106A8">
        <w:rPr>
          <w:rFonts w:asciiTheme="majorHAnsi" w:eastAsia="Times New Roman" w:hAnsiTheme="majorHAnsi" w:cstheme="minorHAnsi"/>
          <w:sz w:val="24"/>
          <w:szCs w:val="24"/>
          <w:lang w:val="ro-MD" w:eastAsia="ru-RU"/>
        </w:rPr>
        <w:t xml:space="preserve"> acestuia, inclusiv privind cazuril</w:t>
      </w:r>
      <w:r w:rsidR="00606797">
        <w:rPr>
          <w:rFonts w:asciiTheme="majorHAnsi" w:eastAsia="Times New Roman" w:hAnsiTheme="majorHAnsi" w:cstheme="minorHAnsi"/>
          <w:sz w:val="24"/>
          <w:szCs w:val="24"/>
          <w:lang w:val="ro-MD" w:eastAsia="ru-RU"/>
        </w:rPr>
        <w:t>e</w:t>
      </w:r>
      <w:r w:rsidR="009106A8" w:rsidRPr="009106A8">
        <w:rPr>
          <w:rFonts w:asciiTheme="majorHAnsi" w:eastAsia="Times New Roman" w:hAnsiTheme="majorHAnsi" w:cstheme="minorHAnsi"/>
          <w:sz w:val="24"/>
          <w:szCs w:val="24"/>
          <w:lang w:val="ro-MD" w:eastAsia="ru-RU"/>
        </w:rPr>
        <w:t xml:space="preserve"> de participare obliga</w:t>
      </w:r>
      <w:r w:rsidR="005B392D">
        <w:rPr>
          <w:rFonts w:asciiTheme="majorHAnsi" w:eastAsia="Times New Roman" w:hAnsiTheme="majorHAnsi" w:cstheme="minorHAnsi"/>
          <w:sz w:val="24"/>
          <w:szCs w:val="24"/>
          <w:lang w:val="ro-MD" w:eastAsia="ru-RU"/>
        </w:rPr>
        <w:t>torie a apărătorului în proces</w:t>
      </w:r>
      <w:r w:rsidR="00606797">
        <w:rPr>
          <w:rFonts w:asciiTheme="majorHAnsi" w:eastAsia="Times New Roman" w:hAnsiTheme="majorHAnsi" w:cstheme="minorHAnsi"/>
          <w:sz w:val="24"/>
          <w:szCs w:val="24"/>
          <w:lang w:val="ro-MD" w:eastAsia="ru-RU"/>
        </w:rPr>
        <w:t>ul</w:t>
      </w:r>
      <w:r w:rsidR="009106A8" w:rsidRPr="009106A8">
        <w:rPr>
          <w:rFonts w:asciiTheme="majorHAnsi" w:eastAsia="Times New Roman" w:hAnsiTheme="majorHAnsi" w:cstheme="minorHAnsi"/>
          <w:sz w:val="24"/>
          <w:szCs w:val="24"/>
          <w:lang w:val="ro-MD" w:eastAsia="ru-RU"/>
        </w:rPr>
        <w:t xml:space="preserve"> penal</w:t>
      </w:r>
      <w:r w:rsidR="00B01784">
        <w:rPr>
          <w:rFonts w:asciiTheme="majorHAnsi" w:eastAsia="Times New Roman" w:hAnsiTheme="majorHAnsi" w:cstheme="minorHAnsi"/>
          <w:sz w:val="24"/>
          <w:szCs w:val="24"/>
          <w:lang w:val="ro-MD" w:eastAsia="ru-RU"/>
        </w:rPr>
        <w:t xml:space="preserve"> </w:t>
      </w:r>
      <w:r w:rsidR="00B01784" w:rsidRPr="00381DA2">
        <w:rPr>
          <w:rFonts w:asciiTheme="majorHAnsi" w:hAnsiTheme="majorHAnsi" w:cstheme="minorHAnsi"/>
          <w:sz w:val="24"/>
          <w:szCs w:val="24"/>
        </w:rPr>
        <w:t>(</w:t>
      </w:r>
      <w:r w:rsidR="00B5329F">
        <w:rPr>
          <w:rFonts w:asciiTheme="majorHAnsi" w:hAnsiTheme="majorHAnsi" w:cstheme="minorHAnsi"/>
          <w:sz w:val="24"/>
          <w:szCs w:val="24"/>
          <w:lang w:val="ro-MD"/>
        </w:rPr>
        <w:t>pct.</w:t>
      </w:r>
      <w:r w:rsidR="00B01784" w:rsidRPr="00381DA2">
        <w:rPr>
          <w:rFonts w:asciiTheme="majorHAnsi" w:hAnsiTheme="majorHAnsi" w:cstheme="minorHAnsi"/>
          <w:sz w:val="24"/>
          <w:szCs w:val="24"/>
        </w:rPr>
        <w:t xml:space="preserve"> nr.4.1.</w:t>
      </w:r>
      <w:r w:rsidR="002B5393">
        <w:rPr>
          <w:rFonts w:asciiTheme="majorHAnsi" w:hAnsiTheme="majorHAnsi" w:cstheme="minorHAnsi"/>
          <w:sz w:val="24"/>
          <w:szCs w:val="24"/>
        </w:rPr>
        <w:t>2</w:t>
      </w:r>
      <w:r w:rsidR="00B01784" w:rsidRPr="00381DA2">
        <w:rPr>
          <w:rFonts w:asciiTheme="majorHAnsi" w:hAnsiTheme="majorHAnsi" w:cstheme="minorHAnsi"/>
          <w:sz w:val="24"/>
          <w:szCs w:val="24"/>
        </w:rPr>
        <w:t>.)</w:t>
      </w:r>
      <w:r w:rsidR="009106A8" w:rsidRPr="009106A8">
        <w:rPr>
          <w:rFonts w:asciiTheme="majorHAnsi" w:eastAsia="Times New Roman" w:hAnsiTheme="majorHAnsi" w:cstheme="minorHAnsi"/>
          <w:sz w:val="24"/>
          <w:szCs w:val="24"/>
          <w:lang w:val="ro-MD" w:eastAsia="ru-RU"/>
        </w:rPr>
        <w:t>;</w:t>
      </w:r>
    </w:p>
    <w:p w14:paraId="6C39539F" w14:textId="207F0AEE" w:rsidR="00DE1CBB" w:rsidRPr="00381DA2" w:rsidRDefault="003356F3" w:rsidP="00101104">
      <w:pPr>
        <w:pStyle w:val="ListParagraph"/>
        <w:numPr>
          <w:ilvl w:val="0"/>
          <w:numId w:val="28"/>
        </w:numPr>
        <w:tabs>
          <w:tab w:val="left" w:pos="27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eastAsia="Times New Roman" w:hAnsiTheme="majorHAnsi" w:cstheme="minorHAnsi"/>
          <w:sz w:val="24"/>
          <w:szCs w:val="24"/>
          <w:lang w:val="ro-MD" w:eastAsia="ru-RU"/>
        </w:rPr>
        <w:t>S</w:t>
      </w:r>
      <w:r w:rsidR="009106A8" w:rsidRPr="009106A8">
        <w:rPr>
          <w:rFonts w:asciiTheme="majorHAnsi" w:eastAsia="Times New Roman" w:hAnsiTheme="majorHAnsi" w:cstheme="minorHAnsi"/>
          <w:sz w:val="24"/>
          <w:szCs w:val="24"/>
          <w:lang w:val="ro-MD" w:eastAsia="ru-RU"/>
        </w:rPr>
        <w:t xml:space="preserve">ă înainteze modificări la mecanismul de calcul al venitului în scopul acordării asistenței juridice garantate de stat în funcție de nivelul veniturilor beneficiarilor, aprobat prin Hotărârea Guvernului </w:t>
      </w:r>
      <w:r w:rsidR="002B5393" w:rsidRPr="00381DA2">
        <w:rPr>
          <w:rFonts w:asciiTheme="majorHAnsi" w:hAnsiTheme="majorHAnsi" w:cstheme="minorHAnsi"/>
          <w:sz w:val="24"/>
          <w:szCs w:val="24"/>
        </w:rPr>
        <w:t>(</w:t>
      </w:r>
      <w:r w:rsidR="002B5393">
        <w:rPr>
          <w:rFonts w:asciiTheme="majorHAnsi" w:hAnsiTheme="majorHAnsi" w:cstheme="minorHAnsi"/>
          <w:sz w:val="24"/>
          <w:szCs w:val="24"/>
          <w:lang w:val="ro-MD"/>
        </w:rPr>
        <w:t>pct.</w:t>
      </w:r>
      <w:r w:rsidR="002B5393" w:rsidRPr="00381DA2">
        <w:rPr>
          <w:rFonts w:asciiTheme="majorHAnsi" w:hAnsiTheme="majorHAnsi" w:cstheme="minorHAnsi"/>
          <w:sz w:val="24"/>
          <w:szCs w:val="24"/>
        </w:rPr>
        <w:t xml:space="preserve"> nr.4.1.</w:t>
      </w:r>
      <w:r w:rsidR="002B5393">
        <w:rPr>
          <w:rFonts w:asciiTheme="majorHAnsi" w:hAnsiTheme="majorHAnsi" w:cstheme="minorHAnsi"/>
          <w:sz w:val="24"/>
          <w:szCs w:val="24"/>
        </w:rPr>
        <w:t>4</w:t>
      </w:r>
      <w:r w:rsidR="002B5393" w:rsidRPr="00381DA2">
        <w:rPr>
          <w:rFonts w:asciiTheme="majorHAnsi" w:hAnsiTheme="majorHAnsi" w:cstheme="minorHAnsi"/>
          <w:sz w:val="24"/>
          <w:szCs w:val="24"/>
        </w:rPr>
        <w:t>.)</w:t>
      </w:r>
      <w:r w:rsidR="002B5393">
        <w:rPr>
          <w:rFonts w:asciiTheme="majorHAnsi" w:hAnsiTheme="majorHAnsi" w:cstheme="minorHAnsi"/>
          <w:sz w:val="24"/>
          <w:szCs w:val="24"/>
        </w:rPr>
        <w:t>;</w:t>
      </w:r>
    </w:p>
    <w:p w14:paraId="7763D764" w14:textId="77777777" w:rsidR="003A2B47" w:rsidRPr="003A2B47" w:rsidRDefault="00034A6A" w:rsidP="003A2B47">
      <w:pPr>
        <w:pStyle w:val="ListParagraph"/>
        <w:numPr>
          <w:ilvl w:val="0"/>
          <w:numId w:val="28"/>
        </w:numPr>
        <w:tabs>
          <w:tab w:val="left" w:pos="270"/>
        </w:tabs>
        <w:spacing w:after="120" w:line="276" w:lineRule="auto"/>
        <w:ind w:left="0" w:firstLine="0"/>
        <w:contextualSpacing w:val="0"/>
        <w:jc w:val="both"/>
        <w:rPr>
          <w:rFonts w:asciiTheme="majorHAnsi" w:eastAsia="Times New Roman" w:hAnsiTheme="majorHAnsi" w:cstheme="minorHAnsi"/>
          <w:b/>
          <w:sz w:val="24"/>
          <w:szCs w:val="24"/>
          <w:lang w:eastAsia="ru-RU"/>
        </w:rPr>
      </w:pPr>
      <w:r>
        <w:rPr>
          <w:rFonts w:asciiTheme="majorHAnsi" w:eastAsia="Times New Roman" w:hAnsiTheme="majorHAnsi" w:cstheme="minorHAnsi"/>
          <w:sz w:val="24"/>
          <w:szCs w:val="24"/>
          <w:lang w:val="ro-MD" w:eastAsia="ru-RU"/>
        </w:rPr>
        <w:t>S</w:t>
      </w:r>
      <w:r w:rsidRPr="009106A8">
        <w:rPr>
          <w:rFonts w:asciiTheme="majorHAnsi" w:eastAsia="Times New Roman" w:hAnsiTheme="majorHAnsi" w:cstheme="minorHAnsi"/>
          <w:sz w:val="24"/>
          <w:szCs w:val="24"/>
          <w:lang w:val="ro-MD" w:eastAsia="ru-RU"/>
        </w:rPr>
        <w:t xml:space="preserve">ă instituie măsuri de instituționalizare a statutului juridic </w:t>
      </w:r>
      <w:r w:rsidRPr="00FE10FC">
        <w:rPr>
          <w:rFonts w:asciiTheme="majorHAnsi" w:eastAsia="Times New Roman" w:hAnsiTheme="majorHAnsi" w:cstheme="minorHAnsi"/>
          <w:sz w:val="24"/>
          <w:szCs w:val="24"/>
          <w:lang w:val="ro-MD" w:eastAsia="ru-RU"/>
        </w:rPr>
        <w:t>și stabilirea raporturilor juridice în procesul</w:t>
      </w:r>
      <w:r>
        <w:rPr>
          <w:rFonts w:asciiTheme="majorHAnsi" w:eastAsia="Times New Roman" w:hAnsiTheme="majorHAnsi" w:cstheme="minorHAnsi"/>
          <w:sz w:val="24"/>
          <w:szCs w:val="24"/>
          <w:lang w:val="ro-MD" w:eastAsia="ru-RU"/>
        </w:rPr>
        <w:t xml:space="preserve"> de formare, executare ș</w:t>
      </w:r>
      <w:r w:rsidRPr="00A55525">
        <w:rPr>
          <w:rFonts w:asciiTheme="majorHAnsi" w:eastAsia="Times New Roman" w:hAnsiTheme="majorHAnsi" w:cstheme="minorHAnsi"/>
          <w:sz w:val="24"/>
          <w:szCs w:val="24"/>
          <w:lang w:val="ro-MD" w:eastAsia="ru-RU"/>
        </w:rPr>
        <w:t>i raportare a bugetului</w:t>
      </w:r>
      <w:r w:rsidRPr="009106A8">
        <w:rPr>
          <w:rFonts w:asciiTheme="majorHAnsi" w:eastAsia="Times New Roman" w:hAnsiTheme="majorHAnsi" w:cstheme="minorHAnsi"/>
          <w:sz w:val="24"/>
          <w:szCs w:val="24"/>
          <w:lang w:val="ro-MD" w:eastAsia="ru-RU"/>
        </w:rPr>
        <w:t xml:space="preserve"> entităților responsabile de administrarea </w:t>
      </w:r>
      <w:r w:rsidRPr="009106A8">
        <w:rPr>
          <w:rFonts w:asciiTheme="majorHAnsi" w:eastAsia="Times New Roman" w:hAnsiTheme="majorHAnsi" w:cstheme="minorHAnsi"/>
          <w:sz w:val="24"/>
          <w:szCs w:val="24"/>
          <w:lang w:val="ro-MD" w:eastAsia="ru-RU"/>
        </w:rPr>
        <w:lastRenderedPageBreak/>
        <w:t>asistenței juridice garantate de stat, inclusiv cu ajustarea cadrului normativ aferent</w:t>
      </w:r>
      <w:r w:rsidRPr="00381DA2">
        <w:rPr>
          <w:rFonts w:asciiTheme="majorHAnsi" w:eastAsia="Times New Roman" w:hAnsiTheme="majorHAnsi" w:cstheme="minorHAnsi"/>
          <w:sz w:val="24"/>
          <w:szCs w:val="24"/>
          <w:lang w:eastAsia="ru-RU"/>
        </w:rPr>
        <w:t xml:space="preserve"> </w:t>
      </w:r>
      <w:r w:rsidRPr="00381DA2">
        <w:rPr>
          <w:rFonts w:asciiTheme="majorHAnsi" w:hAnsiTheme="majorHAnsi" w:cstheme="minorHAnsi"/>
          <w:sz w:val="24"/>
          <w:szCs w:val="24"/>
          <w:lang w:val="ro-MD"/>
        </w:rPr>
        <w:t>(</w:t>
      </w:r>
      <w:r w:rsidR="00F93682">
        <w:rPr>
          <w:rFonts w:asciiTheme="majorHAnsi" w:hAnsiTheme="majorHAnsi" w:cstheme="minorHAnsi"/>
          <w:sz w:val="24"/>
          <w:szCs w:val="24"/>
          <w:lang w:val="ro-MD"/>
        </w:rPr>
        <w:t>pct. nr.4.3.1 și nr. 4.3.2)</w:t>
      </w:r>
      <w:r w:rsidR="003A2B47">
        <w:rPr>
          <w:rFonts w:asciiTheme="majorHAnsi" w:hAnsiTheme="majorHAnsi" w:cstheme="minorHAnsi"/>
          <w:sz w:val="24"/>
          <w:szCs w:val="24"/>
          <w:lang w:val="ro-MD"/>
        </w:rPr>
        <w:t>;</w:t>
      </w:r>
    </w:p>
    <w:p w14:paraId="4A9BD521" w14:textId="20C92E8D" w:rsidR="00F93682" w:rsidRPr="003A2B47" w:rsidRDefault="003A2B47" w:rsidP="00BB118F">
      <w:pPr>
        <w:pStyle w:val="ListParagraph"/>
        <w:numPr>
          <w:ilvl w:val="0"/>
          <w:numId w:val="28"/>
        </w:numPr>
        <w:tabs>
          <w:tab w:val="left" w:pos="270"/>
        </w:tabs>
        <w:spacing w:after="240" w:line="276" w:lineRule="auto"/>
        <w:ind w:left="0" w:firstLine="0"/>
        <w:contextualSpacing w:val="0"/>
        <w:jc w:val="both"/>
        <w:rPr>
          <w:rFonts w:asciiTheme="majorHAnsi" w:eastAsia="Times New Roman" w:hAnsiTheme="majorHAnsi" w:cstheme="minorHAnsi"/>
          <w:b/>
          <w:sz w:val="24"/>
          <w:szCs w:val="24"/>
          <w:lang w:eastAsia="ru-RU"/>
        </w:rPr>
      </w:pPr>
      <w:r>
        <w:rPr>
          <w:rFonts w:asciiTheme="majorHAnsi" w:hAnsiTheme="majorHAnsi" w:cstheme="minorHAnsi"/>
          <w:sz w:val="24"/>
          <w:szCs w:val="24"/>
        </w:rPr>
        <w:t>În comun cu Ministerul Finanțelor și CNAJGS să întreprindă măsuri</w:t>
      </w:r>
      <w:r w:rsidRPr="003A2B47">
        <w:rPr>
          <w:rFonts w:asciiTheme="majorHAnsi" w:hAnsiTheme="majorHAnsi" w:cstheme="minorHAnsi"/>
          <w:sz w:val="24"/>
          <w:szCs w:val="24"/>
          <w:lang w:val="ro-MD"/>
        </w:rPr>
        <w:t xml:space="preserve"> </w:t>
      </w:r>
      <w:r>
        <w:rPr>
          <w:rFonts w:asciiTheme="majorHAnsi" w:hAnsiTheme="majorHAnsi" w:cstheme="minorHAnsi"/>
          <w:sz w:val="24"/>
          <w:szCs w:val="24"/>
          <w:lang w:val="ro-MD"/>
        </w:rPr>
        <w:t xml:space="preserve">privind </w:t>
      </w:r>
      <w:r w:rsidRPr="003A2B47">
        <w:rPr>
          <w:rFonts w:asciiTheme="majorHAnsi" w:hAnsiTheme="majorHAnsi" w:cstheme="minorHAnsi"/>
          <w:sz w:val="24"/>
          <w:szCs w:val="24"/>
          <w:lang w:val="ro-MD"/>
        </w:rPr>
        <w:t>eficientizarea</w:t>
      </w:r>
      <w:r>
        <w:rPr>
          <w:rFonts w:asciiTheme="majorHAnsi" w:hAnsiTheme="majorHAnsi" w:cstheme="minorHAnsi"/>
          <w:sz w:val="24"/>
          <w:szCs w:val="24"/>
          <w:lang w:val="ro-MD"/>
        </w:rPr>
        <w:t xml:space="preserve"> structurii și</w:t>
      </w:r>
      <w:r w:rsidRPr="003A2B47">
        <w:rPr>
          <w:rFonts w:asciiTheme="majorHAnsi" w:hAnsiTheme="majorHAnsi" w:cstheme="minorHAnsi"/>
          <w:sz w:val="24"/>
          <w:szCs w:val="24"/>
          <w:lang w:val="ro-MD"/>
        </w:rPr>
        <w:t xml:space="preserve"> efectivului limită de personal din cadrul entităților responsabile de administrarea AJGS reieșind din sarcinile și responsabilitățile delegate</w:t>
      </w:r>
      <w:r w:rsidR="00D341A8">
        <w:rPr>
          <w:rFonts w:asciiTheme="majorHAnsi" w:hAnsiTheme="majorHAnsi" w:cstheme="minorHAnsi"/>
          <w:sz w:val="24"/>
          <w:szCs w:val="24"/>
          <w:lang w:val="ro-MD"/>
        </w:rPr>
        <w:t xml:space="preserve"> (pct. nr. 4.3.1 și </w:t>
      </w:r>
      <w:r>
        <w:rPr>
          <w:rFonts w:asciiTheme="majorHAnsi" w:hAnsiTheme="majorHAnsi" w:cstheme="minorHAnsi"/>
          <w:sz w:val="24"/>
          <w:szCs w:val="24"/>
          <w:lang w:val="ro-MD"/>
        </w:rPr>
        <w:t>pct. nr.4.3.2.).</w:t>
      </w:r>
    </w:p>
    <w:p w14:paraId="6E1D48A5" w14:textId="338E7022" w:rsidR="00BE243E" w:rsidRPr="00381DA2" w:rsidRDefault="00BE243E" w:rsidP="00F93682">
      <w:pPr>
        <w:pStyle w:val="ListParagraph"/>
        <w:tabs>
          <w:tab w:val="left" w:pos="270"/>
        </w:tabs>
        <w:spacing w:after="120" w:line="276" w:lineRule="auto"/>
        <w:ind w:left="0"/>
        <w:contextualSpacing w:val="0"/>
        <w:jc w:val="both"/>
        <w:rPr>
          <w:rFonts w:asciiTheme="majorHAnsi" w:eastAsia="Times New Roman" w:hAnsiTheme="majorHAnsi" w:cstheme="minorHAnsi"/>
          <w:b/>
          <w:sz w:val="24"/>
          <w:szCs w:val="24"/>
          <w:lang w:eastAsia="ru-RU"/>
        </w:rPr>
      </w:pPr>
      <w:r w:rsidRPr="00381DA2">
        <w:rPr>
          <w:rFonts w:asciiTheme="majorHAnsi" w:eastAsia="Times New Roman" w:hAnsiTheme="majorHAnsi" w:cstheme="minorHAnsi"/>
          <w:b/>
          <w:sz w:val="24"/>
          <w:szCs w:val="24"/>
          <w:lang w:eastAsia="ru-RU"/>
        </w:rPr>
        <w:t>C</w:t>
      </w:r>
      <w:r w:rsidR="00B26F5D" w:rsidRPr="00381DA2">
        <w:rPr>
          <w:rFonts w:asciiTheme="majorHAnsi" w:eastAsia="Times New Roman" w:hAnsiTheme="majorHAnsi" w:cstheme="minorHAnsi"/>
          <w:b/>
          <w:sz w:val="24"/>
          <w:szCs w:val="24"/>
          <w:lang w:eastAsia="ru-RU"/>
        </w:rPr>
        <w:t xml:space="preserve">onsiliului </w:t>
      </w:r>
      <w:r w:rsidRPr="00381DA2">
        <w:rPr>
          <w:rFonts w:asciiTheme="majorHAnsi" w:eastAsia="Times New Roman" w:hAnsiTheme="majorHAnsi" w:cstheme="minorHAnsi"/>
          <w:b/>
          <w:sz w:val="24"/>
          <w:szCs w:val="24"/>
          <w:lang w:eastAsia="ru-RU"/>
        </w:rPr>
        <w:t>N</w:t>
      </w:r>
      <w:r w:rsidR="00B26F5D" w:rsidRPr="00381DA2">
        <w:rPr>
          <w:rFonts w:asciiTheme="majorHAnsi" w:eastAsia="Times New Roman" w:hAnsiTheme="majorHAnsi" w:cstheme="minorHAnsi"/>
          <w:b/>
          <w:sz w:val="24"/>
          <w:szCs w:val="24"/>
          <w:lang w:eastAsia="ru-RU"/>
        </w:rPr>
        <w:t xml:space="preserve">ațional de </w:t>
      </w:r>
      <w:r w:rsidRPr="00381DA2">
        <w:rPr>
          <w:rFonts w:asciiTheme="majorHAnsi" w:eastAsia="Times New Roman" w:hAnsiTheme="majorHAnsi" w:cstheme="minorHAnsi"/>
          <w:b/>
          <w:sz w:val="24"/>
          <w:szCs w:val="24"/>
          <w:lang w:eastAsia="ru-RU"/>
        </w:rPr>
        <w:t>A</w:t>
      </w:r>
      <w:r w:rsidR="00B26F5D" w:rsidRPr="00381DA2">
        <w:rPr>
          <w:rFonts w:asciiTheme="majorHAnsi" w:eastAsia="Times New Roman" w:hAnsiTheme="majorHAnsi" w:cstheme="minorHAnsi"/>
          <w:b/>
          <w:sz w:val="24"/>
          <w:szCs w:val="24"/>
          <w:lang w:eastAsia="ru-RU"/>
        </w:rPr>
        <w:t xml:space="preserve">sistență </w:t>
      </w:r>
      <w:r w:rsidRPr="00381DA2">
        <w:rPr>
          <w:rFonts w:asciiTheme="majorHAnsi" w:eastAsia="Times New Roman" w:hAnsiTheme="majorHAnsi" w:cstheme="minorHAnsi"/>
          <w:b/>
          <w:sz w:val="24"/>
          <w:szCs w:val="24"/>
          <w:lang w:eastAsia="ru-RU"/>
        </w:rPr>
        <w:t>J</w:t>
      </w:r>
      <w:r w:rsidR="00B26F5D" w:rsidRPr="00381DA2">
        <w:rPr>
          <w:rFonts w:asciiTheme="majorHAnsi" w:eastAsia="Times New Roman" w:hAnsiTheme="majorHAnsi" w:cstheme="minorHAnsi"/>
          <w:b/>
          <w:sz w:val="24"/>
          <w:szCs w:val="24"/>
          <w:lang w:eastAsia="ru-RU"/>
        </w:rPr>
        <w:t xml:space="preserve">uridică </w:t>
      </w:r>
      <w:r w:rsidRPr="00381DA2">
        <w:rPr>
          <w:rFonts w:asciiTheme="majorHAnsi" w:eastAsia="Times New Roman" w:hAnsiTheme="majorHAnsi" w:cstheme="minorHAnsi"/>
          <w:b/>
          <w:sz w:val="24"/>
          <w:szCs w:val="24"/>
          <w:lang w:eastAsia="ru-RU"/>
        </w:rPr>
        <w:t>G</w:t>
      </w:r>
      <w:r w:rsidR="00B26F5D" w:rsidRPr="00381DA2">
        <w:rPr>
          <w:rFonts w:asciiTheme="majorHAnsi" w:eastAsia="Times New Roman" w:hAnsiTheme="majorHAnsi" w:cstheme="minorHAnsi"/>
          <w:b/>
          <w:sz w:val="24"/>
          <w:szCs w:val="24"/>
          <w:lang w:eastAsia="ru-RU"/>
        </w:rPr>
        <w:t xml:space="preserve">arantată de </w:t>
      </w:r>
      <w:r w:rsidRPr="00381DA2">
        <w:rPr>
          <w:rFonts w:asciiTheme="majorHAnsi" w:eastAsia="Times New Roman" w:hAnsiTheme="majorHAnsi" w:cstheme="minorHAnsi"/>
          <w:b/>
          <w:sz w:val="24"/>
          <w:szCs w:val="24"/>
          <w:lang w:eastAsia="ru-RU"/>
        </w:rPr>
        <w:t>S</w:t>
      </w:r>
      <w:r w:rsidR="00B26F5D" w:rsidRPr="00381DA2">
        <w:rPr>
          <w:rFonts w:asciiTheme="majorHAnsi" w:eastAsia="Times New Roman" w:hAnsiTheme="majorHAnsi" w:cstheme="minorHAnsi"/>
          <w:b/>
          <w:sz w:val="24"/>
          <w:szCs w:val="24"/>
          <w:lang w:eastAsia="ru-RU"/>
        </w:rPr>
        <w:t>tat</w:t>
      </w:r>
    </w:p>
    <w:p w14:paraId="7478CF8F" w14:textId="39C2422C" w:rsidR="00BA45D3" w:rsidRPr="00381DA2" w:rsidRDefault="003356F3" w:rsidP="003A66EF">
      <w:pPr>
        <w:pStyle w:val="ListParagraph"/>
        <w:numPr>
          <w:ilvl w:val="0"/>
          <w:numId w:val="28"/>
        </w:numPr>
        <w:shd w:val="clear" w:color="auto" w:fill="FFFFFF"/>
        <w:tabs>
          <w:tab w:val="left" w:pos="0"/>
          <w:tab w:val="left" w:pos="270"/>
          <w:tab w:val="left" w:pos="63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eastAsia="Times New Roman" w:hAnsiTheme="majorHAnsi" w:cstheme="minorHAnsi"/>
          <w:sz w:val="24"/>
          <w:szCs w:val="24"/>
          <w:lang w:val="ro-MD" w:eastAsia="ru-RU"/>
        </w:rPr>
        <w:t>S</w:t>
      </w:r>
      <w:r w:rsidR="00BA45D3" w:rsidRPr="00381DA2">
        <w:rPr>
          <w:rFonts w:asciiTheme="majorHAnsi" w:eastAsia="Times New Roman" w:hAnsiTheme="majorHAnsi" w:cstheme="minorHAnsi"/>
          <w:sz w:val="24"/>
          <w:szCs w:val="24"/>
          <w:lang w:eastAsia="ru-RU"/>
        </w:rPr>
        <w:t xml:space="preserve">ă </w:t>
      </w:r>
      <w:r w:rsidR="00FD5156">
        <w:rPr>
          <w:rFonts w:asciiTheme="majorHAnsi" w:eastAsia="Times New Roman" w:hAnsiTheme="majorHAnsi" w:cstheme="minorHAnsi"/>
          <w:sz w:val="24"/>
          <w:szCs w:val="24"/>
          <w:lang w:eastAsia="ru-RU"/>
        </w:rPr>
        <w:t>revadă</w:t>
      </w:r>
      <w:r w:rsidR="00263C0A" w:rsidRPr="00381DA2">
        <w:rPr>
          <w:rFonts w:asciiTheme="majorHAnsi" w:eastAsia="Times New Roman" w:hAnsiTheme="majorHAnsi" w:cstheme="minorHAnsi"/>
          <w:sz w:val="24"/>
          <w:szCs w:val="24"/>
          <w:lang w:eastAsia="ru-RU"/>
        </w:rPr>
        <w:t xml:space="preserve"> și să </w:t>
      </w:r>
      <w:r w:rsidR="00BA45D3" w:rsidRPr="00381DA2">
        <w:rPr>
          <w:rFonts w:asciiTheme="majorHAnsi" w:eastAsia="Times New Roman" w:hAnsiTheme="majorHAnsi" w:cstheme="minorHAnsi"/>
          <w:sz w:val="24"/>
          <w:szCs w:val="24"/>
          <w:lang w:eastAsia="ru-RU"/>
        </w:rPr>
        <w:t xml:space="preserve">înainteze MJ </w:t>
      </w:r>
      <w:r w:rsidR="001C4402" w:rsidRPr="00381DA2">
        <w:rPr>
          <w:rFonts w:asciiTheme="majorHAnsi" w:eastAsia="Times New Roman" w:hAnsiTheme="majorHAnsi" w:cstheme="minorHAnsi"/>
          <w:sz w:val="24"/>
          <w:szCs w:val="24"/>
          <w:lang w:eastAsia="ru-RU"/>
        </w:rPr>
        <w:t xml:space="preserve">propuneri privind ajustarea și modernizarea </w:t>
      </w:r>
      <w:r w:rsidR="00BA45D3" w:rsidRPr="00381DA2">
        <w:rPr>
          <w:rFonts w:asciiTheme="majorHAnsi" w:eastAsia="Times New Roman" w:hAnsiTheme="majorHAnsi" w:cstheme="minorHAnsi"/>
          <w:sz w:val="24"/>
          <w:szCs w:val="24"/>
          <w:lang w:eastAsia="ru-RU"/>
        </w:rPr>
        <w:t>mecanismului de a</w:t>
      </w:r>
      <w:r w:rsidR="00BA45D3" w:rsidRPr="00381DA2">
        <w:rPr>
          <w:rFonts w:asciiTheme="majorHAnsi" w:hAnsiTheme="majorHAnsi" w:cstheme="minorHAnsi"/>
          <w:sz w:val="24"/>
          <w:szCs w:val="24"/>
        </w:rPr>
        <w:t>co</w:t>
      </w:r>
      <w:r w:rsidR="00A27B70" w:rsidRPr="00381DA2">
        <w:rPr>
          <w:rFonts w:asciiTheme="majorHAnsi" w:hAnsiTheme="majorHAnsi" w:cstheme="minorHAnsi"/>
          <w:sz w:val="24"/>
          <w:szCs w:val="24"/>
        </w:rPr>
        <w:t>rdare</w:t>
      </w:r>
      <w:r w:rsidR="00D04E26" w:rsidRPr="00381DA2">
        <w:rPr>
          <w:rFonts w:asciiTheme="majorHAnsi" w:hAnsiTheme="majorHAnsi" w:cstheme="minorHAnsi"/>
          <w:sz w:val="24"/>
          <w:szCs w:val="24"/>
        </w:rPr>
        <w:t xml:space="preserve"> </w:t>
      </w:r>
      <w:r w:rsidR="00A27B70" w:rsidRPr="00381DA2">
        <w:rPr>
          <w:rFonts w:asciiTheme="majorHAnsi" w:hAnsiTheme="majorHAnsi" w:cstheme="minorHAnsi"/>
          <w:sz w:val="24"/>
          <w:szCs w:val="24"/>
        </w:rPr>
        <w:t xml:space="preserve">a asistenței juridice în </w:t>
      </w:r>
      <w:r w:rsidR="00606797">
        <w:rPr>
          <w:rFonts w:asciiTheme="majorHAnsi" w:hAnsiTheme="majorHAnsi" w:cstheme="minorHAnsi"/>
          <w:sz w:val="24"/>
          <w:szCs w:val="24"/>
        </w:rPr>
        <w:t>funcție</w:t>
      </w:r>
      <w:r w:rsidR="00BA45D3" w:rsidRPr="00381DA2">
        <w:rPr>
          <w:rFonts w:asciiTheme="majorHAnsi" w:hAnsiTheme="majorHAnsi" w:cstheme="minorHAnsi"/>
          <w:sz w:val="24"/>
          <w:szCs w:val="24"/>
        </w:rPr>
        <w:t> de</w:t>
      </w:r>
      <w:r w:rsidR="007F338E" w:rsidRPr="00381DA2">
        <w:rPr>
          <w:rFonts w:asciiTheme="majorHAnsi" w:hAnsiTheme="majorHAnsi" w:cstheme="minorHAnsi"/>
          <w:sz w:val="24"/>
          <w:szCs w:val="24"/>
        </w:rPr>
        <w:t xml:space="preserve"> </w:t>
      </w:r>
      <w:r w:rsidR="00BA45D3" w:rsidRPr="00381DA2">
        <w:rPr>
          <w:rFonts w:asciiTheme="majorHAnsi" w:hAnsiTheme="majorHAnsi" w:cstheme="minorHAnsi"/>
          <w:sz w:val="24"/>
          <w:szCs w:val="24"/>
        </w:rPr>
        <w:t>nivelul veniturilor</w:t>
      </w:r>
      <w:r w:rsidR="007F338E" w:rsidRPr="00381DA2">
        <w:rPr>
          <w:rFonts w:asciiTheme="majorHAnsi" w:hAnsiTheme="majorHAnsi" w:cstheme="minorHAnsi"/>
          <w:sz w:val="24"/>
          <w:szCs w:val="24"/>
        </w:rPr>
        <w:t xml:space="preserve"> </w:t>
      </w:r>
      <w:r w:rsidR="001C4402" w:rsidRPr="00381DA2">
        <w:rPr>
          <w:rFonts w:asciiTheme="majorHAnsi" w:hAnsiTheme="majorHAnsi" w:cstheme="minorHAnsi"/>
          <w:sz w:val="24"/>
          <w:szCs w:val="24"/>
        </w:rPr>
        <w:t>beneficiarilor (</w:t>
      </w:r>
      <w:r w:rsidR="00B13BDB">
        <w:rPr>
          <w:rFonts w:asciiTheme="majorHAnsi" w:hAnsiTheme="majorHAnsi" w:cstheme="minorHAnsi"/>
          <w:sz w:val="24"/>
          <w:szCs w:val="24"/>
        </w:rPr>
        <w:t xml:space="preserve">pct. </w:t>
      </w:r>
      <w:r w:rsidR="001C4402" w:rsidRPr="00381DA2">
        <w:rPr>
          <w:rFonts w:asciiTheme="majorHAnsi" w:hAnsiTheme="majorHAnsi" w:cstheme="minorHAnsi"/>
          <w:sz w:val="24"/>
          <w:szCs w:val="24"/>
        </w:rPr>
        <w:t>nr.</w:t>
      </w:r>
      <w:r w:rsidR="002B5393">
        <w:rPr>
          <w:rFonts w:asciiTheme="majorHAnsi" w:hAnsiTheme="majorHAnsi" w:cstheme="minorHAnsi"/>
          <w:sz w:val="24"/>
          <w:szCs w:val="24"/>
        </w:rPr>
        <w:t>4.1.4</w:t>
      </w:r>
      <w:r w:rsidR="001B1251" w:rsidRPr="00381DA2">
        <w:rPr>
          <w:rFonts w:asciiTheme="majorHAnsi" w:hAnsiTheme="majorHAnsi" w:cstheme="minorHAnsi"/>
          <w:sz w:val="24"/>
          <w:szCs w:val="24"/>
        </w:rPr>
        <w:t>.</w:t>
      </w:r>
      <w:r w:rsidR="001C4402" w:rsidRPr="00381DA2">
        <w:rPr>
          <w:rFonts w:asciiTheme="majorHAnsi" w:hAnsiTheme="majorHAnsi" w:cstheme="minorHAnsi"/>
          <w:sz w:val="24"/>
          <w:szCs w:val="24"/>
        </w:rPr>
        <w:t>)</w:t>
      </w:r>
      <w:r w:rsidR="00F155DD">
        <w:rPr>
          <w:rFonts w:asciiTheme="majorHAnsi" w:hAnsiTheme="majorHAnsi" w:cstheme="minorHAnsi"/>
          <w:sz w:val="24"/>
          <w:szCs w:val="24"/>
        </w:rPr>
        <w:t>;</w:t>
      </w:r>
    </w:p>
    <w:p w14:paraId="59BF9742" w14:textId="1F8ABF7C" w:rsidR="00C05701" w:rsidRPr="00381DA2" w:rsidRDefault="003356F3" w:rsidP="003A66EF">
      <w:pPr>
        <w:pStyle w:val="ListParagraph"/>
        <w:numPr>
          <w:ilvl w:val="0"/>
          <w:numId w:val="28"/>
        </w:numPr>
        <w:shd w:val="clear" w:color="auto" w:fill="FFFFFF"/>
        <w:tabs>
          <w:tab w:val="left" w:pos="0"/>
          <w:tab w:val="left" w:pos="270"/>
          <w:tab w:val="left" w:pos="63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hAnsiTheme="majorHAnsi" w:cstheme="minorHAnsi"/>
          <w:sz w:val="24"/>
          <w:szCs w:val="24"/>
          <w:lang w:val="ro-MD" w:eastAsia="x-none"/>
        </w:rPr>
        <w:t>S</w:t>
      </w:r>
      <w:r w:rsidR="00C05701" w:rsidRPr="00381DA2">
        <w:rPr>
          <w:rFonts w:asciiTheme="majorHAnsi" w:hAnsiTheme="majorHAnsi" w:cstheme="minorHAnsi"/>
          <w:sz w:val="24"/>
          <w:szCs w:val="24"/>
          <w:lang w:val="ro-MD" w:eastAsia="x-none"/>
        </w:rPr>
        <w:t xml:space="preserve">ă </w:t>
      </w:r>
      <w:r w:rsidR="001C4402" w:rsidRPr="00381DA2">
        <w:rPr>
          <w:rFonts w:asciiTheme="majorHAnsi" w:hAnsiTheme="majorHAnsi" w:cstheme="minorHAnsi"/>
          <w:sz w:val="24"/>
          <w:szCs w:val="24"/>
          <w:lang w:val="ro-MD" w:eastAsia="x-none"/>
        </w:rPr>
        <w:t>întreprind</w:t>
      </w:r>
      <w:r w:rsidR="004A44EE">
        <w:rPr>
          <w:rFonts w:asciiTheme="majorHAnsi" w:hAnsiTheme="majorHAnsi" w:cstheme="minorHAnsi"/>
          <w:sz w:val="24"/>
          <w:szCs w:val="24"/>
          <w:lang w:val="ro-MD" w:eastAsia="x-none"/>
        </w:rPr>
        <w:t>ă măsuri în vederea automatizării</w:t>
      </w:r>
      <w:r w:rsidR="001C4402" w:rsidRPr="00381DA2">
        <w:rPr>
          <w:rFonts w:asciiTheme="majorHAnsi" w:hAnsiTheme="majorHAnsi" w:cstheme="minorHAnsi"/>
          <w:sz w:val="24"/>
          <w:szCs w:val="24"/>
          <w:lang w:val="ro-MD" w:eastAsia="x-none"/>
        </w:rPr>
        <w:t xml:space="preserve"> procesului</w:t>
      </w:r>
      <w:r w:rsidR="00C05701" w:rsidRPr="00381DA2">
        <w:rPr>
          <w:rFonts w:asciiTheme="majorHAnsi" w:hAnsiTheme="majorHAnsi" w:cstheme="minorHAnsi"/>
          <w:sz w:val="24"/>
          <w:szCs w:val="24"/>
          <w:lang w:val="ro-MD" w:eastAsia="x-none"/>
        </w:rPr>
        <w:t xml:space="preserve"> de </w:t>
      </w:r>
      <w:r w:rsidR="00C05701" w:rsidRPr="00381DA2">
        <w:rPr>
          <w:rFonts w:asciiTheme="majorHAnsi" w:hAnsiTheme="majorHAnsi" w:cstheme="minorHAnsi"/>
          <w:sz w:val="24"/>
          <w:szCs w:val="24"/>
        </w:rPr>
        <w:t>determinare a venitului mediu lunar a</w:t>
      </w:r>
      <w:r w:rsidR="00FD5156">
        <w:rPr>
          <w:rFonts w:asciiTheme="majorHAnsi" w:hAnsiTheme="majorHAnsi" w:cstheme="minorHAnsi"/>
          <w:sz w:val="24"/>
          <w:szCs w:val="24"/>
        </w:rPr>
        <w:t>l</w:t>
      </w:r>
      <w:r w:rsidR="00C05701" w:rsidRPr="00381DA2">
        <w:rPr>
          <w:rFonts w:asciiTheme="majorHAnsi" w:hAnsiTheme="majorHAnsi" w:cstheme="minorHAnsi"/>
          <w:sz w:val="24"/>
          <w:szCs w:val="24"/>
        </w:rPr>
        <w:t xml:space="preserve"> beneficiarului în scopul acordării AJGS</w:t>
      </w:r>
      <w:r w:rsidR="00C05701" w:rsidRPr="00381DA2">
        <w:rPr>
          <w:rFonts w:asciiTheme="majorHAnsi" w:hAnsiTheme="majorHAnsi" w:cstheme="minorHAnsi"/>
          <w:sz w:val="24"/>
          <w:szCs w:val="24"/>
          <w:lang w:val="ro-MD" w:eastAsia="x-none"/>
        </w:rPr>
        <w:t>, cu posibilitatea operării înscrierilor în SI al CNAJGS a datelor preluate din Registrele informaționale ale altor autorități/instituții de stat</w:t>
      </w:r>
      <w:r w:rsidR="001B1251" w:rsidRPr="00381DA2">
        <w:rPr>
          <w:rFonts w:asciiTheme="majorHAnsi" w:hAnsiTheme="majorHAnsi" w:cstheme="minorHAnsi"/>
          <w:sz w:val="24"/>
          <w:szCs w:val="24"/>
          <w:lang w:val="ro-MD" w:eastAsia="x-none"/>
        </w:rPr>
        <w:t xml:space="preserve"> </w:t>
      </w:r>
      <w:r w:rsidR="001B1251" w:rsidRPr="00381DA2">
        <w:rPr>
          <w:rFonts w:asciiTheme="majorHAnsi" w:hAnsiTheme="majorHAnsi" w:cstheme="minorHAnsi"/>
          <w:sz w:val="24"/>
          <w:szCs w:val="24"/>
        </w:rPr>
        <w:t>(</w:t>
      </w:r>
      <w:r w:rsidR="00B13BDB">
        <w:rPr>
          <w:rFonts w:asciiTheme="majorHAnsi" w:hAnsiTheme="majorHAnsi" w:cstheme="minorHAnsi"/>
          <w:sz w:val="24"/>
          <w:szCs w:val="24"/>
        </w:rPr>
        <w:t xml:space="preserve">pct. </w:t>
      </w:r>
      <w:r w:rsidR="002B5393">
        <w:rPr>
          <w:rFonts w:asciiTheme="majorHAnsi" w:hAnsiTheme="majorHAnsi" w:cstheme="minorHAnsi"/>
          <w:sz w:val="24"/>
          <w:szCs w:val="24"/>
        </w:rPr>
        <w:t>nr.4.1.4</w:t>
      </w:r>
      <w:r w:rsidR="001B1251" w:rsidRPr="00381DA2">
        <w:rPr>
          <w:rFonts w:asciiTheme="majorHAnsi" w:hAnsiTheme="majorHAnsi" w:cstheme="minorHAnsi"/>
          <w:sz w:val="24"/>
          <w:szCs w:val="24"/>
        </w:rPr>
        <w:t>.)</w:t>
      </w:r>
      <w:r w:rsidR="00F155DD">
        <w:rPr>
          <w:rFonts w:asciiTheme="majorHAnsi" w:hAnsiTheme="majorHAnsi" w:cstheme="minorHAnsi"/>
          <w:sz w:val="24"/>
          <w:szCs w:val="24"/>
        </w:rPr>
        <w:t>;</w:t>
      </w:r>
    </w:p>
    <w:p w14:paraId="261AB7FD" w14:textId="7A8C94A1" w:rsidR="00CE40A6" w:rsidRDefault="003356F3" w:rsidP="003A66EF">
      <w:pPr>
        <w:pStyle w:val="ListParagraph"/>
        <w:numPr>
          <w:ilvl w:val="0"/>
          <w:numId w:val="28"/>
        </w:numPr>
        <w:shd w:val="clear" w:color="auto" w:fill="FFFFFF"/>
        <w:tabs>
          <w:tab w:val="left" w:pos="0"/>
          <w:tab w:val="left" w:pos="270"/>
          <w:tab w:val="left" w:pos="63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hAnsiTheme="majorHAnsi" w:cstheme="minorHAnsi"/>
          <w:sz w:val="24"/>
          <w:szCs w:val="24"/>
          <w:lang w:val="ro-MD" w:eastAsia="x-none"/>
        </w:rPr>
        <w:t>S</w:t>
      </w:r>
      <w:r w:rsidR="00CE40A6" w:rsidRPr="00381DA2">
        <w:rPr>
          <w:rFonts w:asciiTheme="majorHAnsi" w:hAnsiTheme="majorHAnsi" w:cstheme="minorHAnsi"/>
          <w:sz w:val="24"/>
          <w:szCs w:val="24"/>
          <w:lang w:val="ro-MD" w:eastAsia="x-none"/>
        </w:rPr>
        <w:t>ă</w:t>
      </w:r>
      <w:r w:rsidR="00CE40A6" w:rsidRPr="00381DA2">
        <w:rPr>
          <w:rFonts w:asciiTheme="majorHAnsi" w:eastAsia="Times New Roman" w:hAnsiTheme="majorHAnsi" w:cstheme="minorHAnsi"/>
          <w:sz w:val="24"/>
          <w:szCs w:val="24"/>
          <w:lang w:val="ro-MD" w:eastAsia="ru-RU"/>
        </w:rPr>
        <w:t xml:space="preserve"> asigure dezvoltarea sistemului CIM în conformitate cu Standardele naționale de control intern în sectorul public, </w:t>
      </w:r>
      <w:r w:rsidR="003A65C1" w:rsidRPr="00381DA2">
        <w:rPr>
          <w:rFonts w:asciiTheme="majorHAnsi" w:eastAsia="Times New Roman" w:hAnsiTheme="majorHAnsi" w:cstheme="minorHAnsi"/>
          <w:sz w:val="24"/>
          <w:szCs w:val="24"/>
          <w:lang w:val="ro-MD" w:eastAsia="ru-RU"/>
        </w:rPr>
        <w:t>inclusiv</w:t>
      </w:r>
      <w:r w:rsidR="00A17E93" w:rsidRPr="00381DA2">
        <w:rPr>
          <w:rFonts w:asciiTheme="majorHAnsi" w:eastAsia="Times New Roman" w:hAnsiTheme="majorHAnsi" w:cstheme="minorHAnsi"/>
          <w:sz w:val="24"/>
          <w:szCs w:val="24"/>
          <w:lang w:val="ro-MD" w:eastAsia="ru-RU"/>
        </w:rPr>
        <w:t xml:space="preserve"> să a</w:t>
      </w:r>
      <w:r w:rsidR="00F327DF" w:rsidRPr="00381DA2">
        <w:rPr>
          <w:rFonts w:asciiTheme="majorHAnsi" w:eastAsia="Times New Roman" w:hAnsiTheme="majorHAnsi" w:cstheme="minorHAnsi"/>
          <w:sz w:val="24"/>
          <w:szCs w:val="24"/>
          <w:lang w:val="ro-MD" w:eastAsia="ru-RU"/>
        </w:rPr>
        <w:t>probe</w:t>
      </w:r>
      <w:r w:rsidR="00A17E93" w:rsidRPr="00381DA2">
        <w:rPr>
          <w:rFonts w:asciiTheme="majorHAnsi" w:eastAsia="Times New Roman" w:hAnsiTheme="majorHAnsi" w:cstheme="minorHAnsi"/>
          <w:sz w:val="24"/>
          <w:szCs w:val="24"/>
          <w:lang w:val="ro-MD" w:eastAsia="ru-RU"/>
        </w:rPr>
        <w:t xml:space="preserve"> norme</w:t>
      </w:r>
      <w:r w:rsidR="00F327DF" w:rsidRPr="00381DA2">
        <w:rPr>
          <w:rFonts w:asciiTheme="majorHAnsi" w:eastAsia="Times New Roman" w:hAnsiTheme="majorHAnsi" w:cstheme="minorHAnsi"/>
          <w:sz w:val="24"/>
          <w:szCs w:val="24"/>
          <w:lang w:val="ro-MD" w:eastAsia="ru-RU"/>
        </w:rPr>
        <w:t xml:space="preserve"> de conduită etică și profesională a angajaților din sistemul AJGS</w:t>
      </w:r>
      <w:r w:rsidR="003C269F" w:rsidRPr="00381DA2">
        <w:rPr>
          <w:rFonts w:asciiTheme="majorHAnsi" w:eastAsia="Times New Roman" w:hAnsiTheme="majorHAnsi" w:cstheme="minorHAnsi"/>
          <w:sz w:val="24"/>
          <w:szCs w:val="24"/>
          <w:lang w:val="ro-MD" w:eastAsia="ru-RU"/>
        </w:rPr>
        <w:t xml:space="preserve">, </w:t>
      </w:r>
      <w:r w:rsidR="00F155DD">
        <w:rPr>
          <w:rFonts w:asciiTheme="majorHAnsi" w:eastAsia="Times New Roman" w:hAnsiTheme="majorHAnsi" w:cstheme="minorHAnsi"/>
          <w:sz w:val="24"/>
          <w:szCs w:val="24"/>
          <w:lang w:val="ro-MD" w:eastAsia="ru-RU"/>
        </w:rPr>
        <w:t xml:space="preserve">ale căror </w:t>
      </w:r>
      <w:r w:rsidR="003C269F" w:rsidRPr="00381DA2">
        <w:rPr>
          <w:rFonts w:asciiTheme="majorHAnsi" w:eastAsia="Times New Roman" w:hAnsiTheme="majorHAnsi" w:cstheme="minorHAnsi"/>
          <w:sz w:val="24"/>
          <w:szCs w:val="24"/>
          <w:lang w:val="ro-MD" w:eastAsia="ru-RU"/>
        </w:rPr>
        <w:t>principii</w:t>
      </w:r>
      <w:r w:rsidR="00F327DF" w:rsidRPr="00381DA2">
        <w:rPr>
          <w:rFonts w:asciiTheme="majorHAnsi" w:eastAsia="Times New Roman" w:hAnsiTheme="majorHAnsi" w:cstheme="minorHAnsi"/>
          <w:sz w:val="24"/>
          <w:szCs w:val="24"/>
          <w:lang w:val="ro-MD" w:eastAsia="ru-RU"/>
        </w:rPr>
        <w:t xml:space="preserve"> trebuie respectate în vederea creșterii încrederii</w:t>
      </w:r>
      <w:r w:rsidR="009A233B" w:rsidRPr="00381DA2">
        <w:rPr>
          <w:rFonts w:asciiTheme="majorHAnsi" w:eastAsia="Times New Roman" w:hAnsiTheme="majorHAnsi" w:cstheme="minorHAnsi"/>
          <w:sz w:val="24"/>
          <w:szCs w:val="24"/>
          <w:lang w:val="ro-MD" w:eastAsia="ru-RU"/>
        </w:rPr>
        <w:t xml:space="preserve"> </w:t>
      </w:r>
      <w:r w:rsidR="00A17E93" w:rsidRPr="00381DA2">
        <w:rPr>
          <w:rFonts w:asciiTheme="majorHAnsi" w:eastAsia="Times New Roman" w:hAnsiTheme="majorHAnsi" w:cstheme="minorHAnsi"/>
          <w:sz w:val="24"/>
          <w:szCs w:val="24"/>
          <w:lang w:val="ro-MD" w:eastAsia="ru-RU"/>
        </w:rPr>
        <w:t>beneficiarilor</w:t>
      </w:r>
      <w:r w:rsidR="003A65C1" w:rsidRPr="00381DA2">
        <w:rPr>
          <w:rFonts w:asciiTheme="majorHAnsi" w:eastAsia="Times New Roman" w:hAnsiTheme="majorHAnsi" w:cstheme="minorHAnsi"/>
          <w:sz w:val="24"/>
          <w:szCs w:val="24"/>
          <w:lang w:val="ro-MD" w:eastAsia="ru-RU"/>
        </w:rPr>
        <w:t xml:space="preserve"> față de entită</w:t>
      </w:r>
      <w:r w:rsidR="00A17E93" w:rsidRPr="00381DA2">
        <w:rPr>
          <w:rFonts w:asciiTheme="majorHAnsi" w:eastAsia="Times New Roman" w:hAnsiTheme="majorHAnsi" w:cstheme="minorHAnsi"/>
          <w:sz w:val="24"/>
          <w:szCs w:val="24"/>
          <w:lang w:val="ro-MD" w:eastAsia="ru-RU"/>
        </w:rPr>
        <w:t xml:space="preserve">ți </w:t>
      </w:r>
      <w:r w:rsidR="00BF548D" w:rsidRPr="00381DA2">
        <w:rPr>
          <w:rFonts w:asciiTheme="majorHAnsi" w:eastAsia="Times New Roman" w:hAnsiTheme="majorHAnsi" w:cstheme="minorHAnsi"/>
          <w:sz w:val="24"/>
          <w:szCs w:val="24"/>
          <w:lang w:val="ro-MD" w:eastAsia="ru-RU"/>
        </w:rPr>
        <w:t>(</w:t>
      </w:r>
      <w:r w:rsidR="00B13BDB">
        <w:rPr>
          <w:rFonts w:asciiTheme="majorHAnsi" w:eastAsia="Times New Roman" w:hAnsiTheme="majorHAnsi" w:cstheme="minorHAnsi"/>
          <w:sz w:val="24"/>
          <w:szCs w:val="24"/>
          <w:lang w:val="ro-MD" w:eastAsia="ru-RU"/>
        </w:rPr>
        <w:t xml:space="preserve">pct. </w:t>
      </w:r>
      <w:r w:rsidR="0088107F">
        <w:rPr>
          <w:rFonts w:asciiTheme="majorHAnsi" w:eastAsia="Times New Roman" w:hAnsiTheme="majorHAnsi" w:cstheme="minorHAnsi"/>
          <w:sz w:val="24"/>
          <w:szCs w:val="24"/>
          <w:lang w:val="ro-MD" w:eastAsia="ru-RU"/>
        </w:rPr>
        <w:t xml:space="preserve">nr. </w:t>
      </w:r>
      <w:r w:rsidR="00BF548D" w:rsidRPr="00381DA2">
        <w:rPr>
          <w:rFonts w:asciiTheme="majorHAnsi" w:eastAsia="Times New Roman" w:hAnsiTheme="majorHAnsi" w:cstheme="minorHAnsi"/>
          <w:sz w:val="24"/>
          <w:szCs w:val="24"/>
          <w:lang w:val="ro-MD" w:eastAsia="ru-RU"/>
        </w:rPr>
        <w:t>4.3.3.)</w:t>
      </w:r>
      <w:r w:rsidR="00F155DD">
        <w:rPr>
          <w:rFonts w:asciiTheme="majorHAnsi" w:eastAsia="Times New Roman" w:hAnsiTheme="majorHAnsi" w:cstheme="minorHAnsi"/>
          <w:sz w:val="24"/>
          <w:szCs w:val="24"/>
          <w:lang w:val="ro-MD" w:eastAsia="ru-RU"/>
        </w:rPr>
        <w:t>;</w:t>
      </w:r>
    </w:p>
    <w:p w14:paraId="09469459" w14:textId="0A99B81B" w:rsidR="00825E3E" w:rsidRPr="00825E3E" w:rsidRDefault="00B2428C" w:rsidP="00825E3E">
      <w:pPr>
        <w:pStyle w:val="ListParagraph"/>
        <w:numPr>
          <w:ilvl w:val="0"/>
          <w:numId w:val="28"/>
        </w:numPr>
        <w:tabs>
          <w:tab w:val="left" w:pos="27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hAnsiTheme="majorHAnsi" w:cstheme="minorHAnsi"/>
          <w:sz w:val="24"/>
          <w:szCs w:val="24"/>
        </w:rPr>
        <w:t>S</w:t>
      </w:r>
      <w:r w:rsidR="00825E3E" w:rsidRPr="009919C7">
        <w:rPr>
          <w:rFonts w:asciiTheme="majorHAnsi" w:hAnsiTheme="majorHAnsi" w:cstheme="minorHAnsi"/>
          <w:sz w:val="24"/>
          <w:szCs w:val="24"/>
        </w:rPr>
        <w:t>ă examineze cazurile neconfirmate</w:t>
      </w:r>
      <w:r w:rsidR="00825E3E" w:rsidRPr="00FD64A4">
        <w:rPr>
          <w:rFonts w:asciiTheme="majorHAnsi" w:hAnsiTheme="majorHAnsi" w:cstheme="minorHAnsi"/>
          <w:sz w:val="24"/>
          <w:szCs w:val="24"/>
        </w:rPr>
        <w:t xml:space="preserve"> documentar privind vizitele raportate de către avocați în instituțiile de detenție și achitate n</w:t>
      </w:r>
      <w:r w:rsidR="00825E3E">
        <w:rPr>
          <w:rFonts w:asciiTheme="majorHAnsi" w:hAnsiTheme="majorHAnsi" w:cstheme="minorHAnsi"/>
          <w:sz w:val="24"/>
          <w:szCs w:val="24"/>
        </w:rPr>
        <w:t xml:space="preserve">econform din mijloacele bugetare </w:t>
      </w:r>
      <w:r w:rsidR="00825E3E" w:rsidRPr="00FD64A4">
        <w:rPr>
          <w:rFonts w:asciiTheme="majorHAnsi" w:hAnsiTheme="majorHAnsi" w:cstheme="minorHAnsi"/>
          <w:sz w:val="24"/>
          <w:szCs w:val="24"/>
        </w:rPr>
        <w:t>(</w:t>
      </w:r>
      <w:r w:rsidR="00825E3E">
        <w:rPr>
          <w:rFonts w:asciiTheme="majorHAnsi" w:hAnsiTheme="majorHAnsi" w:cstheme="minorHAnsi"/>
          <w:sz w:val="24"/>
          <w:szCs w:val="24"/>
        </w:rPr>
        <w:t>pct.</w:t>
      </w:r>
      <w:r w:rsidR="00825E3E" w:rsidRPr="00FD64A4">
        <w:rPr>
          <w:rFonts w:asciiTheme="majorHAnsi" w:hAnsiTheme="majorHAnsi" w:cstheme="minorHAnsi"/>
          <w:sz w:val="24"/>
          <w:szCs w:val="24"/>
        </w:rPr>
        <w:t xml:space="preserve"> nr.4.</w:t>
      </w:r>
      <w:r w:rsidR="00825E3E">
        <w:rPr>
          <w:rFonts w:asciiTheme="majorHAnsi" w:hAnsiTheme="majorHAnsi" w:cstheme="minorHAnsi"/>
          <w:sz w:val="24"/>
          <w:szCs w:val="24"/>
        </w:rPr>
        <w:t>2.1.);</w:t>
      </w:r>
      <w:r w:rsidR="00825E3E" w:rsidRPr="008157B0">
        <w:rPr>
          <w:rFonts w:asciiTheme="majorHAnsi" w:eastAsia="Times New Roman" w:hAnsiTheme="majorHAnsi" w:cstheme="minorHAnsi"/>
          <w:sz w:val="24"/>
          <w:szCs w:val="24"/>
          <w:lang w:val="ro-MD" w:eastAsia="ru-RU"/>
        </w:rPr>
        <w:t xml:space="preserve"> </w:t>
      </w:r>
    </w:p>
    <w:p w14:paraId="2EE3E87D" w14:textId="37BB8E71" w:rsidR="00AB2F74" w:rsidRPr="003356F3" w:rsidRDefault="003356F3" w:rsidP="003356F3">
      <w:pPr>
        <w:pStyle w:val="ListParagraph"/>
        <w:numPr>
          <w:ilvl w:val="0"/>
          <w:numId w:val="28"/>
        </w:numPr>
        <w:shd w:val="clear" w:color="auto" w:fill="FFFFFF"/>
        <w:tabs>
          <w:tab w:val="left" w:pos="0"/>
          <w:tab w:val="left" w:pos="270"/>
          <w:tab w:val="left" w:pos="45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eastAsia="Times New Roman" w:hAnsiTheme="majorHAnsi" w:cstheme="minorHAnsi"/>
          <w:sz w:val="24"/>
          <w:szCs w:val="24"/>
          <w:lang w:val="ro-MD" w:eastAsia="ru-RU"/>
        </w:rPr>
        <w:t>S</w:t>
      </w:r>
      <w:r w:rsidR="003C0CAF" w:rsidRPr="003356F3">
        <w:rPr>
          <w:rFonts w:asciiTheme="majorHAnsi" w:eastAsia="Times New Roman" w:hAnsiTheme="majorHAnsi" w:cstheme="minorHAnsi"/>
          <w:sz w:val="24"/>
          <w:szCs w:val="24"/>
          <w:lang w:val="ro-MD" w:eastAsia="ru-RU"/>
        </w:rPr>
        <w:t xml:space="preserve">ă reexamineze </w:t>
      </w:r>
      <w:r w:rsidR="001C4402" w:rsidRPr="003356F3">
        <w:rPr>
          <w:rFonts w:asciiTheme="majorHAnsi" w:eastAsia="Times New Roman" w:hAnsiTheme="majorHAnsi" w:cstheme="minorHAnsi"/>
          <w:sz w:val="24"/>
          <w:szCs w:val="24"/>
          <w:lang w:val="ro-MD" w:eastAsia="ru-RU"/>
        </w:rPr>
        <w:t xml:space="preserve">și să ajusteze </w:t>
      </w:r>
      <w:r w:rsidR="00336A25" w:rsidRPr="003356F3">
        <w:rPr>
          <w:rFonts w:asciiTheme="majorHAnsi" w:eastAsia="Times New Roman" w:hAnsiTheme="majorHAnsi" w:cstheme="minorHAnsi"/>
          <w:sz w:val="24"/>
          <w:szCs w:val="24"/>
          <w:lang w:val="ro-MD" w:eastAsia="ru-RU"/>
        </w:rPr>
        <w:t>prevederile</w:t>
      </w:r>
      <w:r w:rsidR="002464EA" w:rsidRPr="003356F3">
        <w:rPr>
          <w:rFonts w:asciiTheme="majorHAnsi" w:eastAsia="Times New Roman" w:hAnsiTheme="majorHAnsi" w:cstheme="minorHAnsi"/>
          <w:sz w:val="24"/>
          <w:szCs w:val="24"/>
          <w:lang w:val="ro-MD" w:eastAsia="ru-RU"/>
        </w:rPr>
        <w:t xml:space="preserve"> pct. 3</w:t>
      </w:r>
      <w:r w:rsidR="00A27B70" w:rsidRPr="003356F3">
        <w:rPr>
          <w:rFonts w:asciiTheme="majorHAnsi" w:eastAsia="Times New Roman" w:hAnsiTheme="majorHAnsi" w:cstheme="minorHAnsi"/>
          <w:sz w:val="24"/>
          <w:szCs w:val="24"/>
          <w:lang w:val="ro-MD" w:eastAsia="ru-RU"/>
        </w:rPr>
        <w:t>1 d</w:t>
      </w:r>
      <w:r w:rsidR="002464EA" w:rsidRPr="003356F3">
        <w:rPr>
          <w:rFonts w:asciiTheme="majorHAnsi" w:eastAsia="Times New Roman" w:hAnsiTheme="majorHAnsi" w:cstheme="minorHAnsi"/>
          <w:sz w:val="24"/>
          <w:szCs w:val="24"/>
          <w:lang w:val="ro-MD" w:eastAsia="ru-RU"/>
        </w:rPr>
        <w:t>in</w:t>
      </w:r>
      <w:r w:rsidR="003C0CAF" w:rsidRPr="003356F3">
        <w:rPr>
          <w:rFonts w:asciiTheme="majorHAnsi" w:eastAsia="Times New Roman" w:hAnsiTheme="majorHAnsi" w:cstheme="minorHAnsi"/>
          <w:sz w:val="24"/>
          <w:szCs w:val="24"/>
          <w:lang w:val="ro-MD" w:eastAsia="ru-RU"/>
        </w:rPr>
        <w:t xml:space="preserve"> </w:t>
      </w:r>
      <w:r w:rsidR="00FD5156">
        <w:rPr>
          <w:rFonts w:asciiTheme="majorHAnsi" w:eastAsia="Times New Roman" w:hAnsiTheme="majorHAnsi" w:cstheme="minorHAnsi"/>
          <w:sz w:val="24"/>
          <w:szCs w:val="24"/>
          <w:lang w:val="ro-MD" w:eastAsia="ru-RU"/>
        </w:rPr>
        <w:t>Regulamentul</w:t>
      </w:r>
      <w:r w:rsidR="001C4402" w:rsidRPr="003356F3">
        <w:rPr>
          <w:rFonts w:asciiTheme="majorHAnsi" w:eastAsia="Times New Roman" w:hAnsiTheme="majorHAnsi" w:cstheme="minorHAnsi"/>
          <w:sz w:val="24"/>
          <w:szCs w:val="24"/>
          <w:lang w:val="ro-MD" w:eastAsia="ru-RU"/>
        </w:rPr>
        <w:t xml:space="preserve"> funcționării OT ale CNAJGS </w:t>
      </w:r>
      <w:r w:rsidR="003C0CAF" w:rsidRPr="003356F3">
        <w:rPr>
          <w:rFonts w:asciiTheme="majorHAnsi" w:eastAsia="Times New Roman" w:hAnsiTheme="majorHAnsi" w:cstheme="minorHAnsi"/>
          <w:sz w:val="24"/>
          <w:szCs w:val="24"/>
          <w:lang w:val="ro-MD" w:eastAsia="ru-RU"/>
        </w:rPr>
        <w:t xml:space="preserve">la prevederile legale în partea ce ține de </w:t>
      </w:r>
      <w:r w:rsidR="00BD412A" w:rsidRPr="003356F3">
        <w:rPr>
          <w:rFonts w:asciiTheme="majorHAnsi" w:eastAsia="Times New Roman" w:hAnsiTheme="majorHAnsi" w:cstheme="minorHAnsi"/>
          <w:sz w:val="24"/>
          <w:szCs w:val="24"/>
          <w:lang w:val="ro-MD" w:eastAsia="ru-RU"/>
        </w:rPr>
        <w:t>atribuirea unor responsabilități suplimentare coordonatorilor OT</w:t>
      </w:r>
      <w:r w:rsidR="00F92B22" w:rsidRPr="003356F3">
        <w:rPr>
          <w:rFonts w:asciiTheme="majorHAnsi" w:eastAsia="Times New Roman" w:hAnsiTheme="majorHAnsi" w:cstheme="minorHAnsi"/>
          <w:sz w:val="24"/>
          <w:szCs w:val="24"/>
          <w:lang w:val="ro-MD" w:eastAsia="ru-RU"/>
        </w:rPr>
        <w:t xml:space="preserve"> (</w:t>
      </w:r>
      <w:r w:rsidR="00B13BDB">
        <w:rPr>
          <w:rFonts w:asciiTheme="majorHAnsi" w:eastAsia="Times New Roman" w:hAnsiTheme="majorHAnsi" w:cstheme="minorHAnsi"/>
          <w:sz w:val="24"/>
          <w:szCs w:val="24"/>
          <w:lang w:val="ro-MD" w:eastAsia="ru-RU"/>
        </w:rPr>
        <w:t xml:space="preserve">pct. </w:t>
      </w:r>
      <w:r w:rsidR="002B5393">
        <w:rPr>
          <w:rFonts w:asciiTheme="majorHAnsi" w:eastAsia="Times New Roman" w:hAnsiTheme="majorHAnsi" w:cstheme="minorHAnsi"/>
          <w:sz w:val="24"/>
          <w:szCs w:val="24"/>
          <w:lang w:val="ro-MD" w:eastAsia="ru-RU"/>
        </w:rPr>
        <w:t>nr.4.1.6</w:t>
      </w:r>
      <w:r w:rsidR="00F92B22" w:rsidRPr="003356F3">
        <w:rPr>
          <w:rFonts w:asciiTheme="majorHAnsi" w:eastAsia="Times New Roman" w:hAnsiTheme="majorHAnsi" w:cstheme="minorHAnsi"/>
          <w:sz w:val="24"/>
          <w:szCs w:val="24"/>
          <w:lang w:val="ro-MD" w:eastAsia="ru-RU"/>
        </w:rPr>
        <w:t>.)</w:t>
      </w:r>
      <w:r w:rsidR="00F155DD">
        <w:rPr>
          <w:rFonts w:asciiTheme="majorHAnsi" w:eastAsia="Times New Roman" w:hAnsiTheme="majorHAnsi" w:cstheme="minorHAnsi"/>
          <w:sz w:val="24"/>
          <w:szCs w:val="24"/>
          <w:lang w:val="ro-MD" w:eastAsia="ru-RU"/>
        </w:rPr>
        <w:t>;</w:t>
      </w:r>
    </w:p>
    <w:p w14:paraId="785AD408" w14:textId="77777777" w:rsidR="00AB2F74" w:rsidRPr="00381DA2" w:rsidRDefault="003356F3" w:rsidP="003356F3">
      <w:pPr>
        <w:pStyle w:val="ListParagraph"/>
        <w:numPr>
          <w:ilvl w:val="0"/>
          <w:numId w:val="28"/>
        </w:numPr>
        <w:tabs>
          <w:tab w:val="left" w:pos="0"/>
          <w:tab w:val="left" w:pos="270"/>
          <w:tab w:val="left" w:pos="45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Pr>
          <w:rFonts w:asciiTheme="majorHAnsi" w:eastAsia="Times New Roman" w:hAnsiTheme="majorHAnsi" w:cstheme="minorHAnsi"/>
          <w:sz w:val="24"/>
          <w:szCs w:val="24"/>
          <w:lang w:eastAsia="ru-RU"/>
        </w:rPr>
        <w:t>S</w:t>
      </w:r>
      <w:r w:rsidR="00AB2F74" w:rsidRPr="00381DA2">
        <w:rPr>
          <w:rFonts w:asciiTheme="majorHAnsi" w:eastAsia="Times New Roman" w:hAnsiTheme="majorHAnsi" w:cstheme="minorHAnsi"/>
          <w:sz w:val="24"/>
          <w:szCs w:val="24"/>
          <w:lang w:eastAsia="ru-RU"/>
        </w:rPr>
        <w:t>ă asigure</w:t>
      </w:r>
      <w:r w:rsidR="00AB2F74" w:rsidRPr="00381DA2">
        <w:rPr>
          <w:rFonts w:asciiTheme="majorHAnsi" w:hAnsiTheme="majorHAnsi" w:cstheme="minorHAnsi"/>
          <w:sz w:val="24"/>
          <w:szCs w:val="24"/>
        </w:rPr>
        <w:t xml:space="preserve"> elaborarea </w:t>
      </w:r>
      <w:r w:rsidR="00E010C4" w:rsidRPr="00381DA2">
        <w:rPr>
          <w:rFonts w:asciiTheme="majorHAnsi" w:hAnsiTheme="majorHAnsi" w:cstheme="minorHAnsi"/>
          <w:sz w:val="24"/>
          <w:szCs w:val="24"/>
        </w:rPr>
        <w:t>cadrului normativ intern, inclusiv</w:t>
      </w:r>
      <w:r w:rsidR="00106B34" w:rsidRPr="00381DA2">
        <w:rPr>
          <w:rFonts w:asciiTheme="majorHAnsi" w:hAnsiTheme="majorHAnsi" w:cstheme="minorHAnsi"/>
          <w:sz w:val="24"/>
          <w:szCs w:val="24"/>
        </w:rPr>
        <w:t xml:space="preserve"> a</w:t>
      </w:r>
      <w:r w:rsidR="00E010C4" w:rsidRPr="00381DA2">
        <w:rPr>
          <w:rFonts w:asciiTheme="majorHAnsi" w:hAnsiTheme="majorHAnsi" w:cstheme="minorHAnsi"/>
          <w:sz w:val="24"/>
          <w:szCs w:val="24"/>
        </w:rPr>
        <w:t xml:space="preserve">: </w:t>
      </w:r>
      <w:r w:rsidR="00263C0A" w:rsidRPr="00381DA2">
        <w:rPr>
          <w:rFonts w:asciiTheme="majorHAnsi" w:hAnsiTheme="majorHAnsi" w:cstheme="minorHAnsi"/>
          <w:sz w:val="24"/>
          <w:szCs w:val="24"/>
        </w:rPr>
        <w:t xml:space="preserve"> </w:t>
      </w:r>
    </w:p>
    <w:p w14:paraId="4F8521D4" w14:textId="3C944413" w:rsidR="00106B34" w:rsidRPr="00381DA2" w:rsidRDefault="00106B34" w:rsidP="00FE4EB1">
      <w:pPr>
        <w:pStyle w:val="ListParagraph"/>
        <w:numPr>
          <w:ilvl w:val="1"/>
          <w:numId w:val="28"/>
        </w:numPr>
        <w:tabs>
          <w:tab w:val="left" w:pos="0"/>
          <w:tab w:val="left" w:pos="270"/>
          <w:tab w:val="left" w:pos="630"/>
          <w:tab w:val="left" w:pos="900"/>
          <w:tab w:val="left" w:pos="990"/>
        </w:tabs>
        <w:spacing w:after="120" w:line="276" w:lineRule="auto"/>
        <w:ind w:left="360" w:firstLine="0"/>
        <w:contextualSpacing w:val="0"/>
        <w:jc w:val="both"/>
        <w:rPr>
          <w:rFonts w:asciiTheme="majorHAnsi" w:hAnsiTheme="majorHAnsi" w:cstheme="minorHAnsi"/>
          <w:sz w:val="24"/>
          <w:szCs w:val="24"/>
        </w:rPr>
      </w:pPr>
      <w:r w:rsidRPr="00381DA2">
        <w:rPr>
          <w:rFonts w:asciiTheme="majorHAnsi" w:hAnsiTheme="majorHAnsi" w:cstheme="minorHAnsi"/>
          <w:sz w:val="24"/>
          <w:szCs w:val="24"/>
        </w:rPr>
        <w:t>nomenclator</w:t>
      </w:r>
      <w:r w:rsidR="004A44EE">
        <w:rPr>
          <w:rFonts w:asciiTheme="majorHAnsi" w:hAnsiTheme="majorHAnsi" w:cstheme="minorHAnsi"/>
          <w:sz w:val="24"/>
          <w:szCs w:val="24"/>
        </w:rPr>
        <w:t>ului</w:t>
      </w:r>
      <w:r w:rsidRPr="00381DA2">
        <w:rPr>
          <w:rFonts w:asciiTheme="majorHAnsi" w:hAnsiTheme="majorHAnsi" w:cstheme="minorHAnsi"/>
          <w:sz w:val="24"/>
          <w:szCs w:val="24"/>
        </w:rPr>
        <w:t xml:space="preserve">/listei </w:t>
      </w:r>
      <w:r w:rsidR="00F155DD">
        <w:rPr>
          <w:rFonts w:asciiTheme="majorHAnsi" w:hAnsiTheme="majorHAnsi" w:cstheme="minorHAnsi"/>
          <w:sz w:val="24"/>
          <w:szCs w:val="24"/>
        </w:rPr>
        <w:t>cu</w:t>
      </w:r>
      <w:r w:rsidRPr="00381DA2">
        <w:rPr>
          <w:rFonts w:asciiTheme="majorHAnsi" w:hAnsiTheme="majorHAnsi" w:cstheme="minorHAnsi"/>
          <w:sz w:val="24"/>
          <w:szCs w:val="24"/>
        </w:rPr>
        <w:t xml:space="preserve"> tipurile de acte </w:t>
      </w:r>
      <w:r w:rsidR="00FD5156">
        <w:rPr>
          <w:rFonts w:asciiTheme="majorHAnsi" w:hAnsiTheme="majorHAnsi" w:cstheme="minorHAnsi"/>
          <w:sz w:val="24"/>
          <w:szCs w:val="24"/>
        </w:rPr>
        <w:t>justificative aferente acțiunilor remunerabile prestabilite în</w:t>
      </w:r>
      <w:r w:rsidRPr="00381DA2">
        <w:rPr>
          <w:rFonts w:asciiTheme="majorHAnsi" w:hAnsiTheme="majorHAnsi" w:cstheme="minorHAnsi"/>
          <w:sz w:val="24"/>
          <w:szCs w:val="24"/>
        </w:rPr>
        <w:t xml:space="preserve"> Hotărârile CNAJGS</w:t>
      </w:r>
      <w:r w:rsidR="00A27B70" w:rsidRPr="00381DA2">
        <w:rPr>
          <w:rFonts w:asciiTheme="majorHAnsi" w:hAnsiTheme="majorHAnsi" w:cstheme="minorHAnsi"/>
          <w:sz w:val="24"/>
          <w:szCs w:val="24"/>
        </w:rPr>
        <w:t>, precum și completarea dosarelor în apărare cu formulare tipizate</w:t>
      </w:r>
      <w:r w:rsidR="00F92B22" w:rsidRPr="00381DA2">
        <w:rPr>
          <w:rFonts w:asciiTheme="majorHAnsi" w:hAnsiTheme="majorHAnsi" w:cstheme="minorHAnsi"/>
          <w:sz w:val="24"/>
          <w:szCs w:val="24"/>
        </w:rPr>
        <w:t xml:space="preserve"> (</w:t>
      </w:r>
      <w:r w:rsidR="00B13BDB">
        <w:rPr>
          <w:rFonts w:asciiTheme="majorHAnsi" w:hAnsiTheme="majorHAnsi" w:cstheme="minorHAnsi"/>
          <w:sz w:val="24"/>
          <w:szCs w:val="24"/>
        </w:rPr>
        <w:t xml:space="preserve">pct. </w:t>
      </w:r>
      <w:r w:rsidR="00F92B22" w:rsidRPr="00381DA2">
        <w:rPr>
          <w:rFonts w:asciiTheme="majorHAnsi" w:hAnsiTheme="majorHAnsi" w:cstheme="minorHAnsi"/>
          <w:sz w:val="24"/>
          <w:szCs w:val="24"/>
        </w:rPr>
        <w:t>nr.4.2.1.);</w:t>
      </w:r>
    </w:p>
    <w:p w14:paraId="416FA3A6" w14:textId="425257A0" w:rsidR="00263C0A" w:rsidRPr="00381DA2" w:rsidRDefault="00106B34" w:rsidP="00FE4EB1">
      <w:pPr>
        <w:pStyle w:val="ListParagraph"/>
        <w:numPr>
          <w:ilvl w:val="1"/>
          <w:numId w:val="28"/>
        </w:numPr>
        <w:tabs>
          <w:tab w:val="left" w:pos="0"/>
          <w:tab w:val="left" w:pos="270"/>
          <w:tab w:val="left" w:pos="630"/>
          <w:tab w:val="left" w:pos="900"/>
          <w:tab w:val="left" w:pos="990"/>
        </w:tabs>
        <w:spacing w:after="120" w:line="276" w:lineRule="auto"/>
        <w:ind w:left="360" w:firstLine="0"/>
        <w:contextualSpacing w:val="0"/>
        <w:jc w:val="both"/>
        <w:rPr>
          <w:rFonts w:asciiTheme="majorHAnsi" w:hAnsiTheme="majorHAnsi" w:cstheme="minorHAnsi"/>
          <w:sz w:val="24"/>
          <w:szCs w:val="24"/>
        </w:rPr>
      </w:pPr>
      <w:r w:rsidRPr="00381DA2">
        <w:rPr>
          <w:rFonts w:asciiTheme="majorHAnsi" w:hAnsiTheme="majorHAnsi" w:cstheme="minorHAnsi"/>
          <w:sz w:val="24"/>
          <w:szCs w:val="24"/>
          <w:lang w:val="ro-MD"/>
        </w:rPr>
        <w:t>n</w:t>
      </w:r>
      <w:r w:rsidR="00E010C4" w:rsidRPr="00381DA2">
        <w:rPr>
          <w:rFonts w:asciiTheme="majorHAnsi" w:hAnsiTheme="majorHAnsi" w:cstheme="minorHAnsi"/>
          <w:sz w:val="24"/>
          <w:szCs w:val="24"/>
          <w:lang w:val="ro-MD"/>
        </w:rPr>
        <w:t>orme</w:t>
      </w:r>
      <w:r w:rsidR="008310C9" w:rsidRPr="00381DA2">
        <w:rPr>
          <w:rFonts w:asciiTheme="majorHAnsi" w:hAnsiTheme="majorHAnsi" w:cstheme="minorHAnsi"/>
          <w:sz w:val="24"/>
          <w:szCs w:val="24"/>
          <w:lang w:val="ro-MD"/>
        </w:rPr>
        <w:t xml:space="preserve">lor privind </w:t>
      </w:r>
      <w:r w:rsidRPr="00381DA2">
        <w:rPr>
          <w:rFonts w:asciiTheme="majorHAnsi" w:hAnsiTheme="majorHAnsi" w:cstheme="minorHAnsi"/>
          <w:sz w:val="24"/>
          <w:szCs w:val="24"/>
        </w:rPr>
        <w:t>volumul</w:t>
      </w:r>
      <w:r w:rsidR="00263C0A" w:rsidRPr="00381DA2">
        <w:rPr>
          <w:rFonts w:asciiTheme="majorHAnsi" w:hAnsiTheme="majorHAnsi" w:cstheme="minorHAnsi"/>
          <w:sz w:val="24"/>
          <w:szCs w:val="24"/>
        </w:rPr>
        <w:t xml:space="preserve"> de lucru în bază cărora activează avocații care acordă asistență juridică calificată</w:t>
      </w:r>
      <w:r w:rsidRPr="00381DA2">
        <w:rPr>
          <w:rFonts w:asciiTheme="majorHAnsi" w:hAnsiTheme="majorHAnsi" w:cstheme="minorHAnsi"/>
          <w:sz w:val="24"/>
          <w:szCs w:val="24"/>
        </w:rPr>
        <w:t xml:space="preserve"> la cerere</w:t>
      </w:r>
      <w:r w:rsidR="00F92B22" w:rsidRPr="00381DA2">
        <w:rPr>
          <w:rFonts w:asciiTheme="majorHAnsi" w:hAnsiTheme="majorHAnsi" w:cstheme="minorHAnsi"/>
          <w:sz w:val="24"/>
          <w:szCs w:val="24"/>
        </w:rPr>
        <w:t xml:space="preserve"> (</w:t>
      </w:r>
      <w:r w:rsidR="00B13BDB">
        <w:rPr>
          <w:rFonts w:asciiTheme="majorHAnsi" w:hAnsiTheme="majorHAnsi" w:cstheme="minorHAnsi"/>
          <w:sz w:val="24"/>
          <w:szCs w:val="24"/>
        </w:rPr>
        <w:t xml:space="preserve">pct. </w:t>
      </w:r>
      <w:r w:rsidR="002B5393">
        <w:rPr>
          <w:rFonts w:asciiTheme="majorHAnsi" w:hAnsiTheme="majorHAnsi" w:cstheme="minorHAnsi"/>
          <w:sz w:val="24"/>
          <w:szCs w:val="24"/>
        </w:rPr>
        <w:t>nr.4.1.7</w:t>
      </w:r>
      <w:r w:rsidR="00F92B22" w:rsidRPr="00381DA2">
        <w:rPr>
          <w:rFonts w:asciiTheme="majorHAnsi" w:hAnsiTheme="majorHAnsi" w:cstheme="minorHAnsi"/>
          <w:sz w:val="24"/>
          <w:szCs w:val="24"/>
        </w:rPr>
        <w:t>.)</w:t>
      </w:r>
      <w:r w:rsidR="00263C0A" w:rsidRPr="00381DA2">
        <w:rPr>
          <w:rFonts w:asciiTheme="majorHAnsi" w:hAnsiTheme="majorHAnsi" w:cstheme="minorHAnsi"/>
          <w:sz w:val="24"/>
          <w:szCs w:val="24"/>
        </w:rPr>
        <w:t>;</w:t>
      </w:r>
    </w:p>
    <w:p w14:paraId="72E5E4C7" w14:textId="1F3EB6E1" w:rsidR="00263C0A" w:rsidRPr="00381DA2" w:rsidRDefault="00FD5156" w:rsidP="00FE4EB1">
      <w:pPr>
        <w:pStyle w:val="ListParagraph"/>
        <w:numPr>
          <w:ilvl w:val="1"/>
          <w:numId w:val="28"/>
        </w:numPr>
        <w:tabs>
          <w:tab w:val="left" w:pos="0"/>
          <w:tab w:val="left" w:pos="270"/>
          <w:tab w:val="left" w:pos="630"/>
          <w:tab w:val="left" w:pos="900"/>
          <w:tab w:val="left" w:pos="990"/>
        </w:tabs>
        <w:spacing w:after="120" w:line="276" w:lineRule="auto"/>
        <w:ind w:left="360" w:firstLine="0"/>
        <w:contextualSpacing w:val="0"/>
        <w:jc w:val="both"/>
        <w:rPr>
          <w:rFonts w:asciiTheme="majorHAnsi" w:eastAsia="Times New Roman" w:hAnsiTheme="majorHAnsi" w:cstheme="minorHAnsi"/>
          <w:sz w:val="24"/>
          <w:szCs w:val="24"/>
          <w:lang w:eastAsia="ru-RU"/>
        </w:rPr>
      </w:pPr>
      <w:r>
        <w:rPr>
          <w:rFonts w:asciiTheme="majorHAnsi" w:hAnsiTheme="majorHAnsi" w:cstheme="minorHAnsi"/>
          <w:sz w:val="24"/>
          <w:szCs w:val="24"/>
          <w:lang w:val="ro-MD"/>
        </w:rPr>
        <w:t>reglementărilor</w:t>
      </w:r>
      <w:r w:rsidR="00106B34" w:rsidRPr="00381DA2">
        <w:rPr>
          <w:rFonts w:asciiTheme="majorHAnsi" w:hAnsiTheme="majorHAnsi" w:cstheme="minorHAnsi"/>
          <w:sz w:val="24"/>
          <w:szCs w:val="24"/>
        </w:rPr>
        <w:t xml:space="preserve"> </w:t>
      </w:r>
      <w:r w:rsidR="00A27B70" w:rsidRPr="00381DA2">
        <w:rPr>
          <w:rFonts w:asciiTheme="majorHAnsi" w:hAnsiTheme="majorHAnsi" w:cstheme="minorHAnsi"/>
          <w:sz w:val="24"/>
          <w:szCs w:val="24"/>
        </w:rPr>
        <w:t xml:space="preserve">privind </w:t>
      </w:r>
      <w:r w:rsidR="009415AF" w:rsidRPr="00381DA2">
        <w:rPr>
          <w:rFonts w:asciiTheme="majorHAnsi" w:hAnsiTheme="majorHAnsi" w:cstheme="minorHAnsi"/>
          <w:sz w:val="24"/>
          <w:szCs w:val="24"/>
        </w:rPr>
        <w:t>a</w:t>
      </w:r>
      <w:r w:rsidR="00AB2F74" w:rsidRPr="00381DA2">
        <w:rPr>
          <w:rFonts w:asciiTheme="majorHAnsi" w:hAnsiTheme="majorHAnsi" w:cstheme="minorHAnsi"/>
          <w:sz w:val="24"/>
          <w:szCs w:val="24"/>
        </w:rPr>
        <w:t>cor</w:t>
      </w:r>
      <w:r w:rsidR="00A27B70" w:rsidRPr="00381DA2">
        <w:rPr>
          <w:rFonts w:asciiTheme="majorHAnsi" w:hAnsiTheme="majorHAnsi" w:cstheme="minorHAnsi"/>
          <w:sz w:val="24"/>
          <w:szCs w:val="24"/>
        </w:rPr>
        <w:t>darea</w:t>
      </w:r>
      <w:r w:rsidR="00106B34" w:rsidRPr="00381DA2">
        <w:rPr>
          <w:rFonts w:asciiTheme="majorHAnsi" w:hAnsiTheme="majorHAnsi" w:cstheme="minorHAnsi"/>
          <w:sz w:val="24"/>
          <w:szCs w:val="24"/>
        </w:rPr>
        <w:t xml:space="preserve"> </w:t>
      </w:r>
      <w:r w:rsidR="00A27B70" w:rsidRPr="00381DA2">
        <w:rPr>
          <w:rFonts w:asciiTheme="majorHAnsi" w:hAnsiTheme="majorHAnsi" w:cstheme="minorHAnsi"/>
          <w:sz w:val="24"/>
          <w:szCs w:val="24"/>
        </w:rPr>
        <w:t>asistenței juridice garantate de stat</w:t>
      </w:r>
      <w:r w:rsidR="009415AF" w:rsidRPr="00381DA2">
        <w:rPr>
          <w:rFonts w:asciiTheme="majorHAnsi" w:hAnsiTheme="majorHAnsi" w:cstheme="minorHAnsi"/>
          <w:sz w:val="24"/>
          <w:szCs w:val="24"/>
        </w:rPr>
        <w:t xml:space="preserve"> </w:t>
      </w:r>
      <w:r w:rsidR="00A27B70" w:rsidRPr="00381DA2">
        <w:rPr>
          <w:rFonts w:asciiTheme="majorHAnsi" w:hAnsiTheme="majorHAnsi" w:cstheme="minorHAnsi"/>
          <w:sz w:val="24"/>
          <w:szCs w:val="24"/>
        </w:rPr>
        <w:t>agenților economici</w:t>
      </w:r>
      <w:r w:rsidR="005A4218" w:rsidRPr="00381DA2">
        <w:rPr>
          <w:rFonts w:asciiTheme="majorHAnsi" w:hAnsiTheme="majorHAnsi" w:cstheme="minorHAnsi"/>
          <w:sz w:val="24"/>
          <w:szCs w:val="24"/>
        </w:rPr>
        <w:t xml:space="preserve">, inclusiv aprobarea și punerea în aplicare a </w:t>
      </w:r>
      <w:r w:rsidR="005A4218" w:rsidRPr="00381DA2">
        <w:rPr>
          <w:rFonts w:asciiTheme="majorHAnsi" w:hAnsiTheme="majorHAnsi" w:cstheme="minorHAnsi"/>
          <w:sz w:val="24"/>
          <w:szCs w:val="24"/>
          <w:lang w:val="ro-MD"/>
        </w:rPr>
        <w:t>modelului de cerere privind solicitarea AJGS pentru persoanele juridice</w:t>
      </w:r>
      <w:r w:rsidR="005A4218" w:rsidRPr="00381DA2">
        <w:rPr>
          <w:rFonts w:asciiTheme="majorHAnsi" w:hAnsiTheme="majorHAnsi" w:cstheme="minorHAnsi"/>
          <w:sz w:val="24"/>
          <w:szCs w:val="24"/>
        </w:rPr>
        <w:t xml:space="preserve"> </w:t>
      </w:r>
      <w:r w:rsidR="00F92B22" w:rsidRPr="00381DA2">
        <w:rPr>
          <w:rFonts w:asciiTheme="majorHAnsi" w:hAnsiTheme="majorHAnsi" w:cstheme="minorHAnsi"/>
          <w:sz w:val="24"/>
          <w:szCs w:val="24"/>
        </w:rPr>
        <w:t xml:space="preserve"> (</w:t>
      </w:r>
      <w:r w:rsidR="00B13BDB">
        <w:rPr>
          <w:rFonts w:asciiTheme="majorHAnsi" w:hAnsiTheme="majorHAnsi" w:cstheme="minorHAnsi"/>
          <w:sz w:val="24"/>
          <w:szCs w:val="24"/>
        </w:rPr>
        <w:t xml:space="preserve">pct. </w:t>
      </w:r>
      <w:r w:rsidR="002B5393">
        <w:rPr>
          <w:rFonts w:asciiTheme="majorHAnsi" w:hAnsiTheme="majorHAnsi" w:cstheme="minorHAnsi"/>
          <w:sz w:val="24"/>
          <w:szCs w:val="24"/>
        </w:rPr>
        <w:t>nr.4.1.3</w:t>
      </w:r>
      <w:r w:rsidR="00F92B22" w:rsidRPr="00381DA2">
        <w:rPr>
          <w:rFonts w:asciiTheme="majorHAnsi" w:hAnsiTheme="majorHAnsi" w:cstheme="minorHAnsi"/>
          <w:sz w:val="24"/>
          <w:szCs w:val="24"/>
        </w:rPr>
        <w:t>.)</w:t>
      </w:r>
      <w:r w:rsidR="00263C0A" w:rsidRPr="00381DA2">
        <w:rPr>
          <w:rFonts w:asciiTheme="majorHAnsi" w:eastAsia="Times New Roman" w:hAnsiTheme="majorHAnsi" w:cstheme="minorHAnsi"/>
          <w:sz w:val="24"/>
          <w:szCs w:val="24"/>
        </w:rPr>
        <w:t>;</w:t>
      </w:r>
    </w:p>
    <w:p w14:paraId="78869F73" w14:textId="7D1F59F9" w:rsidR="00277DD4" w:rsidRPr="00381DA2" w:rsidRDefault="00FD5156" w:rsidP="00FE4EB1">
      <w:pPr>
        <w:pStyle w:val="ListParagraph"/>
        <w:numPr>
          <w:ilvl w:val="1"/>
          <w:numId w:val="28"/>
        </w:numPr>
        <w:tabs>
          <w:tab w:val="left" w:pos="0"/>
          <w:tab w:val="left" w:pos="270"/>
          <w:tab w:val="left" w:pos="630"/>
          <w:tab w:val="left" w:pos="900"/>
          <w:tab w:val="left" w:pos="990"/>
        </w:tabs>
        <w:spacing w:after="120" w:line="276" w:lineRule="auto"/>
        <w:ind w:left="360" w:firstLine="0"/>
        <w:contextualSpacing w:val="0"/>
        <w:jc w:val="both"/>
        <w:rPr>
          <w:rFonts w:asciiTheme="majorHAnsi" w:eastAsia="Times New Roman" w:hAnsiTheme="majorHAnsi" w:cstheme="minorHAnsi"/>
          <w:sz w:val="24"/>
          <w:szCs w:val="24"/>
          <w:lang w:eastAsia="ru-RU"/>
        </w:rPr>
      </w:pPr>
      <w:r>
        <w:rPr>
          <w:rFonts w:asciiTheme="majorHAnsi" w:hAnsiTheme="majorHAnsi" w:cstheme="minorHAnsi"/>
          <w:sz w:val="24"/>
          <w:szCs w:val="24"/>
          <w:lang w:val="ro-MD"/>
        </w:rPr>
        <w:t>procedurilor</w:t>
      </w:r>
      <w:r w:rsidR="00106B34" w:rsidRPr="00381DA2">
        <w:rPr>
          <w:rFonts w:asciiTheme="majorHAnsi" w:hAnsiTheme="majorHAnsi" w:cstheme="minorHAnsi"/>
          <w:sz w:val="24"/>
          <w:szCs w:val="24"/>
        </w:rPr>
        <w:t xml:space="preserve"> </w:t>
      </w:r>
      <w:r w:rsidR="00A27B70" w:rsidRPr="00381DA2">
        <w:rPr>
          <w:rFonts w:asciiTheme="majorHAnsi" w:hAnsiTheme="majorHAnsi" w:cstheme="minorHAnsi"/>
          <w:sz w:val="24"/>
          <w:szCs w:val="24"/>
        </w:rPr>
        <w:t xml:space="preserve">aferente soluționării situațiilor pentru </w:t>
      </w:r>
      <w:r w:rsidR="00106B34" w:rsidRPr="00381DA2">
        <w:rPr>
          <w:rFonts w:asciiTheme="majorHAnsi" w:hAnsiTheme="majorHAnsi" w:cstheme="minorHAnsi"/>
          <w:sz w:val="24"/>
          <w:szCs w:val="24"/>
        </w:rPr>
        <w:t>cazuril</w:t>
      </w:r>
      <w:r>
        <w:rPr>
          <w:rFonts w:asciiTheme="majorHAnsi" w:hAnsiTheme="majorHAnsi" w:cstheme="minorHAnsi"/>
          <w:sz w:val="24"/>
          <w:szCs w:val="24"/>
        </w:rPr>
        <w:t>e</w:t>
      </w:r>
      <w:r w:rsidR="00106B34" w:rsidRPr="00381DA2">
        <w:rPr>
          <w:rFonts w:asciiTheme="majorHAnsi" w:hAnsiTheme="majorHAnsi" w:cstheme="minorHAnsi"/>
          <w:sz w:val="24"/>
          <w:szCs w:val="24"/>
        </w:rPr>
        <w:t xml:space="preserve"> </w:t>
      </w:r>
      <w:r w:rsidR="00F155DD">
        <w:rPr>
          <w:rFonts w:asciiTheme="majorHAnsi" w:eastAsiaTheme="minorEastAsia" w:hAnsiTheme="majorHAnsi" w:cstheme="minorHAnsi"/>
          <w:sz w:val="24"/>
          <w:szCs w:val="24"/>
          <w:lang w:val="ro-MD"/>
        </w:rPr>
        <w:t>în</w:t>
      </w:r>
      <w:r w:rsidR="00277DD4" w:rsidRPr="00381DA2">
        <w:rPr>
          <w:rFonts w:asciiTheme="majorHAnsi" w:eastAsiaTheme="minorEastAsia" w:hAnsiTheme="majorHAnsi" w:cstheme="minorHAnsi"/>
          <w:sz w:val="24"/>
          <w:szCs w:val="24"/>
          <w:lang w:val="ro-MD"/>
        </w:rPr>
        <w:t xml:space="preserve"> care </w:t>
      </w:r>
      <w:r w:rsidR="004B12EE" w:rsidRPr="00381DA2">
        <w:rPr>
          <w:rFonts w:asciiTheme="majorHAnsi" w:eastAsiaTheme="minorEastAsia" w:hAnsiTheme="majorHAnsi" w:cstheme="minorHAnsi"/>
          <w:sz w:val="24"/>
          <w:szCs w:val="24"/>
          <w:lang w:val="ro-MD"/>
        </w:rPr>
        <w:t>avocații</w:t>
      </w:r>
      <w:r w:rsidR="00277DD4" w:rsidRPr="00381DA2">
        <w:rPr>
          <w:rFonts w:asciiTheme="majorHAnsi" w:eastAsiaTheme="minorEastAsia" w:hAnsiTheme="majorHAnsi" w:cstheme="minorHAnsi"/>
          <w:sz w:val="24"/>
          <w:szCs w:val="24"/>
          <w:lang w:val="ro-MD"/>
        </w:rPr>
        <w:t xml:space="preserve"> </w:t>
      </w:r>
      <w:r w:rsidR="00106B34" w:rsidRPr="00381DA2">
        <w:rPr>
          <w:rFonts w:asciiTheme="majorHAnsi" w:eastAsiaTheme="minorEastAsia" w:hAnsiTheme="majorHAnsi" w:cstheme="minorHAnsi"/>
          <w:sz w:val="24"/>
          <w:szCs w:val="24"/>
          <w:lang w:val="ro-MD"/>
        </w:rPr>
        <w:t xml:space="preserve">desemnați </w:t>
      </w:r>
      <w:r w:rsidR="00277DD4" w:rsidRPr="00381DA2">
        <w:rPr>
          <w:rFonts w:asciiTheme="majorHAnsi" w:eastAsiaTheme="minorEastAsia" w:hAnsiTheme="majorHAnsi" w:cstheme="minorHAnsi"/>
          <w:sz w:val="24"/>
          <w:szCs w:val="24"/>
          <w:lang w:val="ro-MD"/>
        </w:rPr>
        <w:t xml:space="preserve">nu au </w:t>
      </w:r>
      <w:r w:rsidR="00106B34" w:rsidRPr="00381DA2">
        <w:rPr>
          <w:rFonts w:asciiTheme="majorHAnsi" w:eastAsiaTheme="minorEastAsia" w:hAnsiTheme="majorHAnsi" w:cstheme="minorHAnsi"/>
          <w:sz w:val="24"/>
          <w:szCs w:val="24"/>
          <w:lang w:val="ro-MD"/>
        </w:rPr>
        <w:t>prestat servicii juridice, respectiv nefiind</w:t>
      </w:r>
      <w:r w:rsidR="00277DD4" w:rsidRPr="00381DA2">
        <w:rPr>
          <w:rFonts w:asciiTheme="majorHAnsi" w:eastAsiaTheme="minorEastAsia" w:hAnsiTheme="majorHAnsi" w:cstheme="minorHAnsi"/>
          <w:sz w:val="24"/>
          <w:szCs w:val="24"/>
          <w:lang w:val="ro-MD"/>
        </w:rPr>
        <w:t xml:space="preserve"> </w:t>
      </w:r>
      <w:r w:rsidR="00106B34" w:rsidRPr="00381DA2">
        <w:rPr>
          <w:rFonts w:asciiTheme="majorHAnsi" w:eastAsiaTheme="minorEastAsia" w:hAnsiTheme="majorHAnsi" w:cstheme="minorHAnsi"/>
          <w:sz w:val="24"/>
          <w:szCs w:val="24"/>
          <w:lang w:val="ro-MD"/>
        </w:rPr>
        <w:t xml:space="preserve">prezentate </w:t>
      </w:r>
      <w:r w:rsidR="00277DD4" w:rsidRPr="00381DA2">
        <w:rPr>
          <w:rFonts w:asciiTheme="majorHAnsi" w:eastAsiaTheme="minorEastAsia" w:hAnsiTheme="majorHAnsi" w:cstheme="minorHAnsi"/>
          <w:sz w:val="24"/>
          <w:szCs w:val="24"/>
          <w:lang w:val="ro-MD"/>
        </w:rPr>
        <w:t xml:space="preserve">rapoarte </w:t>
      </w:r>
      <w:r w:rsidR="00106B34" w:rsidRPr="00381DA2">
        <w:rPr>
          <w:rFonts w:asciiTheme="majorHAnsi" w:eastAsiaTheme="minorEastAsia" w:hAnsiTheme="majorHAnsi" w:cstheme="minorHAnsi"/>
          <w:sz w:val="24"/>
          <w:szCs w:val="24"/>
          <w:lang w:val="ro-MD"/>
        </w:rPr>
        <w:t>de activitate per-caz</w:t>
      </w:r>
      <w:r w:rsidR="00F92B22" w:rsidRPr="00381DA2">
        <w:rPr>
          <w:rFonts w:asciiTheme="majorHAnsi" w:eastAsiaTheme="minorEastAsia" w:hAnsiTheme="majorHAnsi" w:cstheme="minorHAnsi"/>
          <w:sz w:val="24"/>
          <w:szCs w:val="24"/>
          <w:lang w:val="ro-MD"/>
        </w:rPr>
        <w:t xml:space="preserve"> </w:t>
      </w:r>
      <w:r w:rsidR="00F92B22" w:rsidRPr="00381DA2">
        <w:rPr>
          <w:rFonts w:asciiTheme="majorHAnsi" w:hAnsiTheme="majorHAnsi" w:cstheme="minorHAnsi"/>
          <w:sz w:val="24"/>
          <w:szCs w:val="24"/>
        </w:rPr>
        <w:t>(</w:t>
      </w:r>
      <w:r w:rsidR="00B13BDB">
        <w:rPr>
          <w:rFonts w:asciiTheme="majorHAnsi" w:hAnsiTheme="majorHAnsi" w:cstheme="minorHAnsi"/>
          <w:sz w:val="24"/>
          <w:szCs w:val="24"/>
        </w:rPr>
        <w:t xml:space="preserve">pct. nr. </w:t>
      </w:r>
      <w:r w:rsidR="00F92B22" w:rsidRPr="00381DA2">
        <w:rPr>
          <w:rFonts w:asciiTheme="majorHAnsi" w:hAnsiTheme="majorHAnsi" w:cstheme="minorHAnsi"/>
          <w:sz w:val="24"/>
          <w:szCs w:val="24"/>
        </w:rPr>
        <w:t>4.2.1.)</w:t>
      </w:r>
      <w:r w:rsidR="00277DD4" w:rsidRPr="00381DA2">
        <w:rPr>
          <w:rFonts w:asciiTheme="majorHAnsi" w:eastAsiaTheme="minorEastAsia" w:hAnsiTheme="majorHAnsi" w:cstheme="minorHAnsi"/>
          <w:sz w:val="24"/>
          <w:szCs w:val="24"/>
          <w:lang w:val="ro-MD"/>
        </w:rPr>
        <w:t>;</w:t>
      </w:r>
    </w:p>
    <w:p w14:paraId="5F9FF40A" w14:textId="3CF29DE7" w:rsidR="00263C0A" w:rsidRPr="00381DA2" w:rsidRDefault="00106B34" w:rsidP="00FE4EB1">
      <w:pPr>
        <w:pStyle w:val="ListParagraph"/>
        <w:numPr>
          <w:ilvl w:val="1"/>
          <w:numId w:val="28"/>
        </w:numPr>
        <w:tabs>
          <w:tab w:val="left" w:pos="0"/>
          <w:tab w:val="left" w:pos="270"/>
          <w:tab w:val="left" w:pos="630"/>
          <w:tab w:val="left" w:pos="900"/>
          <w:tab w:val="left" w:pos="990"/>
        </w:tabs>
        <w:spacing w:after="120" w:line="276" w:lineRule="auto"/>
        <w:ind w:left="360" w:firstLine="0"/>
        <w:contextualSpacing w:val="0"/>
        <w:jc w:val="both"/>
        <w:rPr>
          <w:rFonts w:asciiTheme="majorHAnsi" w:eastAsia="Times New Roman" w:hAnsiTheme="majorHAnsi" w:cstheme="minorHAnsi"/>
          <w:sz w:val="24"/>
          <w:szCs w:val="24"/>
          <w:lang w:eastAsia="ru-RU"/>
        </w:rPr>
      </w:pPr>
      <w:r w:rsidRPr="00381DA2">
        <w:rPr>
          <w:rFonts w:asciiTheme="majorHAnsi" w:hAnsiTheme="majorHAnsi" w:cstheme="minorHAnsi"/>
          <w:sz w:val="24"/>
          <w:szCs w:val="24"/>
        </w:rPr>
        <w:t xml:space="preserve">normelor privind reglementarea </w:t>
      </w:r>
      <w:r w:rsidR="00AB2F74" w:rsidRPr="00381DA2">
        <w:rPr>
          <w:rFonts w:asciiTheme="majorHAnsi" w:hAnsiTheme="majorHAnsi" w:cstheme="minorHAnsi"/>
          <w:sz w:val="24"/>
          <w:szCs w:val="24"/>
        </w:rPr>
        <w:t>mecanismul</w:t>
      </w:r>
      <w:r w:rsidR="004A44EE">
        <w:rPr>
          <w:rFonts w:asciiTheme="majorHAnsi" w:hAnsiTheme="majorHAnsi" w:cstheme="minorHAnsi"/>
          <w:sz w:val="24"/>
          <w:szCs w:val="24"/>
        </w:rPr>
        <w:t>ui</w:t>
      </w:r>
      <w:r w:rsidR="00AB2F74" w:rsidRPr="00381DA2">
        <w:rPr>
          <w:rFonts w:asciiTheme="majorHAnsi" w:hAnsiTheme="majorHAnsi" w:cstheme="minorHAnsi"/>
          <w:sz w:val="24"/>
          <w:szCs w:val="24"/>
        </w:rPr>
        <w:t xml:space="preserve"> de recuperare a cheltuielilor, în vederea </w:t>
      </w:r>
      <w:r w:rsidR="00AB2F74" w:rsidRPr="00FE4EB1">
        <w:rPr>
          <w:rFonts w:asciiTheme="majorHAnsi" w:hAnsiTheme="majorHAnsi" w:cstheme="minorHAnsi"/>
          <w:sz w:val="24"/>
          <w:szCs w:val="24"/>
          <w:lang w:val="ro-MD"/>
        </w:rPr>
        <w:t>instituirii</w:t>
      </w:r>
      <w:r w:rsidR="00AB2F74" w:rsidRPr="00381DA2">
        <w:rPr>
          <w:rFonts w:asciiTheme="majorHAnsi" w:hAnsiTheme="majorHAnsi" w:cstheme="minorHAnsi"/>
          <w:sz w:val="24"/>
          <w:szCs w:val="24"/>
        </w:rPr>
        <w:t xml:space="preserve"> unor reguli clare și uniforme </w:t>
      </w:r>
      <w:r w:rsidR="00F155DD">
        <w:rPr>
          <w:rFonts w:asciiTheme="majorHAnsi" w:hAnsiTheme="majorHAnsi" w:cstheme="minorHAnsi"/>
          <w:sz w:val="24"/>
          <w:szCs w:val="24"/>
        </w:rPr>
        <w:t>privind</w:t>
      </w:r>
      <w:r w:rsidR="00F155DD" w:rsidRPr="00381DA2">
        <w:rPr>
          <w:rFonts w:asciiTheme="majorHAnsi" w:hAnsiTheme="majorHAnsi" w:cstheme="minorHAnsi"/>
          <w:sz w:val="24"/>
          <w:szCs w:val="24"/>
        </w:rPr>
        <w:t xml:space="preserve"> </w:t>
      </w:r>
      <w:r w:rsidR="00FD5156">
        <w:rPr>
          <w:rFonts w:asciiTheme="majorHAnsi" w:hAnsiTheme="majorHAnsi" w:cstheme="minorHAnsi"/>
          <w:sz w:val="24"/>
          <w:szCs w:val="24"/>
        </w:rPr>
        <w:t>restituirea</w:t>
      </w:r>
      <w:r w:rsidR="00AB2F74" w:rsidRPr="00381DA2">
        <w:rPr>
          <w:rFonts w:asciiTheme="majorHAnsi" w:hAnsiTheme="majorHAnsi" w:cstheme="minorHAnsi"/>
          <w:sz w:val="24"/>
          <w:szCs w:val="24"/>
        </w:rPr>
        <w:t xml:space="preserve"> sumelor cuvenite bugetului</w:t>
      </w:r>
      <w:r w:rsidR="00F92B22" w:rsidRPr="00381DA2">
        <w:rPr>
          <w:rFonts w:asciiTheme="majorHAnsi" w:hAnsiTheme="majorHAnsi" w:cstheme="minorHAnsi"/>
          <w:sz w:val="24"/>
          <w:szCs w:val="24"/>
        </w:rPr>
        <w:t xml:space="preserve"> (</w:t>
      </w:r>
      <w:r w:rsidR="00B13BDB">
        <w:rPr>
          <w:rFonts w:asciiTheme="majorHAnsi" w:hAnsiTheme="majorHAnsi" w:cstheme="minorHAnsi"/>
          <w:sz w:val="24"/>
          <w:szCs w:val="24"/>
        </w:rPr>
        <w:t xml:space="preserve">pct. </w:t>
      </w:r>
      <w:r w:rsidR="00F92B22" w:rsidRPr="00381DA2">
        <w:rPr>
          <w:rFonts w:asciiTheme="majorHAnsi" w:hAnsiTheme="majorHAnsi" w:cstheme="minorHAnsi"/>
          <w:sz w:val="24"/>
          <w:szCs w:val="24"/>
        </w:rPr>
        <w:t>nr.4.2.4.)</w:t>
      </w:r>
      <w:r w:rsidR="00F155DD">
        <w:rPr>
          <w:rFonts w:asciiTheme="majorHAnsi" w:hAnsiTheme="majorHAnsi" w:cstheme="minorHAnsi"/>
          <w:sz w:val="24"/>
          <w:szCs w:val="24"/>
        </w:rPr>
        <w:t>;</w:t>
      </w:r>
    </w:p>
    <w:p w14:paraId="166207D1" w14:textId="09D83B64" w:rsidR="00BC59D4" w:rsidRPr="00381DA2" w:rsidRDefault="00A27B70" w:rsidP="003A66EF">
      <w:pPr>
        <w:pStyle w:val="ListParagraph"/>
        <w:numPr>
          <w:ilvl w:val="0"/>
          <w:numId w:val="28"/>
        </w:numPr>
        <w:tabs>
          <w:tab w:val="left" w:pos="0"/>
          <w:tab w:val="left" w:pos="270"/>
          <w:tab w:val="left" w:pos="360"/>
          <w:tab w:val="left" w:pos="630"/>
        </w:tabs>
        <w:spacing w:after="120" w:line="276" w:lineRule="auto"/>
        <w:ind w:left="0" w:firstLine="0"/>
        <w:contextualSpacing w:val="0"/>
        <w:jc w:val="both"/>
        <w:rPr>
          <w:rFonts w:asciiTheme="majorHAnsi" w:eastAsia="Times New Roman" w:hAnsiTheme="majorHAnsi" w:cstheme="minorHAnsi"/>
          <w:sz w:val="24"/>
          <w:szCs w:val="24"/>
          <w:lang w:eastAsia="ru-RU"/>
        </w:rPr>
      </w:pPr>
      <w:r w:rsidRPr="00381DA2">
        <w:rPr>
          <w:rFonts w:asciiTheme="majorHAnsi" w:eastAsia="Times New Roman" w:hAnsiTheme="majorHAnsi" w:cstheme="minorHAnsi"/>
          <w:sz w:val="24"/>
          <w:szCs w:val="24"/>
          <w:lang w:eastAsia="ru-RU"/>
        </w:rPr>
        <w:t>Să instituie și să aprobe componența</w:t>
      </w:r>
      <w:r w:rsidRPr="00381DA2">
        <w:rPr>
          <w:rFonts w:asciiTheme="majorHAnsi" w:hAnsiTheme="majorHAnsi"/>
        </w:rPr>
        <w:t xml:space="preserve"> </w:t>
      </w:r>
      <w:r w:rsidRPr="00381DA2">
        <w:rPr>
          <w:rFonts w:asciiTheme="majorHAnsi" w:eastAsia="Times New Roman" w:hAnsiTheme="majorHAnsi" w:cstheme="minorHAnsi"/>
          <w:sz w:val="24"/>
          <w:szCs w:val="24"/>
          <w:lang w:eastAsia="ru-RU"/>
        </w:rPr>
        <w:t>Comisiei de monitorizare externă a calității asistenței juridice de stat</w:t>
      </w:r>
      <w:r w:rsidR="00F155DD">
        <w:rPr>
          <w:rFonts w:asciiTheme="majorHAnsi" w:eastAsia="Times New Roman" w:hAnsiTheme="majorHAnsi" w:cstheme="minorHAnsi"/>
          <w:sz w:val="24"/>
          <w:szCs w:val="24"/>
          <w:lang w:eastAsia="ru-RU"/>
        </w:rPr>
        <w:t>,</w:t>
      </w:r>
      <w:r w:rsidRPr="00381DA2">
        <w:rPr>
          <w:rFonts w:asciiTheme="majorHAnsi" w:eastAsia="Times New Roman" w:hAnsiTheme="majorHAnsi" w:cstheme="minorHAnsi"/>
          <w:sz w:val="24"/>
          <w:szCs w:val="24"/>
          <w:lang w:eastAsia="ru-RU"/>
        </w:rPr>
        <w:t xml:space="preserve"> în vederea punerii în aplicare a instrumentului de monitorizare externă a calității serviciilor juridice acordate beneficiarilor</w:t>
      </w:r>
      <w:r w:rsidR="00F92B22" w:rsidRPr="00381DA2">
        <w:rPr>
          <w:rFonts w:asciiTheme="majorHAnsi" w:eastAsia="Times New Roman" w:hAnsiTheme="majorHAnsi" w:cstheme="minorHAnsi"/>
          <w:sz w:val="24"/>
          <w:szCs w:val="24"/>
          <w:lang w:eastAsia="ru-RU"/>
        </w:rPr>
        <w:t xml:space="preserve"> </w:t>
      </w:r>
      <w:r w:rsidR="00F92B22" w:rsidRPr="00381DA2">
        <w:rPr>
          <w:rFonts w:asciiTheme="majorHAnsi" w:hAnsiTheme="majorHAnsi" w:cstheme="minorHAnsi"/>
          <w:sz w:val="24"/>
          <w:szCs w:val="24"/>
        </w:rPr>
        <w:t>(</w:t>
      </w:r>
      <w:r w:rsidR="00B13BDB">
        <w:rPr>
          <w:rFonts w:asciiTheme="majorHAnsi" w:hAnsiTheme="majorHAnsi" w:cstheme="minorHAnsi"/>
          <w:sz w:val="24"/>
          <w:szCs w:val="24"/>
        </w:rPr>
        <w:t xml:space="preserve">pct. </w:t>
      </w:r>
      <w:r w:rsidR="00F92B22" w:rsidRPr="00381DA2">
        <w:rPr>
          <w:rFonts w:asciiTheme="majorHAnsi" w:hAnsiTheme="majorHAnsi" w:cstheme="minorHAnsi"/>
          <w:sz w:val="24"/>
          <w:szCs w:val="24"/>
        </w:rPr>
        <w:t>nr.4.2.3.)</w:t>
      </w:r>
      <w:r w:rsidRPr="00381DA2">
        <w:rPr>
          <w:rFonts w:asciiTheme="majorHAnsi" w:eastAsia="Times New Roman" w:hAnsiTheme="majorHAnsi" w:cstheme="minorHAnsi"/>
          <w:sz w:val="24"/>
          <w:szCs w:val="24"/>
          <w:lang w:eastAsia="ru-RU"/>
        </w:rPr>
        <w:t>.</w:t>
      </w:r>
    </w:p>
    <w:p w14:paraId="5C52170B" w14:textId="77777777" w:rsidR="00BB118F" w:rsidRDefault="00BB118F" w:rsidP="003A66EF">
      <w:pPr>
        <w:pStyle w:val="NormalWeb"/>
        <w:tabs>
          <w:tab w:val="left" w:pos="270"/>
        </w:tabs>
        <w:spacing w:after="120" w:line="276" w:lineRule="auto"/>
        <w:ind w:firstLine="0"/>
        <w:rPr>
          <w:rFonts w:asciiTheme="majorHAnsi" w:eastAsiaTheme="minorHAnsi" w:hAnsiTheme="majorHAnsi" w:cstheme="minorHAnsi"/>
          <w:b/>
          <w:lang w:val="ro-MD"/>
        </w:rPr>
      </w:pPr>
    </w:p>
    <w:p w14:paraId="5B609B1D" w14:textId="77777777" w:rsidR="00BB118F" w:rsidRDefault="00BB118F" w:rsidP="003A66EF">
      <w:pPr>
        <w:pStyle w:val="NormalWeb"/>
        <w:tabs>
          <w:tab w:val="left" w:pos="270"/>
        </w:tabs>
        <w:spacing w:after="120" w:line="276" w:lineRule="auto"/>
        <w:ind w:firstLine="0"/>
        <w:rPr>
          <w:rFonts w:asciiTheme="majorHAnsi" w:eastAsiaTheme="minorHAnsi" w:hAnsiTheme="majorHAnsi" w:cstheme="minorHAnsi"/>
          <w:b/>
          <w:lang w:val="ro-MD"/>
        </w:rPr>
      </w:pPr>
    </w:p>
    <w:p w14:paraId="49D28AC8" w14:textId="0BA1DB24" w:rsidR="00543E0A" w:rsidRPr="00381DA2" w:rsidRDefault="00543E0A" w:rsidP="003A66EF">
      <w:pPr>
        <w:pStyle w:val="NormalWeb"/>
        <w:tabs>
          <w:tab w:val="left" w:pos="270"/>
        </w:tabs>
        <w:spacing w:after="120" w:line="276" w:lineRule="auto"/>
        <w:ind w:firstLine="0"/>
        <w:rPr>
          <w:rFonts w:asciiTheme="majorHAnsi" w:eastAsiaTheme="minorHAnsi" w:hAnsiTheme="majorHAnsi" w:cstheme="minorHAnsi"/>
          <w:b/>
          <w:lang w:val="ro-MD"/>
        </w:rPr>
      </w:pPr>
      <w:r w:rsidRPr="00381DA2">
        <w:rPr>
          <w:rFonts w:asciiTheme="majorHAnsi" w:eastAsiaTheme="minorHAnsi" w:hAnsiTheme="majorHAnsi" w:cstheme="minorHAnsi"/>
          <w:b/>
          <w:lang w:val="ro-MD"/>
        </w:rPr>
        <w:t>O</w:t>
      </w:r>
      <w:r w:rsidR="00B26F5D" w:rsidRPr="00381DA2">
        <w:rPr>
          <w:rFonts w:asciiTheme="majorHAnsi" w:eastAsiaTheme="minorHAnsi" w:hAnsiTheme="majorHAnsi" w:cstheme="minorHAnsi"/>
          <w:b/>
          <w:lang w:val="ro-MD"/>
        </w:rPr>
        <w:t xml:space="preserve">ficiilor </w:t>
      </w:r>
      <w:r w:rsidRPr="00381DA2">
        <w:rPr>
          <w:rFonts w:asciiTheme="majorHAnsi" w:eastAsiaTheme="minorHAnsi" w:hAnsiTheme="majorHAnsi" w:cstheme="minorHAnsi"/>
          <w:b/>
          <w:lang w:val="ro-MD"/>
        </w:rPr>
        <w:t>T</w:t>
      </w:r>
      <w:r w:rsidR="00B26F5D" w:rsidRPr="00381DA2">
        <w:rPr>
          <w:rFonts w:asciiTheme="majorHAnsi" w:eastAsiaTheme="minorHAnsi" w:hAnsiTheme="majorHAnsi" w:cstheme="minorHAnsi"/>
          <w:b/>
          <w:lang w:val="ro-MD"/>
        </w:rPr>
        <w:t xml:space="preserve">eritoriale </w:t>
      </w:r>
      <w:r w:rsidRPr="00381DA2">
        <w:rPr>
          <w:rFonts w:asciiTheme="majorHAnsi" w:eastAsiaTheme="minorHAnsi" w:hAnsiTheme="majorHAnsi" w:cstheme="minorHAnsi"/>
          <w:b/>
          <w:lang w:val="ro-MD"/>
        </w:rPr>
        <w:t>ale CNAJGS</w:t>
      </w:r>
    </w:p>
    <w:p w14:paraId="2D22FACA" w14:textId="07A2BBB5" w:rsidR="009B4D46" w:rsidRPr="00CB0E57" w:rsidRDefault="00BC59D4" w:rsidP="003A66EF">
      <w:pPr>
        <w:pStyle w:val="ListParagraph"/>
        <w:numPr>
          <w:ilvl w:val="0"/>
          <w:numId w:val="28"/>
        </w:numPr>
        <w:tabs>
          <w:tab w:val="left" w:pos="0"/>
          <w:tab w:val="left" w:pos="270"/>
          <w:tab w:val="left" w:pos="45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sidRPr="00381DA2">
        <w:rPr>
          <w:rFonts w:asciiTheme="majorHAnsi" w:hAnsiTheme="majorHAnsi" w:cstheme="minorHAnsi"/>
          <w:sz w:val="24"/>
          <w:szCs w:val="24"/>
          <w:lang w:val="ro-MD"/>
        </w:rPr>
        <w:t>În comun cu directorul executiv al aparatului administrativ al CNAJGS</w:t>
      </w:r>
      <w:r w:rsidR="00F155DD">
        <w:rPr>
          <w:rFonts w:asciiTheme="majorHAnsi" w:hAnsiTheme="majorHAnsi" w:cstheme="minorHAnsi"/>
          <w:sz w:val="24"/>
          <w:szCs w:val="24"/>
          <w:lang w:val="ro-MD"/>
        </w:rPr>
        <w:t>,</w:t>
      </w:r>
      <w:r w:rsidRPr="00381DA2">
        <w:rPr>
          <w:rFonts w:asciiTheme="majorHAnsi" w:hAnsiTheme="majorHAnsi" w:cstheme="minorHAnsi"/>
          <w:sz w:val="24"/>
          <w:szCs w:val="24"/>
          <w:lang w:val="ro-MD"/>
        </w:rPr>
        <w:t xml:space="preserve"> s</w:t>
      </w:r>
      <w:r w:rsidR="00686CB4" w:rsidRPr="00381DA2">
        <w:rPr>
          <w:rFonts w:asciiTheme="majorHAnsi" w:hAnsiTheme="majorHAnsi" w:cstheme="minorHAnsi"/>
          <w:sz w:val="24"/>
          <w:szCs w:val="24"/>
          <w:lang w:val="ro-MD"/>
        </w:rPr>
        <w:t xml:space="preserve">ă identifice și să </w:t>
      </w:r>
      <w:r w:rsidR="00686CB4" w:rsidRPr="00CB0E57">
        <w:rPr>
          <w:rFonts w:asciiTheme="majorHAnsi" w:hAnsiTheme="majorHAnsi" w:cstheme="minorHAnsi"/>
          <w:sz w:val="24"/>
          <w:szCs w:val="24"/>
          <w:lang w:val="ro-MD"/>
        </w:rPr>
        <w:t xml:space="preserve">elaboreze acțiuni </w:t>
      </w:r>
      <w:r w:rsidR="002A220B" w:rsidRPr="00CB0E57">
        <w:rPr>
          <w:rFonts w:asciiTheme="majorHAnsi" w:hAnsiTheme="majorHAnsi" w:cstheme="minorHAnsi"/>
          <w:sz w:val="24"/>
          <w:szCs w:val="24"/>
          <w:lang w:val="ro-MD"/>
        </w:rPr>
        <w:t>ce ar înlătura d</w:t>
      </w:r>
      <w:r w:rsidR="00B2428C">
        <w:rPr>
          <w:rFonts w:asciiTheme="majorHAnsi" w:hAnsiTheme="majorHAnsi" w:cstheme="minorHAnsi"/>
          <w:sz w:val="24"/>
          <w:szCs w:val="24"/>
          <w:lang w:val="ro-MD"/>
        </w:rPr>
        <w:t xml:space="preserve">eficiențele constatate de audit </w:t>
      </w:r>
      <w:r w:rsidR="002A220B">
        <w:rPr>
          <w:rFonts w:asciiTheme="majorHAnsi" w:hAnsiTheme="majorHAnsi" w:cstheme="minorHAnsi"/>
          <w:sz w:val="24"/>
          <w:szCs w:val="24"/>
          <w:lang w:val="ro-MD"/>
        </w:rPr>
        <w:t>în procesul</w:t>
      </w:r>
      <w:r w:rsidR="00686CB4" w:rsidRPr="00CB0E57">
        <w:rPr>
          <w:rFonts w:asciiTheme="majorHAnsi" w:hAnsiTheme="majorHAnsi" w:cstheme="minorHAnsi"/>
          <w:sz w:val="24"/>
          <w:szCs w:val="24"/>
          <w:lang w:val="ro-MD"/>
        </w:rPr>
        <w:t xml:space="preserve"> de remunerare a av</w:t>
      </w:r>
      <w:r w:rsidR="002A220B">
        <w:rPr>
          <w:rFonts w:asciiTheme="majorHAnsi" w:hAnsiTheme="majorHAnsi" w:cstheme="minorHAnsi"/>
          <w:sz w:val="24"/>
          <w:szCs w:val="24"/>
          <w:lang w:val="ro-MD"/>
        </w:rPr>
        <w:t>ocaților din mijloace bugetare</w:t>
      </w:r>
      <w:r w:rsidR="00686CB4" w:rsidRPr="00CB0E57">
        <w:rPr>
          <w:rFonts w:asciiTheme="majorHAnsi" w:hAnsiTheme="majorHAnsi" w:cstheme="minorHAnsi"/>
          <w:sz w:val="24"/>
          <w:szCs w:val="24"/>
          <w:lang w:val="ro-MD"/>
        </w:rPr>
        <w:t xml:space="preserve">, cu prezentarea </w:t>
      </w:r>
      <w:r w:rsidR="00FD5156" w:rsidRPr="00CB0E57">
        <w:rPr>
          <w:rFonts w:asciiTheme="majorHAnsi" w:hAnsiTheme="majorHAnsi" w:cstheme="minorHAnsi"/>
          <w:sz w:val="24"/>
          <w:szCs w:val="24"/>
          <w:lang w:val="ro-MD"/>
        </w:rPr>
        <w:t xml:space="preserve">CNAJGS a </w:t>
      </w:r>
      <w:r w:rsidR="00686CB4" w:rsidRPr="00CB0E57">
        <w:rPr>
          <w:rFonts w:asciiTheme="majorHAnsi" w:hAnsiTheme="majorHAnsi" w:cstheme="minorHAnsi"/>
          <w:sz w:val="24"/>
          <w:szCs w:val="24"/>
          <w:lang w:val="ro-MD"/>
        </w:rPr>
        <w:t xml:space="preserve">propunerilor pentru </w:t>
      </w:r>
      <w:r w:rsidR="00FD5156" w:rsidRPr="00CB0E57">
        <w:rPr>
          <w:rFonts w:asciiTheme="majorHAnsi" w:hAnsiTheme="majorHAnsi" w:cstheme="minorHAnsi"/>
          <w:sz w:val="24"/>
          <w:szCs w:val="24"/>
          <w:lang w:val="ro-MD"/>
        </w:rPr>
        <w:t>aprobare</w:t>
      </w:r>
      <w:r w:rsidR="0088107F" w:rsidRPr="00CB0E57">
        <w:rPr>
          <w:rFonts w:asciiTheme="majorHAnsi" w:hAnsiTheme="majorHAnsi" w:cstheme="minorHAnsi"/>
          <w:sz w:val="24"/>
          <w:szCs w:val="24"/>
          <w:lang w:val="ro-MD"/>
        </w:rPr>
        <w:t xml:space="preserve"> (</w:t>
      </w:r>
      <w:r w:rsidR="00B13BDB" w:rsidRPr="00CB0E57">
        <w:rPr>
          <w:rFonts w:asciiTheme="majorHAnsi" w:hAnsiTheme="majorHAnsi" w:cstheme="minorHAnsi"/>
          <w:sz w:val="24"/>
          <w:szCs w:val="24"/>
          <w:lang w:val="ro-MD"/>
        </w:rPr>
        <w:t xml:space="preserve">pct. nr. </w:t>
      </w:r>
      <w:r w:rsidRPr="00CB0E57">
        <w:rPr>
          <w:rFonts w:asciiTheme="majorHAnsi" w:hAnsiTheme="majorHAnsi" w:cstheme="minorHAnsi"/>
          <w:sz w:val="24"/>
          <w:szCs w:val="24"/>
          <w:lang w:val="ro-MD"/>
        </w:rPr>
        <w:t>4.2.1.</w:t>
      </w:r>
      <w:r w:rsidR="00686CB4" w:rsidRPr="00CB0E57">
        <w:rPr>
          <w:rFonts w:asciiTheme="majorHAnsi" w:hAnsiTheme="majorHAnsi" w:cstheme="minorHAnsi"/>
          <w:sz w:val="24"/>
          <w:szCs w:val="24"/>
          <w:lang w:val="ro-MD"/>
        </w:rPr>
        <w:t>);</w:t>
      </w:r>
    </w:p>
    <w:p w14:paraId="31FBF2F2" w14:textId="77777777" w:rsidR="000E2E78" w:rsidRPr="0019446C" w:rsidRDefault="000E2E78" w:rsidP="003A66EF">
      <w:pPr>
        <w:pStyle w:val="ListParagraph"/>
        <w:numPr>
          <w:ilvl w:val="0"/>
          <w:numId w:val="28"/>
        </w:numPr>
        <w:tabs>
          <w:tab w:val="left" w:pos="0"/>
          <w:tab w:val="left" w:pos="270"/>
          <w:tab w:val="left" w:pos="360"/>
          <w:tab w:val="left" w:pos="630"/>
        </w:tabs>
        <w:spacing w:after="120" w:line="276" w:lineRule="auto"/>
        <w:ind w:left="0" w:firstLine="0"/>
        <w:contextualSpacing w:val="0"/>
        <w:jc w:val="both"/>
        <w:rPr>
          <w:rFonts w:asciiTheme="majorHAnsi" w:eastAsia="Times New Roman" w:hAnsiTheme="majorHAnsi" w:cstheme="minorHAnsi"/>
          <w:sz w:val="24"/>
          <w:szCs w:val="24"/>
          <w:lang w:val="ro-MD" w:eastAsia="ru-RU"/>
        </w:rPr>
      </w:pPr>
      <w:r w:rsidRPr="0019446C">
        <w:rPr>
          <w:rFonts w:asciiTheme="majorHAnsi" w:hAnsiTheme="majorHAnsi" w:cstheme="minorHAnsi"/>
          <w:sz w:val="24"/>
          <w:szCs w:val="24"/>
          <w:lang w:val="ro-MD"/>
        </w:rPr>
        <w:t xml:space="preserve">Să asigure </w:t>
      </w:r>
      <w:r w:rsidR="0019446C" w:rsidRPr="0019446C">
        <w:rPr>
          <w:rFonts w:asciiTheme="majorHAnsi" w:hAnsiTheme="majorHAnsi" w:cstheme="minorHAnsi"/>
          <w:sz w:val="24"/>
          <w:szCs w:val="24"/>
          <w:lang w:val="ro-MD"/>
        </w:rPr>
        <w:t>monitorizare</w:t>
      </w:r>
      <w:r w:rsidR="004A44EE">
        <w:rPr>
          <w:rFonts w:asciiTheme="majorHAnsi" w:hAnsiTheme="majorHAnsi" w:cstheme="minorHAnsi"/>
          <w:sz w:val="24"/>
          <w:szCs w:val="24"/>
          <w:lang w:val="ro-MD"/>
        </w:rPr>
        <w:t>a</w:t>
      </w:r>
      <w:r w:rsidR="0019446C" w:rsidRPr="0019446C">
        <w:rPr>
          <w:rFonts w:asciiTheme="majorHAnsi" w:hAnsiTheme="majorHAnsi" w:cstheme="minorHAnsi"/>
          <w:sz w:val="24"/>
          <w:szCs w:val="24"/>
          <w:lang w:val="ro-MD"/>
        </w:rPr>
        <w:t xml:space="preserve"> internă </w:t>
      </w:r>
      <w:r w:rsidR="00B96C4F">
        <w:rPr>
          <w:rFonts w:asciiTheme="majorHAnsi" w:hAnsiTheme="majorHAnsi" w:cstheme="minorHAnsi"/>
          <w:sz w:val="24"/>
          <w:szCs w:val="24"/>
          <w:lang w:val="ro-MD"/>
        </w:rPr>
        <w:t xml:space="preserve">a calității asistenței juridice calificate acordate de către avocații contractați, inclusiv </w:t>
      </w:r>
      <w:r w:rsidR="00853CBB">
        <w:rPr>
          <w:rFonts w:asciiTheme="majorHAnsi" w:hAnsiTheme="majorHAnsi" w:cstheme="minorHAnsi"/>
          <w:sz w:val="24"/>
          <w:szCs w:val="24"/>
          <w:lang w:val="ro-MD"/>
        </w:rPr>
        <w:t xml:space="preserve">a </w:t>
      </w:r>
      <w:r w:rsidR="00B96C4F">
        <w:rPr>
          <w:rFonts w:asciiTheme="majorHAnsi" w:hAnsiTheme="majorHAnsi" w:cstheme="minorHAnsi"/>
          <w:sz w:val="24"/>
          <w:szCs w:val="24"/>
          <w:lang w:val="ro-MD"/>
        </w:rPr>
        <w:t xml:space="preserve">celor noi </w:t>
      </w:r>
      <w:r w:rsidR="0019446C" w:rsidRPr="0019446C">
        <w:rPr>
          <w:rFonts w:asciiTheme="majorHAnsi" w:hAnsiTheme="majorHAnsi" w:cstheme="minorHAnsi"/>
          <w:sz w:val="24"/>
          <w:szCs w:val="24"/>
          <w:lang w:val="ro-MD"/>
        </w:rPr>
        <w:t>admiși în sistem</w:t>
      </w:r>
      <w:r w:rsidR="00FD5156">
        <w:rPr>
          <w:rFonts w:asciiTheme="majorHAnsi" w:hAnsiTheme="majorHAnsi" w:cstheme="minorHAnsi"/>
          <w:sz w:val="24"/>
          <w:szCs w:val="24"/>
          <w:lang w:val="ro-MD"/>
        </w:rPr>
        <w:t>,</w:t>
      </w:r>
      <w:r w:rsidR="0019446C" w:rsidRPr="0019446C">
        <w:rPr>
          <w:rFonts w:asciiTheme="majorHAnsi" w:hAnsiTheme="majorHAnsi" w:cstheme="minorHAnsi"/>
          <w:sz w:val="24"/>
          <w:szCs w:val="24"/>
          <w:lang w:val="ro-MD"/>
        </w:rPr>
        <w:t xml:space="preserve"> </w:t>
      </w:r>
      <w:r w:rsidR="00B96C4F">
        <w:rPr>
          <w:rFonts w:asciiTheme="majorHAnsi" w:hAnsiTheme="majorHAnsi" w:cstheme="minorHAnsi"/>
          <w:sz w:val="24"/>
          <w:szCs w:val="24"/>
          <w:lang w:val="ro-MD"/>
        </w:rPr>
        <w:t>precum și a</w:t>
      </w:r>
      <w:r w:rsidR="0019446C" w:rsidRPr="0019446C">
        <w:rPr>
          <w:rFonts w:asciiTheme="majorHAnsi" w:hAnsiTheme="majorHAnsi" w:cstheme="minorHAnsi"/>
          <w:sz w:val="24"/>
          <w:szCs w:val="24"/>
          <w:lang w:val="ro-MD"/>
        </w:rPr>
        <w:t xml:space="preserve"> căror </w:t>
      </w:r>
      <w:r w:rsidR="0019446C">
        <w:rPr>
          <w:rFonts w:asciiTheme="majorHAnsi" w:hAnsiTheme="majorHAnsi" w:cstheme="minorHAnsi"/>
          <w:sz w:val="24"/>
          <w:szCs w:val="24"/>
          <w:lang w:val="ro-MD"/>
        </w:rPr>
        <w:t>prestație</w:t>
      </w:r>
      <w:r w:rsidR="0019446C" w:rsidRPr="0019446C">
        <w:rPr>
          <w:rFonts w:asciiTheme="majorHAnsi" w:hAnsiTheme="majorHAnsi" w:cstheme="minorHAnsi"/>
          <w:sz w:val="24"/>
          <w:szCs w:val="24"/>
          <w:lang w:val="ro-MD"/>
        </w:rPr>
        <w:t xml:space="preserve"> </w:t>
      </w:r>
      <w:r w:rsidR="00853CBB">
        <w:rPr>
          <w:rFonts w:asciiTheme="majorHAnsi" w:hAnsiTheme="majorHAnsi" w:cstheme="minorHAnsi"/>
          <w:sz w:val="24"/>
          <w:szCs w:val="24"/>
          <w:lang w:val="ro-MD"/>
        </w:rPr>
        <w:t xml:space="preserve">a </w:t>
      </w:r>
      <w:r w:rsidR="0019446C" w:rsidRPr="0019446C">
        <w:rPr>
          <w:rFonts w:asciiTheme="majorHAnsi" w:hAnsiTheme="majorHAnsi" w:cstheme="minorHAnsi"/>
          <w:sz w:val="24"/>
          <w:szCs w:val="24"/>
          <w:lang w:val="ro-MD"/>
        </w:rPr>
        <w:t>fost apreciată ca defectuoasă</w:t>
      </w:r>
      <w:r w:rsidR="0019446C">
        <w:rPr>
          <w:rFonts w:asciiTheme="majorHAnsi" w:hAnsiTheme="majorHAnsi" w:cstheme="minorHAnsi"/>
          <w:sz w:val="24"/>
          <w:szCs w:val="24"/>
          <w:lang w:val="ro-MD"/>
        </w:rPr>
        <w:t>, cu aplicarea uniformă a spețelor regulamentului</w:t>
      </w:r>
      <w:r w:rsidR="00B96C4F">
        <w:rPr>
          <w:rFonts w:asciiTheme="majorHAnsi" w:hAnsiTheme="majorHAnsi" w:cstheme="minorHAnsi"/>
          <w:sz w:val="24"/>
          <w:szCs w:val="24"/>
          <w:lang w:val="ro-MD"/>
        </w:rPr>
        <w:t xml:space="preserve"> de către toate oficiile teritoriale</w:t>
      </w:r>
      <w:r w:rsidR="0088107F">
        <w:rPr>
          <w:rFonts w:asciiTheme="majorHAnsi" w:hAnsiTheme="majorHAnsi" w:cstheme="minorHAnsi"/>
          <w:sz w:val="24"/>
          <w:szCs w:val="24"/>
          <w:lang w:val="ro-MD"/>
        </w:rPr>
        <w:t xml:space="preserve"> (</w:t>
      </w:r>
      <w:r w:rsidR="00B13BDB">
        <w:rPr>
          <w:rFonts w:asciiTheme="majorHAnsi" w:hAnsiTheme="majorHAnsi" w:cstheme="minorHAnsi"/>
          <w:sz w:val="24"/>
          <w:szCs w:val="24"/>
          <w:lang w:val="ro-MD"/>
        </w:rPr>
        <w:t>pct.</w:t>
      </w:r>
      <w:r w:rsidR="0088107F" w:rsidRPr="00381DA2">
        <w:rPr>
          <w:rFonts w:asciiTheme="majorHAnsi" w:hAnsiTheme="majorHAnsi" w:cstheme="minorHAnsi"/>
          <w:sz w:val="24"/>
          <w:szCs w:val="24"/>
        </w:rPr>
        <w:t xml:space="preserve"> nr.4.2.3.)</w:t>
      </w:r>
      <w:r w:rsidR="0019446C" w:rsidRPr="0019446C">
        <w:rPr>
          <w:rFonts w:asciiTheme="majorHAnsi" w:hAnsiTheme="majorHAnsi" w:cstheme="minorHAnsi"/>
          <w:sz w:val="24"/>
          <w:szCs w:val="24"/>
          <w:lang w:val="ro-MD"/>
        </w:rPr>
        <w:t>;</w:t>
      </w:r>
    </w:p>
    <w:p w14:paraId="29A40668" w14:textId="77777777" w:rsidR="00C05701" w:rsidRPr="00381DA2" w:rsidRDefault="00C05701" w:rsidP="003A66EF">
      <w:pPr>
        <w:pStyle w:val="ListParagraph"/>
        <w:numPr>
          <w:ilvl w:val="0"/>
          <w:numId w:val="28"/>
        </w:numPr>
        <w:tabs>
          <w:tab w:val="left" w:pos="0"/>
          <w:tab w:val="left" w:pos="270"/>
          <w:tab w:val="left" w:pos="360"/>
        </w:tabs>
        <w:spacing w:after="120" w:line="276" w:lineRule="auto"/>
        <w:ind w:left="0" w:firstLine="0"/>
        <w:contextualSpacing w:val="0"/>
        <w:jc w:val="both"/>
        <w:rPr>
          <w:rFonts w:asciiTheme="majorHAnsi" w:hAnsiTheme="majorHAnsi" w:cstheme="minorHAnsi"/>
          <w:sz w:val="24"/>
          <w:szCs w:val="24"/>
        </w:rPr>
      </w:pPr>
      <w:r w:rsidRPr="00381DA2">
        <w:rPr>
          <w:rFonts w:asciiTheme="majorHAnsi" w:hAnsiTheme="majorHAnsi" w:cstheme="minorHAnsi"/>
          <w:sz w:val="24"/>
          <w:szCs w:val="24"/>
        </w:rPr>
        <w:t xml:space="preserve">Să </w:t>
      </w:r>
      <w:r w:rsidR="00106B34" w:rsidRPr="00381DA2">
        <w:rPr>
          <w:rFonts w:asciiTheme="majorHAnsi" w:hAnsiTheme="majorHAnsi" w:cstheme="minorHAnsi"/>
          <w:sz w:val="24"/>
          <w:szCs w:val="24"/>
        </w:rPr>
        <w:t xml:space="preserve">efectueze </w:t>
      </w:r>
      <w:r w:rsidRPr="00381DA2">
        <w:rPr>
          <w:rFonts w:asciiTheme="majorHAnsi" w:hAnsiTheme="majorHAnsi" w:cstheme="minorHAnsi"/>
          <w:sz w:val="24"/>
          <w:szCs w:val="24"/>
        </w:rPr>
        <w:t>inventarierea cazurilor pasibile recup</w:t>
      </w:r>
      <w:r w:rsidR="00FD5156">
        <w:rPr>
          <w:rFonts w:asciiTheme="majorHAnsi" w:hAnsiTheme="majorHAnsi" w:cstheme="minorHAnsi"/>
          <w:sz w:val="24"/>
          <w:szCs w:val="24"/>
        </w:rPr>
        <w:t>erării cheltuielilor suportate î</w:t>
      </w:r>
      <w:r w:rsidRPr="00381DA2">
        <w:rPr>
          <w:rFonts w:asciiTheme="majorHAnsi" w:hAnsiTheme="majorHAnsi" w:cstheme="minorHAnsi"/>
          <w:sz w:val="24"/>
          <w:szCs w:val="24"/>
        </w:rPr>
        <w:t>n legătură cu acordarea asistenței juridice garantate de stat, î</w:t>
      </w:r>
      <w:r w:rsidR="00FD5156">
        <w:rPr>
          <w:rFonts w:asciiTheme="majorHAnsi" w:hAnsiTheme="majorHAnsi" w:cstheme="minorHAnsi"/>
          <w:sz w:val="24"/>
          <w:szCs w:val="24"/>
        </w:rPr>
        <w:t>n vederea identificării tuturor cazurilor</w:t>
      </w:r>
      <w:r w:rsidRPr="00381DA2">
        <w:rPr>
          <w:rFonts w:asciiTheme="majorHAnsi" w:hAnsiTheme="majorHAnsi" w:cstheme="minorHAnsi"/>
          <w:sz w:val="24"/>
          <w:szCs w:val="24"/>
        </w:rPr>
        <w:t xml:space="preserve"> și înaintării spre restituire</w:t>
      </w:r>
      <w:r w:rsidR="00F92B22" w:rsidRPr="00381DA2">
        <w:rPr>
          <w:rFonts w:asciiTheme="majorHAnsi" w:hAnsiTheme="majorHAnsi" w:cstheme="minorHAnsi"/>
          <w:sz w:val="24"/>
          <w:szCs w:val="24"/>
        </w:rPr>
        <w:t xml:space="preserve"> (</w:t>
      </w:r>
      <w:r w:rsidR="00B13BDB">
        <w:rPr>
          <w:rFonts w:asciiTheme="majorHAnsi" w:hAnsiTheme="majorHAnsi" w:cstheme="minorHAnsi"/>
          <w:sz w:val="24"/>
          <w:szCs w:val="24"/>
        </w:rPr>
        <w:t>pct.</w:t>
      </w:r>
      <w:r w:rsidR="00BC59D4" w:rsidRPr="00381DA2">
        <w:rPr>
          <w:rFonts w:asciiTheme="majorHAnsi" w:hAnsiTheme="majorHAnsi" w:cstheme="minorHAnsi"/>
          <w:sz w:val="24"/>
          <w:szCs w:val="24"/>
          <w:lang w:val="ro-MD"/>
        </w:rPr>
        <w:t xml:space="preserve"> </w:t>
      </w:r>
      <w:r w:rsidR="00F92B22" w:rsidRPr="00381DA2">
        <w:rPr>
          <w:rFonts w:asciiTheme="majorHAnsi" w:hAnsiTheme="majorHAnsi" w:cstheme="minorHAnsi"/>
          <w:sz w:val="24"/>
          <w:szCs w:val="24"/>
        </w:rPr>
        <w:t>nr.4.2.4.)</w:t>
      </w:r>
      <w:r w:rsidRPr="00381DA2">
        <w:rPr>
          <w:rFonts w:asciiTheme="majorHAnsi" w:hAnsiTheme="majorHAnsi" w:cstheme="minorHAnsi"/>
          <w:sz w:val="24"/>
          <w:szCs w:val="24"/>
        </w:rPr>
        <w:t xml:space="preserve">.  </w:t>
      </w:r>
    </w:p>
    <w:p w14:paraId="14968B1E" w14:textId="77777777" w:rsidR="008E68E6" w:rsidRPr="00381DA2" w:rsidRDefault="008E68E6" w:rsidP="003A66EF">
      <w:pPr>
        <w:pStyle w:val="ListParagraph"/>
        <w:spacing w:line="276" w:lineRule="auto"/>
        <w:ind w:left="270"/>
        <w:jc w:val="both"/>
        <w:rPr>
          <w:rFonts w:asciiTheme="majorHAnsi" w:eastAsia="Times New Roman" w:hAnsiTheme="majorHAnsi" w:cstheme="minorHAnsi"/>
          <w:sz w:val="24"/>
          <w:szCs w:val="24"/>
          <w:lang w:val="ro-MD" w:eastAsia="ru-RU"/>
        </w:rPr>
      </w:pPr>
    </w:p>
    <w:p w14:paraId="6E63AE60" w14:textId="77777777" w:rsidR="00F80C67" w:rsidRPr="00381DA2" w:rsidRDefault="00F80C67" w:rsidP="003A66EF">
      <w:pPr>
        <w:spacing w:after="0" w:line="276" w:lineRule="auto"/>
        <w:rPr>
          <w:rFonts w:asciiTheme="majorHAnsi" w:eastAsia="Times New Roman" w:hAnsiTheme="majorHAnsi" w:cstheme="minorHAnsi"/>
          <w:color w:val="002060"/>
          <w:sz w:val="24"/>
          <w:szCs w:val="24"/>
        </w:rPr>
      </w:pPr>
      <w:bookmarkStart w:id="52" w:name="_Toc531868187"/>
      <w:r w:rsidRPr="00381DA2">
        <w:rPr>
          <w:rFonts w:asciiTheme="majorHAnsi" w:eastAsia="Times New Roman" w:hAnsiTheme="majorHAnsi" w:cstheme="minorHAnsi"/>
          <w:b/>
          <w:color w:val="1F4E79" w:themeColor="accent1" w:themeShade="80"/>
          <w:sz w:val="24"/>
          <w:szCs w:val="24"/>
          <w:lang w:eastAsia="ro-RO"/>
        </w:rPr>
        <w:t>Semnăturile echipei de audit</w:t>
      </w:r>
      <w:r w:rsidRPr="00381DA2">
        <w:rPr>
          <w:rFonts w:asciiTheme="majorHAnsi" w:eastAsia="Times New Roman" w:hAnsiTheme="majorHAnsi" w:cstheme="minorHAnsi"/>
          <w:color w:val="002060"/>
          <w:sz w:val="24"/>
          <w:szCs w:val="24"/>
        </w:rPr>
        <w:t>:</w:t>
      </w:r>
      <w:bookmarkEnd w:id="52"/>
    </w:p>
    <w:p w14:paraId="012586B9" w14:textId="77777777" w:rsidR="00F80C67" w:rsidRPr="00381DA2" w:rsidRDefault="00F80C67" w:rsidP="003A66EF">
      <w:pPr>
        <w:spacing w:after="0" w:line="276" w:lineRule="auto"/>
        <w:ind w:firstLine="142"/>
        <w:rPr>
          <w:rFonts w:asciiTheme="majorHAnsi" w:eastAsia="Times New Roman" w:hAnsiTheme="majorHAnsi" w:cstheme="minorHAnsi"/>
          <w:color w:val="002060"/>
          <w:sz w:val="24"/>
          <w:szCs w:val="24"/>
        </w:rPr>
      </w:pPr>
    </w:p>
    <w:tbl>
      <w:tblPr>
        <w:tblW w:w="9900" w:type="dxa"/>
        <w:tblLook w:val="04A0" w:firstRow="1" w:lastRow="0" w:firstColumn="1" w:lastColumn="0" w:noHBand="0" w:noVBand="1"/>
      </w:tblPr>
      <w:tblGrid>
        <w:gridCol w:w="3505"/>
        <w:gridCol w:w="3107"/>
        <w:gridCol w:w="2473"/>
        <w:gridCol w:w="815"/>
      </w:tblGrid>
      <w:tr w:rsidR="008633D8" w:rsidRPr="00381DA2" w14:paraId="57BF145B" w14:textId="77777777" w:rsidTr="008633D8">
        <w:trPr>
          <w:trHeight w:val="1007"/>
        </w:trPr>
        <w:tc>
          <w:tcPr>
            <w:tcW w:w="3505" w:type="dxa"/>
            <w:shd w:val="clear" w:color="auto" w:fill="auto"/>
          </w:tcPr>
          <w:p w14:paraId="17AE25C6" w14:textId="6F6B28EE" w:rsidR="008633D8" w:rsidRPr="00381DA2" w:rsidRDefault="008633D8" w:rsidP="003A66EF">
            <w:pPr>
              <w:spacing w:after="0" w:line="276" w:lineRule="auto"/>
              <w:rPr>
                <w:rFonts w:asciiTheme="majorHAnsi" w:hAnsiTheme="majorHAnsi" w:cstheme="minorHAnsi"/>
                <w:b/>
                <w:i/>
                <w:sz w:val="24"/>
                <w:szCs w:val="24"/>
              </w:rPr>
            </w:pPr>
            <w:r w:rsidRPr="00381DA2">
              <w:rPr>
                <w:rFonts w:asciiTheme="majorHAnsi" w:hAnsiTheme="majorHAnsi" w:cstheme="minorHAnsi"/>
                <w:b/>
                <w:i/>
                <w:sz w:val="24"/>
                <w:szCs w:val="24"/>
              </w:rPr>
              <w:t>Șefa echipei de audit,</w:t>
            </w:r>
          </w:p>
          <w:p w14:paraId="0EEBEA1C" w14:textId="77777777" w:rsidR="008633D8" w:rsidRPr="00381DA2" w:rsidRDefault="002254CC" w:rsidP="003A66EF">
            <w:pPr>
              <w:spacing w:after="0" w:line="276" w:lineRule="auto"/>
              <w:rPr>
                <w:rFonts w:asciiTheme="majorHAnsi" w:hAnsiTheme="majorHAnsi" w:cstheme="minorHAnsi"/>
                <w:sz w:val="24"/>
                <w:szCs w:val="24"/>
              </w:rPr>
            </w:pPr>
            <w:r>
              <w:rPr>
                <w:rFonts w:asciiTheme="majorHAnsi" w:hAnsiTheme="majorHAnsi" w:cstheme="minorHAnsi"/>
                <w:sz w:val="24"/>
                <w:szCs w:val="24"/>
              </w:rPr>
              <w:t>a</w:t>
            </w:r>
            <w:r w:rsidR="008F2D92" w:rsidRPr="00381DA2">
              <w:rPr>
                <w:rFonts w:asciiTheme="majorHAnsi" w:hAnsiTheme="majorHAnsi" w:cstheme="minorHAnsi"/>
                <w:sz w:val="24"/>
                <w:szCs w:val="24"/>
              </w:rPr>
              <w:t>uditoare publică principală</w:t>
            </w:r>
          </w:p>
        </w:tc>
        <w:tc>
          <w:tcPr>
            <w:tcW w:w="3107" w:type="dxa"/>
          </w:tcPr>
          <w:p w14:paraId="0B80F699" w14:textId="77777777" w:rsidR="008633D8" w:rsidRPr="00381DA2" w:rsidRDefault="008633D8" w:rsidP="003A66EF">
            <w:pPr>
              <w:spacing w:after="0" w:line="276" w:lineRule="auto"/>
              <w:jc w:val="right"/>
              <w:rPr>
                <w:rFonts w:asciiTheme="majorHAnsi" w:hAnsiTheme="majorHAnsi" w:cstheme="minorHAnsi"/>
                <w:b/>
                <w:sz w:val="24"/>
                <w:szCs w:val="24"/>
              </w:rPr>
            </w:pPr>
          </w:p>
        </w:tc>
        <w:tc>
          <w:tcPr>
            <w:tcW w:w="2473" w:type="dxa"/>
            <w:shd w:val="clear" w:color="auto" w:fill="auto"/>
          </w:tcPr>
          <w:p w14:paraId="6D81132C" w14:textId="77777777" w:rsidR="008633D8" w:rsidRPr="00381DA2" w:rsidRDefault="008633D8" w:rsidP="003A66EF">
            <w:pPr>
              <w:spacing w:after="0" w:line="276" w:lineRule="auto"/>
              <w:jc w:val="right"/>
              <w:rPr>
                <w:rFonts w:asciiTheme="majorHAnsi" w:hAnsiTheme="majorHAnsi" w:cstheme="minorHAnsi"/>
                <w:b/>
                <w:sz w:val="24"/>
                <w:szCs w:val="24"/>
              </w:rPr>
            </w:pPr>
            <w:r w:rsidRPr="00381DA2">
              <w:rPr>
                <w:rFonts w:asciiTheme="majorHAnsi" w:hAnsiTheme="majorHAnsi" w:cstheme="minorHAnsi"/>
                <w:b/>
                <w:sz w:val="24"/>
                <w:szCs w:val="24"/>
              </w:rPr>
              <w:t>Alina Certan</w:t>
            </w:r>
          </w:p>
          <w:p w14:paraId="0BC98167" w14:textId="77777777" w:rsidR="008633D8" w:rsidRPr="00381DA2" w:rsidRDefault="008633D8" w:rsidP="003A66EF">
            <w:pPr>
              <w:spacing w:after="0" w:line="276" w:lineRule="auto"/>
              <w:jc w:val="right"/>
              <w:rPr>
                <w:rFonts w:asciiTheme="majorHAnsi" w:hAnsiTheme="majorHAnsi" w:cstheme="minorHAnsi"/>
                <w:b/>
                <w:sz w:val="24"/>
                <w:szCs w:val="24"/>
              </w:rPr>
            </w:pPr>
          </w:p>
          <w:p w14:paraId="4C75F268" w14:textId="77777777" w:rsidR="008633D8" w:rsidRPr="00381DA2" w:rsidRDefault="008633D8" w:rsidP="003A66EF">
            <w:pPr>
              <w:spacing w:after="0" w:line="276" w:lineRule="auto"/>
              <w:jc w:val="right"/>
              <w:rPr>
                <w:rFonts w:asciiTheme="majorHAnsi" w:hAnsiTheme="majorHAnsi" w:cstheme="minorHAnsi"/>
                <w:b/>
                <w:sz w:val="24"/>
                <w:szCs w:val="24"/>
              </w:rPr>
            </w:pPr>
          </w:p>
        </w:tc>
        <w:tc>
          <w:tcPr>
            <w:tcW w:w="815" w:type="dxa"/>
          </w:tcPr>
          <w:p w14:paraId="63E15D24" w14:textId="77777777" w:rsidR="008633D8" w:rsidRPr="00381DA2" w:rsidRDefault="008633D8" w:rsidP="003A66EF">
            <w:pPr>
              <w:spacing w:after="0" w:line="276" w:lineRule="auto"/>
              <w:jc w:val="right"/>
              <w:rPr>
                <w:rFonts w:asciiTheme="majorHAnsi" w:hAnsiTheme="majorHAnsi" w:cstheme="minorHAnsi"/>
                <w:b/>
                <w:sz w:val="24"/>
                <w:szCs w:val="24"/>
              </w:rPr>
            </w:pPr>
          </w:p>
        </w:tc>
      </w:tr>
      <w:tr w:rsidR="008633D8" w:rsidRPr="00381DA2" w14:paraId="247837B5" w14:textId="77777777" w:rsidTr="008633D8">
        <w:trPr>
          <w:trHeight w:val="282"/>
        </w:trPr>
        <w:tc>
          <w:tcPr>
            <w:tcW w:w="3505" w:type="dxa"/>
            <w:shd w:val="clear" w:color="auto" w:fill="auto"/>
          </w:tcPr>
          <w:p w14:paraId="587CBE93" w14:textId="7D0E22B3" w:rsidR="008633D8" w:rsidRPr="00381DA2" w:rsidRDefault="007A43E0" w:rsidP="003A66EF">
            <w:pPr>
              <w:spacing w:after="0" w:line="276" w:lineRule="auto"/>
              <w:rPr>
                <w:rFonts w:asciiTheme="majorHAnsi" w:hAnsiTheme="majorHAnsi" w:cstheme="minorHAnsi"/>
                <w:b/>
                <w:i/>
                <w:sz w:val="24"/>
                <w:szCs w:val="24"/>
              </w:rPr>
            </w:pPr>
            <w:r w:rsidRPr="00381DA2">
              <w:rPr>
                <w:rFonts w:asciiTheme="majorHAnsi" w:hAnsiTheme="majorHAnsi" w:cstheme="minorHAnsi"/>
                <w:b/>
                <w:i/>
                <w:sz w:val="24"/>
                <w:szCs w:val="24"/>
              </w:rPr>
              <w:t>Membri</w:t>
            </w:r>
            <w:r w:rsidR="00F155DD">
              <w:rPr>
                <w:rFonts w:asciiTheme="majorHAnsi" w:hAnsiTheme="majorHAnsi" w:cstheme="minorHAnsi"/>
                <w:b/>
                <w:i/>
                <w:sz w:val="24"/>
                <w:szCs w:val="24"/>
              </w:rPr>
              <w:t>i</w:t>
            </w:r>
            <w:r w:rsidR="008633D8" w:rsidRPr="00381DA2">
              <w:rPr>
                <w:rFonts w:asciiTheme="majorHAnsi" w:hAnsiTheme="majorHAnsi" w:cstheme="minorHAnsi"/>
                <w:b/>
                <w:i/>
                <w:sz w:val="24"/>
                <w:szCs w:val="24"/>
              </w:rPr>
              <w:t xml:space="preserve"> echipei</w:t>
            </w:r>
            <w:r w:rsidR="00F155DD">
              <w:rPr>
                <w:rFonts w:asciiTheme="majorHAnsi" w:hAnsiTheme="majorHAnsi" w:cstheme="minorHAnsi"/>
                <w:b/>
                <w:i/>
                <w:sz w:val="24"/>
                <w:szCs w:val="24"/>
              </w:rPr>
              <w:t xml:space="preserve"> de audit:</w:t>
            </w:r>
          </w:p>
          <w:p w14:paraId="44A7ED3C" w14:textId="77777777" w:rsidR="008633D8" w:rsidRPr="00381DA2" w:rsidRDefault="007A43E0" w:rsidP="003A66EF">
            <w:pPr>
              <w:spacing w:after="0" w:line="276" w:lineRule="auto"/>
              <w:rPr>
                <w:rFonts w:asciiTheme="majorHAnsi" w:hAnsiTheme="majorHAnsi" w:cstheme="minorHAnsi"/>
                <w:sz w:val="24"/>
                <w:szCs w:val="24"/>
              </w:rPr>
            </w:pPr>
            <w:r w:rsidRPr="00381DA2">
              <w:rPr>
                <w:rFonts w:asciiTheme="majorHAnsi" w:hAnsiTheme="majorHAnsi" w:cstheme="minorHAnsi"/>
                <w:sz w:val="24"/>
                <w:szCs w:val="24"/>
              </w:rPr>
              <w:t>auditoare publică superioară</w:t>
            </w:r>
          </w:p>
        </w:tc>
        <w:tc>
          <w:tcPr>
            <w:tcW w:w="3107" w:type="dxa"/>
          </w:tcPr>
          <w:p w14:paraId="7944FCD9" w14:textId="77777777" w:rsidR="008633D8" w:rsidRPr="00381DA2" w:rsidRDefault="008633D8" w:rsidP="003A66EF">
            <w:pPr>
              <w:spacing w:after="0" w:line="276" w:lineRule="auto"/>
              <w:jc w:val="right"/>
              <w:rPr>
                <w:rFonts w:asciiTheme="majorHAnsi" w:hAnsiTheme="majorHAnsi" w:cstheme="minorHAnsi"/>
                <w:b/>
                <w:sz w:val="24"/>
                <w:szCs w:val="24"/>
                <w:lang w:val="en-US"/>
              </w:rPr>
            </w:pPr>
          </w:p>
        </w:tc>
        <w:tc>
          <w:tcPr>
            <w:tcW w:w="2473" w:type="dxa"/>
            <w:shd w:val="clear" w:color="auto" w:fill="auto"/>
          </w:tcPr>
          <w:p w14:paraId="4427EE19" w14:textId="77777777" w:rsidR="00F155DD" w:rsidRDefault="00F155DD" w:rsidP="003A66EF">
            <w:pPr>
              <w:spacing w:after="0" w:line="276" w:lineRule="auto"/>
              <w:jc w:val="right"/>
              <w:rPr>
                <w:rFonts w:asciiTheme="majorHAnsi" w:hAnsiTheme="majorHAnsi" w:cstheme="minorHAnsi"/>
                <w:b/>
                <w:sz w:val="24"/>
                <w:szCs w:val="24"/>
              </w:rPr>
            </w:pPr>
          </w:p>
          <w:p w14:paraId="66A4F9CE" w14:textId="7C397AC6" w:rsidR="008633D8" w:rsidRPr="00381DA2" w:rsidRDefault="008F2D92" w:rsidP="003A66EF">
            <w:pPr>
              <w:spacing w:after="0" w:line="276" w:lineRule="auto"/>
              <w:jc w:val="right"/>
              <w:rPr>
                <w:rFonts w:asciiTheme="majorHAnsi" w:hAnsiTheme="majorHAnsi" w:cstheme="minorHAnsi"/>
                <w:b/>
                <w:sz w:val="24"/>
                <w:szCs w:val="24"/>
              </w:rPr>
            </w:pPr>
            <w:r w:rsidRPr="00381DA2">
              <w:rPr>
                <w:rFonts w:asciiTheme="majorHAnsi" w:hAnsiTheme="majorHAnsi" w:cstheme="minorHAnsi"/>
                <w:b/>
                <w:sz w:val="24"/>
                <w:szCs w:val="24"/>
              </w:rPr>
              <w:t>Diana Croitoru</w:t>
            </w:r>
          </w:p>
        </w:tc>
        <w:tc>
          <w:tcPr>
            <w:tcW w:w="815" w:type="dxa"/>
          </w:tcPr>
          <w:p w14:paraId="6210401B" w14:textId="77777777" w:rsidR="008633D8" w:rsidRPr="00381DA2" w:rsidRDefault="008633D8" w:rsidP="003A66EF">
            <w:pPr>
              <w:spacing w:after="0" w:line="276" w:lineRule="auto"/>
              <w:jc w:val="right"/>
              <w:rPr>
                <w:rFonts w:asciiTheme="majorHAnsi" w:hAnsiTheme="majorHAnsi" w:cstheme="minorHAnsi"/>
                <w:b/>
                <w:sz w:val="24"/>
                <w:szCs w:val="24"/>
              </w:rPr>
            </w:pPr>
          </w:p>
        </w:tc>
      </w:tr>
      <w:tr w:rsidR="007A43E0" w:rsidRPr="00381DA2" w14:paraId="4155B423" w14:textId="77777777" w:rsidTr="008633D8">
        <w:trPr>
          <w:trHeight w:val="282"/>
        </w:trPr>
        <w:tc>
          <w:tcPr>
            <w:tcW w:w="3505" w:type="dxa"/>
            <w:shd w:val="clear" w:color="auto" w:fill="auto"/>
          </w:tcPr>
          <w:p w14:paraId="3D134E9F" w14:textId="77777777" w:rsidR="007365AE" w:rsidRDefault="007365AE" w:rsidP="003A66EF">
            <w:pPr>
              <w:spacing w:after="0" w:line="276" w:lineRule="auto"/>
              <w:rPr>
                <w:rFonts w:asciiTheme="majorHAnsi" w:hAnsiTheme="majorHAnsi" w:cstheme="minorHAnsi"/>
                <w:sz w:val="24"/>
                <w:szCs w:val="24"/>
              </w:rPr>
            </w:pPr>
          </w:p>
          <w:p w14:paraId="32FDE3CF" w14:textId="5576792B" w:rsidR="007A43E0" w:rsidRPr="00381DA2" w:rsidRDefault="007A43E0" w:rsidP="003A66EF">
            <w:pPr>
              <w:spacing w:after="0" w:line="276" w:lineRule="auto"/>
              <w:rPr>
                <w:rFonts w:asciiTheme="majorHAnsi" w:hAnsiTheme="majorHAnsi" w:cstheme="minorHAnsi"/>
                <w:sz w:val="24"/>
                <w:szCs w:val="24"/>
              </w:rPr>
            </w:pPr>
            <w:r w:rsidRPr="00381DA2">
              <w:rPr>
                <w:rFonts w:asciiTheme="majorHAnsi" w:hAnsiTheme="majorHAnsi" w:cstheme="minorHAnsi"/>
                <w:sz w:val="24"/>
                <w:szCs w:val="24"/>
              </w:rPr>
              <w:t>auditoare publică</w:t>
            </w:r>
          </w:p>
        </w:tc>
        <w:tc>
          <w:tcPr>
            <w:tcW w:w="3107" w:type="dxa"/>
          </w:tcPr>
          <w:p w14:paraId="511959DC" w14:textId="77777777" w:rsidR="007A43E0" w:rsidRPr="00381DA2" w:rsidRDefault="007A43E0" w:rsidP="003A66EF">
            <w:pPr>
              <w:spacing w:after="0" w:line="276" w:lineRule="auto"/>
              <w:jc w:val="right"/>
              <w:rPr>
                <w:rFonts w:asciiTheme="majorHAnsi" w:hAnsiTheme="majorHAnsi" w:cstheme="minorHAnsi"/>
                <w:b/>
                <w:sz w:val="24"/>
                <w:szCs w:val="24"/>
                <w:lang w:val="en-US"/>
              </w:rPr>
            </w:pPr>
          </w:p>
        </w:tc>
        <w:tc>
          <w:tcPr>
            <w:tcW w:w="2473" w:type="dxa"/>
            <w:shd w:val="clear" w:color="auto" w:fill="auto"/>
          </w:tcPr>
          <w:p w14:paraId="0EE4B3CE" w14:textId="77777777" w:rsidR="007365AE" w:rsidRDefault="007365AE" w:rsidP="003A66EF">
            <w:pPr>
              <w:spacing w:after="0" w:line="276" w:lineRule="auto"/>
              <w:jc w:val="right"/>
              <w:rPr>
                <w:rFonts w:asciiTheme="majorHAnsi" w:hAnsiTheme="majorHAnsi" w:cstheme="minorHAnsi"/>
                <w:b/>
                <w:sz w:val="24"/>
                <w:szCs w:val="24"/>
              </w:rPr>
            </w:pPr>
          </w:p>
          <w:p w14:paraId="549928B5" w14:textId="755311F4" w:rsidR="007A43E0" w:rsidRPr="00381DA2" w:rsidRDefault="008F2D92" w:rsidP="003A66EF">
            <w:pPr>
              <w:spacing w:after="0" w:line="276" w:lineRule="auto"/>
              <w:jc w:val="right"/>
              <w:rPr>
                <w:rFonts w:asciiTheme="majorHAnsi" w:hAnsiTheme="majorHAnsi" w:cstheme="minorHAnsi"/>
                <w:b/>
                <w:sz w:val="24"/>
                <w:szCs w:val="24"/>
              </w:rPr>
            </w:pPr>
            <w:r w:rsidRPr="00381DA2">
              <w:rPr>
                <w:rFonts w:asciiTheme="majorHAnsi" w:hAnsiTheme="majorHAnsi" w:cstheme="minorHAnsi"/>
                <w:b/>
                <w:sz w:val="24"/>
                <w:szCs w:val="24"/>
              </w:rPr>
              <w:t xml:space="preserve">Diana </w:t>
            </w:r>
            <w:proofErr w:type="spellStart"/>
            <w:r w:rsidRPr="00381DA2">
              <w:rPr>
                <w:rFonts w:asciiTheme="majorHAnsi" w:hAnsiTheme="majorHAnsi" w:cstheme="minorHAnsi"/>
                <w:b/>
                <w:sz w:val="24"/>
                <w:szCs w:val="24"/>
              </w:rPr>
              <w:t>Grigoriev</w:t>
            </w:r>
            <w:proofErr w:type="spellEnd"/>
          </w:p>
        </w:tc>
        <w:tc>
          <w:tcPr>
            <w:tcW w:w="815" w:type="dxa"/>
          </w:tcPr>
          <w:p w14:paraId="12BB9527" w14:textId="77777777" w:rsidR="007A43E0" w:rsidRPr="00381DA2" w:rsidRDefault="007A43E0" w:rsidP="003A66EF">
            <w:pPr>
              <w:spacing w:after="0" w:line="276" w:lineRule="auto"/>
              <w:jc w:val="right"/>
              <w:rPr>
                <w:rFonts w:asciiTheme="majorHAnsi" w:hAnsiTheme="majorHAnsi" w:cstheme="minorHAnsi"/>
                <w:b/>
                <w:sz w:val="24"/>
                <w:szCs w:val="24"/>
              </w:rPr>
            </w:pPr>
          </w:p>
        </w:tc>
      </w:tr>
      <w:tr w:rsidR="008633D8" w:rsidRPr="00381DA2" w14:paraId="5B8ECF8F" w14:textId="77777777" w:rsidTr="008633D8">
        <w:trPr>
          <w:trHeight w:val="783"/>
        </w:trPr>
        <w:tc>
          <w:tcPr>
            <w:tcW w:w="3505" w:type="dxa"/>
            <w:shd w:val="clear" w:color="auto" w:fill="auto"/>
          </w:tcPr>
          <w:p w14:paraId="5F1D60D4" w14:textId="77777777" w:rsidR="007365AE" w:rsidRDefault="007365AE" w:rsidP="003A66EF">
            <w:pPr>
              <w:spacing w:after="0" w:line="276" w:lineRule="auto"/>
              <w:jc w:val="both"/>
              <w:rPr>
                <w:rFonts w:asciiTheme="majorHAnsi" w:hAnsiTheme="majorHAnsi" w:cstheme="minorHAnsi"/>
                <w:b/>
                <w:i/>
                <w:sz w:val="24"/>
                <w:szCs w:val="24"/>
              </w:rPr>
            </w:pPr>
          </w:p>
          <w:p w14:paraId="0FEC7AAF" w14:textId="0E1BE498" w:rsidR="008633D8" w:rsidRPr="00381DA2" w:rsidRDefault="008F2D92" w:rsidP="003A66EF">
            <w:pPr>
              <w:spacing w:after="0" w:line="276" w:lineRule="auto"/>
              <w:jc w:val="both"/>
              <w:rPr>
                <w:rFonts w:asciiTheme="majorHAnsi" w:hAnsiTheme="majorHAnsi" w:cstheme="minorHAnsi"/>
                <w:b/>
                <w:i/>
                <w:sz w:val="24"/>
                <w:szCs w:val="24"/>
              </w:rPr>
            </w:pPr>
            <w:r w:rsidRPr="00381DA2">
              <w:rPr>
                <w:rFonts w:asciiTheme="majorHAnsi" w:hAnsiTheme="majorHAnsi" w:cstheme="minorHAnsi"/>
                <w:b/>
                <w:i/>
                <w:sz w:val="24"/>
                <w:szCs w:val="24"/>
              </w:rPr>
              <w:t>Responsabili</w:t>
            </w:r>
            <w:r w:rsidR="008633D8" w:rsidRPr="00381DA2">
              <w:rPr>
                <w:rFonts w:asciiTheme="majorHAnsi" w:hAnsiTheme="majorHAnsi" w:cstheme="minorHAnsi"/>
                <w:b/>
                <w:i/>
                <w:sz w:val="24"/>
                <w:szCs w:val="24"/>
              </w:rPr>
              <w:t xml:space="preserve"> de audit, </w:t>
            </w:r>
          </w:p>
          <w:p w14:paraId="7E2B487D" w14:textId="7736B6B6" w:rsidR="008F2D92" w:rsidRDefault="008F2D92" w:rsidP="00623D39">
            <w:pPr>
              <w:spacing w:after="0" w:line="276" w:lineRule="auto"/>
              <w:ind w:right="-202"/>
              <w:rPr>
                <w:rFonts w:asciiTheme="majorHAnsi" w:hAnsiTheme="majorHAnsi" w:cstheme="minorHAnsi"/>
                <w:sz w:val="24"/>
                <w:szCs w:val="24"/>
              </w:rPr>
            </w:pPr>
            <w:r w:rsidRPr="00381DA2">
              <w:rPr>
                <w:rFonts w:asciiTheme="majorHAnsi" w:eastAsia="Times New Roman" w:hAnsiTheme="majorHAnsi" w:cstheme="minorHAnsi"/>
                <w:sz w:val="24"/>
                <w:szCs w:val="24"/>
                <w:lang w:val="ro-RO" w:eastAsia="ro-MD"/>
              </w:rPr>
              <w:t xml:space="preserve">șefa Direcției </w:t>
            </w:r>
            <w:r w:rsidR="00F155DD">
              <w:rPr>
                <w:rFonts w:asciiTheme="majorHAnsi" w:eastAsia="Times New Roman" w:hAnsiTheme="majorHAnsi" w:cstheme="minorHAnsi"/>
                <w:sz w:val="24"/>
                <w:szCs w:val="24"/>
                <w:lang w:val="ro-RO" w:eastAsia="ro-MD"/>
              </w:rPr>
              <w:t xml:space="preserve">de </w:t>
            </w:r>
            <w:r w:rsidRPr="00381DA2">
              <w:rPr>
                <w:rFonts w:asciiTheme="majorHAnsi" w:eastAsia="Times New Roman" w:hAnsiTheme="majorHAnsi" w:cstheme="minorHAnsi"/>
                <w:sz w:val="24"/>
                <w:szCs w:val="24"/>
                <w:lang w:val="ro-RO" w:eastAsia="ro-MD"/>
              </w:rPr>
              <w:t xml:space="preserve">audit II </w:t>
            </w:r>
            <w:r w:rsidR="007365AE">
              <w:rPr>
                <w:rFonts w:asciiTheme="majorHAnsi" w:eastAsia="Times New Roman" w:hAnsiTheme="majorHAnsi" w:cstheme="minorHAnsi"/>
                <w:sz w:val="24"/>
                <w:szCs w:val="24"/>
                <w:lang w:val="ro-RO" w:eastAsia="ro-MD"/>
              </w:rPr>
              <w:t>î</w:t>
            </w:r>
            <w:r w:rsidRPr="00381DA2">
              <w:rPr>
                <w:rFonts w:asciiTheme="majorHAnsi" w:eastAsia="Times New Roman" w:hAnsiTheme="majorHAnsi" w:cstheme="minorHAnsi"/>
                <w:sz w:val="24"/>
                <w:szCs w:val="24"/>
                <w:lang w:val="ro-RO" w:eastAsia="ro-MD"/>
              </w:rPr>
              <w:t>n cadrul Direcției generale de audit I</w:t>
            </w:r>
            <w:r w:rsidRPr="00381DA2">
              <w:rPr>
                <w:rFonts w:asciiTheme="majorHAnsi" w:hAnsiTheme="majorHAnsi" w:cstheme="minorHAnsi"/>
                <w:sz w:val="24"/>
                <w:szCs w:val="24"/>
              </w:rPr>
              <w:t xml:space="preserve"> </w:t>
            </w:r>
          </w:p>
          <w:p w14:paraId="090C5B72" w14:textId="77777777" w:rsidR="00623D39" w:rsidRPr="00381DA2" w:rsidRDefault="00623D39" w:rsidP="003A66EF">
            <w:pPr>
              <w:spacing w:after="120" w:line="276" w:lineRule="auto"/>
              <w:ind w:right="-202"/>
              <w:rPr>
                <w:rFonts w:asciiTheme="majorHAnsi" w:hAnsiTheme="majorHAnsi" w:cstheme="minorHAnsi"/>
                <w:sz w:val="24"/>
                <w:szCs w:val="24"/>
              </w:rPr>
            </w:pPr>
          </w:p>
          <w:p w14:paraId="5D88D719" w14:textId="77777777" w:rsidR="008633D8" w:rsidRPr="00381DA2" w:rsidRDefault="008633D8" w:rsidP="003A66EF">
            <w:pPr>
              <w:spacing w:after="0" w:line="276" w:lineRule="auto"/>
              <w:ind w:right="-204"/>
              <w:rPr>
                <w:rFonts w:asciiTheme="majorHAnsi" w:hAnsiTheme="majorHAnsi" w:cstheme="minorHAnsi"/>
                <w:b/>
                <w:sz w:val="24"/>
                <w:szCs w:val="24"/>
              </w:rPr>
            </w:pPr>
            <w:r w:rsidRPr="00381DA2">
              <w:rPr>
                <w:rFonts w:asciiTheme="majorHAnsi" w:hAnsiTheme="majorHAnsi" w:cstheme="minorHAnsi"/>
                <w:sz w:val="24"/>
                <w:szCs w:val="24"/>
              </w:rPr>
              <w:t>șefa Direcției generale de audit</w:t>
            </w:r>
            <w:r w:rsidRPr="00381DA2">
              <w:rPr>
                <w:rFonts w:asciiTheme="majorHAnsi" w:hAnsiTheme="majorHAnsi" w:cstheme="minorHAnsi"/>
                <w:i/>
                <w:sz w:val="24"/>
                <w:szCs w:val="24"/>
              </w:rPr>
              <w:t xml:space="preserve"> </w:t>
            </w:r>
            <w:r w:rsidRPr="00381DA2">
              <w:rPr>
                <w:rFonts w:asciiTheme="majorHAnsi" w:hAnsiTheme="majorHAnsi" w:cstheme="minorHAnsi"/>
                <w:sz w:val="24"/>
                <w:szCs w:val="24"/>
              </w:rPr>
              <w:t>I</w:t>
            </w:r>
            <w:r w:rsidRPr="00381DA2">
              <w:rPr>
                <w:rFonts w:asciiTheme="majorHAnsi" w:hAnsiTheme="majorHAnsi" w:cstheme="minorHAnsi"/>
                <w:i/>
                <w:sz w:val="24"/>
                <w:szCs w:val="24"/>
              </w:rPr>
              <w:t xml:space="preserve"> </w:t>
            </w:r>
          </w:p>
          <w:p w14:paraId="65B0C54D" w14:textId="77777777" w:rsidR="008633D8" w:rsidRPr="00381DA2" w:rsidRDefault="008633D8" w:rsidP="003A66EF">
            <w:pPr>
              <w:spacing w:after="0" w:line="276" w:lineRule="auto"/>
              <w:jc w:val="both"/>
              <w:rPr>
                <w:rFonts w:asciiTheme="majorHAnsi" w:hAnsiTheme="majorHAnsi" w:cstheme="minorHAnsi"/>
                <w:b/>
                <w:sz w:val="24"/>
                <w:szCs w:val="24"/>
              </w:rPr>
            </w:pPr>
          </w:p>
        </w:tc>
        <w:tc>
          <w:tcPr>
            <w:tcW w:w="3107" w:type="dxa"/>
          </w:tcPr>
          <w:p w14:paraId="498E1867" w14:textId="77777777" w:rsidR="008633D8" w:rsidRPr="00381DA2" w:rsidRDefault="008633D8" w:rsidP="003A66EF">
            <w:pPr>
              <w:spacing w:after="0" w:line="276" w:lineRule="auto"/>
              <w:jc w:val="right"/>
              <w:rPr>
                <w:rFonts w:asciiTheme="majorHAnsi" w:hAnsiTheme="majorHAnsi" w:cstheme="minorHAnsi"/>
                <w:b/>
                <w:sz w:val="24"/>
                <w:szCs w:val="24"/>
              </w:rPr>
            </w:pPr>
          </w:p>
        </w:tc>
        <w:tc>
          <w:tcPr>
            <w:tcW w:w="2473" w:type="dxa"/>
            <w:shd w:val="clear" w:color="auto" w:fill="auto"/>
          </w:tcPr>
          <w:p w14:paraId="6B4B03CD" w14:textId="77777777" w:rsidR="008633D8" w:rsidRPr="00381DA2" w:rsidRDefault="008633D8" w:rsidP="003A66EF">
            <w:pPr>
              <w:spacing w:after="0" w:line="276" w:lineRule="auto"/>
              <w:jc w:val="right"/>
              <w:rPr>
                <w:rFonts w:asciiTheme="majorHAnsi" w:hAnsiTheme="majorHAnsi" w:cstheme="minorHAnsi"/>
                <w:b/>
                <w:sz w:val="24"/>
                <w:szCs w:val="24"/>
              </w:rPr>
            </w:pPr>
          </w:p>
          <w:p w14:paraId="14A1F357" w14:textId="77777777" w:rsidR="007365AE" w:rsidRDefault="007365AE" w:rsidP="003A66EF">
            <w:pPr>
              <w:spacing w:after="120" w:line="276" w:lineRule="auto"/>
              <w:jc w:val="right"/>
              <w:rPr>
                <w:rFonts w:asciiTheme="majorHAnsi" w:hAnsiTheme="majorHAnsi" w:cstheme="minorHAnsi"/>
                <w:b/>
                <w:sz w:val="24"/>
                <w:szCs w:val="24"/>
              </w:rPr>
            </w:pPr>
          </w:p>
          <w:p w14:paraId="37DDCE41" w14:textId="461B9CA4" w:rsidR="008633D8" w:rsidRDefault="008633D8" w:rsidP="003A66EF">
            <w:pPr>
              <w:spacing w:after="120" w:line="276" w:lineRule="auto"/>
              <w:jc w:val="right"/>
              <w:rPr>
                <w:rFonts w:asciiTheme="majorHAnsi" w:hAnsiTheme="majorHAnsi" w:cstheme="minorHAnsi"/>
                <w:b/>
                <w:sz w:val="24"/>
                <w:szCs w:val="24"/>
              </w:rPr>
            </w:pPr>
            <w:r w:rsidRPr="00381DA2">
              <w:rPr>
                <w:rFonts w:asciiTheme="majorHAnsi" w:hAnsiTheme="majorHAnsi" w:cstheme="minorHAnsi"/>
                <w:b/>
                <w:sz w:val="24"/>
                <w:szCs w:val="24"/>
              </w:rPr>
              <w:t>Angela Frunze</w:t>
            </w:r>
          </w:p>
          <w:p w14:paraId="2C55252F" w14:textId="77777777" w:rsidR="00623D39" w:rsidRPr="00381DA2" w:rsidRDefault="00623D39" w:rsidP="003A66EF">
            <w:pPr>
              <w:spacing w:after="120" w:line="276" w:lineRule="auto"/>
              <w:jc w:val="right"/>
              <w:rPr>
                <w:rFonts w:asciiTheme="majorHAnsi" w:hAnsiTheme="majorHAnsi" w:cstheme="minorHAnsi"/>
                <w:b/>
                <w:sz w:val="24"/>
                <w:szCs w:val="24"/>
              </w:rPr>
            </w:pPr>
          </w:p>
          <w:p w14:paraId="192878C9" w14:textId="77777777" w:rsidR="008633D8" w:rsidRPr="00381DA2" w:rsidRDefault="008633D8" w:rsidP="00623D39">
            <w:pPr>
              <w:spacing w:before="120" w:after="0" w:line="276" w:lineRule="auto"/>
              <w:jc w:val="right"/>
              <w:rPr>
                <w:rFonts w:asciiTheme="majorHAnsi" w:hAnsiTheme="majorHAnsi" w:cstheme="minorHAnsi"/>
                <w:b/>
                <w:sz w:val="24"/>
                <w:szCs w:val="24"/>
              </w:rPr>
            </w:pPr>
            <w:r w:rsidRPr="00381DA2">
              <w:rPr>
                <w:rFonts w:asciiTheme="majorHAnsi" w:hAnsiTheme="majorHAnsi" w:cstheme="minorHAnsi"/>
                <w:b/>
                <w:sz w:val="24"/>
                <w:szCs w:val="24"/>
              </w:rPr>
              <w:t xml:space="preserve">Natalia </w:t>
            </w:r>
            <w:proofErr w:type="spellStart"/>
            <w:r w:rsidRPr="00381DA2">
              <w:rPr>
                <w:rFonts w:asciiTheme="majorHAnsi" w:hAnsiTheme="majorHAnsi" w:cstheme="minorHAnsi"/>
                <w:b/>
                <w:sz w:val="24"/>
                <w:szCs w:val="24"/>
              </w:rPr>
              <w:t>Trofim</w:t>
            </w:r>
            <w:proofErr w:type="spellEnd"/>
          </w:p>
          <w:p w14:paraId="40AE7E20" w14:textId="77777777" w:rsidR="008633D8" w:rsidRPr="00381DA2" w:rsidRDefault="008633D8" w:rsidP="003A66EF">
            <w:pPr>
              <w:spacing w:after="0" w:line="276" w:lineRule="auto"/>
              <w:jc w:val="right"/>
              <w:rPr>
                <w:rFonts w:asciiTheme="majorHAnsi" w:hAnsiTheme="majorHAnsi" w:cstheme="minorHAnsi"/>
                <w:i/>
                <w:sz w:val="24"/>
                <w:szCs w:val="24"/>
              </w:rPr>
            </w:pPr>
          </w:p>
        </w:tc>
        <w:tc>
          <w:tcPr>
            <w:tcW w:w="815" w:type="dxa"/>
          </w:tcPr>
          <w:p w14:paraId="012979EE" w14:textId="77777777" w:rsidR="008633D8" w:rsidRPr="00381DA2" w:rsidRDefault="008633D8" w:rsidP="003A66EF">
            <w:pPr>
              <w:spacing w:after="0" w:line="276" w:lineRule="auto"/>
              <w:jc w:val="right"/>
              <w:rPr>
                <w:rFonts w:asciiTheme="majorHAnsi" w:hAnsiTheme="majorHAnsi" w:cstheme="minorHAnsi"/>
                <w:b/>
                <w:sz w:val="24"/>
                <w:szCs w:val="24"/>
              </w:rPr>
            </w:pPr>
          </w:p>
          <w:p w14:paraId="2F374CF2" w14:textId="77777777" w:rsidR="008633D8" w:rsidRPr="00381DA2" w:rsidRDefault="008633D8" w:rsidP="003A66EF">
            <w:pPr>
              <w:spacing w:after="0" w:line="276" w:lineRule="auto"/>
              <w:jc w:val="right"/>
              <w:rPr>
                <w:rFonts w:asciiTheme="majorHAnsi" w:hAnsiTheme="majorHAnsi" w:cstheme="minorHAnsi"/>
                <w:b/>
                <w:sz w:val="24"/>
                <w:szCs w:val="24"/>
              </w:rPr>
            </w:pPr>
          </w:p>
          <w:p w14:paraId="778F9D34" w14:textId="77777777" w:rsidR="008633D8" w:rsidRPr="00381DA2" w:rsidRDefault="008633D8" w:rsidP="003A66EF">
            <w:pPr>
              <w:spacing w:after="0" w:line="276" w:lineRule="auto"/>
              <w:rPr>
                <w:rFonts w:asciiTheme="majorHAnsi" w:hAnsiTheme="majorHAnsi" w:cstheme="minorHAnsi"/>
                <w:b/>
                <w:sz w:val="24"/>
                <w:szCs w:val="24"/>
              </w:rPr>
            </w:pPr>
          </w:p>
        </w:tc>
      </w:tr>
    </w:tbl>
    <w:p w14:paraId="10BD8655" w14:textId="77777777" w:rsidR="00CB5F81" w:rsidRPr="00381DA2" w:rsidRDefault="00CB5F81" w:rsidP="003A66EF">
      <w:pPr>
        <w:tabs>
          <w:tab w:val="left" w:pos="450"/>
        </w:tabs>
        <w:spacing w:line="276" w:lineRule="auto"/>
        <w:jc w:val="both"/>
        <w:rPr>
          <w:rFonts w:asciiTheme="majorHAnsi" w:hAnsiTheme="majorHAnsi" w:cstheme="minorHAnsi"/>
          <w:sz w:val="24"/>
          <w:szCs w:val="24"/>
        </w:rPr>
        <w:sectPr w:rsidR="00CB5F81" w:rsidRPr="00381DA2" w:rsidSect="00AB7851">
          <w:footerReference w:type="default" r:id="rId20"/>
          <w:footerReference w:type="first" r:id="rId21"/>
          <w:pgSz w:w="11906" w:h="16838" w:code="9"/>
          <w:pgMar w:top="850" w:right="850" w:bottom="720" w:left="1699" w:header="720" w:footer="720" w:gutter="0"/>
          <w:cols w:space="720"/>
          <w:titlePg/>
          <w:docGrid w:linePitch="360"/>
        </w:sectPr>
      </w:pPr>
    </w:p>
    <w:p w14:paraId="51D71523" w14:textId="77777777" w:rsidR="00B5683B" w:rsidRPr="00381DA2" w:rsidRDefault="003424B4" w:rsidP="003A66EF">
      <w:pPr>
        <w:pStyle w:val="Heading1"/>
        <w:spacing w:after="240" w:line="276" w:lineRule="auto"/>
        <w:rPr>
          <w:rFonts w:cstheme="minorHAnsi"/>
          <w:b/>
          <w:color w:val="1F4E79" w:themeColor="accent1" w:themeShade="80"/>
          <w:sz w:val="28"/>
          <w:szCs w:val="28"/>
          <w:lang w:val="ro-MD"/>
        </w:rPr>
      </w:pPr>
      <w:bookmarkStart w:id="53" w:name="_Toc128640827"/>
      <w:r w:rsidRPr="00381DA2">
        <w:rPr>
          <w:rFonts w:cstheme="minorHAnsi"/>
          <w:b/>
          <w:color w:val="1F4E79" w:themeColor="accent1" w:themeShade="80"/>
          <w:sz w:val="28"/>
          <w:szCs w:val="28"/>
          <w:lang w:val="ro-MD"/>
        </w:rPr>
        <w:lastRenderedPageBreak/>
        <w:t>ANEXE</w:t>
      </w:r>
      <w:bookmarkEnd w:id="53"/>
    </w:p>
    <w:p w14:paraId="4352CAA3" w14:textId="77777777" w:rsidR="00940844" w:rsidRPr="00597E4C" w:rsidRDefault="00940844" w:rsidP="00384E3F">
      <w:pPr>
        <w:spacing w:after="0" w:line="276" w:lineRule="auto"/>
        <w:jc w:val="both"/>
        <w:rPr>
          <w:rFonts w:asciiTheme="majorHAnsi" w:eastAsia="Times New Roman" w:hAnsiTheme="majorHAnsi"/>
          <w:b/>
          <w:color w:val="0070C0"/>
          <w:sz w:val="24"/>
          <w:szCs w:val="24"/>
          <w:lang w:eastAsia="ro-MD"/>
        </w:rPr>
      </w:pPr>
      <w:bookmarkStart w:id="54" w:name="_Toc91581317"/>
      <w:bookmarkStart w:id="55" w:name="_Toc123116722"/>
      <w:r w:rsidRPr="00597E4C">
        <w:rPr>
          <w:rFonts w:asciiTheme="majorHAnsi" w:hAnsiTheme="majorHAnsi"/>
          <w:b/>
          <w:color w:val="0070C0"/>
          <w:sz w:val="24"/>
          <w:szCs w:val="24"/>
        </w:rPr>
        <w:t>Anexa nr.1</w:t>
      </w:r>
      <w:bookmarkEnd w:id="54"/>
      <w:r w:rsidRPr="00597E4C">
        <w:rPr>
          <w:rFonts w:asciiTheme="majorHAnsi" w:hAnsiTheme="majorHAnsi"/>
          <w:b/>
          <w:color w:val="0070C0"/>
          <w:sz w:val="24"/>
          <w:szCs w:val="24"/>
        </w:rPr>
        <w:t xml:space="preserve">. Informații aferente </w:t>
      </w:r>
      <w:bookmarkEnd w:id="55"/>
      <w:r w:rsidRPr="00597E4C">
        <w:rPr>
          <w:rFonts w:asciiTheme="majorHAnsi" w:hAnsiTheme="majorHAnsi"/>
          <w:b/>
          <w:color w:val="0070C0"/>
          <w:sz w:val="24"/>
          <w:szCs w:val="24"/>
        </w:rPr>
        <w:t xml:space="preserve">responsabilitățile organelor de administrare a sistemului de acordare a asistenței juridice garantate de stat </w:t>
      </w:r>
    </w:p>
    <w:tbl>
      <w:tblPr>
        <w:tblStyle w:val="PlainTable2"/>
        <w:tblW w:w="9923" w:type="dxa"/>
        <w:tblLook w:val="04A0" w:firstRow="1" w:lastRow="0" w:firstColumn="1" w:lastColumn="0" w:noHBand="0" w:noVBand="1"/>
      </w:tblPr>
      <w:tblGrid>
        <w:gridCol w:w="1985"/>
        <w:gridCol w:w="7938"/>
      </w:tblGrid>
      <w:tr w:rsidR="00940844" w:rsidRPr="00381DA2" w14:paraId="4FC3399B" w14:textId="77777777" w:rsidTr="007C3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34B0C5"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t>Organele de implicate</w:t>
            </w:r>
          </w:p>
        </w:tc>
        <w:tc>
          <w:tcPr>
            <w:tcW w:w="7938" w:type="dxa"/>
          </w:tcPr>
          <w:p w14:paraId="326E6270" w14:textId="77777777" w:rsidR="00940844" w:rsidRPr="00381DA2" w:rsidRDefault="00940844" w:rsidP="003A66EF">
            <w:pPr>
              <w:tabs>
                <w:tab w:val="left" w:pos="586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Funcțiile și atribuțiile entității</w:t>
            </w:r>
          </w:p>
        </w:tc>
      </w:tr>
      <w:tr w:rsidR="00940844" w:rsidRPr="00381DA2" w14:paraId="00B37AF5" w14:textId="77777777" w:rsidTr="007C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85BDC3"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t>Ministerul Justiției</w:t>
            </w:r>
          </w:p>
        </w:tc>
        <w:tc>
          <w:tcPr>
            <w:tcW w:w="7938" w:type="dxa"/>
          </w:tcPr>
          <w:p w14:paraId="18CD9C23" w14:textId="77777777" w:rsidR="00940844" w:rsidRPr="00381DA2" w:rsidRDefault="00940844" w:rsidP="003A66EF">
            <w:pPr>
              <w:pStyle w:val="ListParagraph"/>
              <w:tabs>
                <w:tab w:val="left" w:pos="341"/>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381DA2">
              <w:rPr>
                <w:rFonts w:asciiTheme="majorHAnsi" w:hAnsiTheme="majorHAnsi" w:cstheme="majorHAnsi"/>
                <w:sz w:val="20"/>
                <w:szCs w:val="20"/>
              </w:rPr>
              <w:t>Potrivit art. 9 din Legea 198/2007 funcțiile</w:t>
            </w:r>
            <w:r w:rsidRPr="00381DA2">
              <w:rPr>
                <w:rFonts w:asciiTheme="majorHAnsi" w:hAnsiTheme="majorHAnsi" w:cstheme="majorHAnsi"/>
                <w:sz w:val="20"/>
                <w:szCs w:val="20"/>
                <w:lang w:val="ro-MD"/>
              </w:rPr>
              <w:t xml:space="preserve"> de bază ale Ministerului</w:t>
            </w:r>
            <w:r w:rsidRPr="00381DA2">
              <w:rPr>
                <w:rFonts w:asciiTheme="majorHAnsi" w:hAnsiTheme="majorHAnsi" w:cstheme="majorHAnsi"/>
                <w:sz w:val="20"/>
                <w:szCs w:val="20"/>
              </w:rPr>
              <w:t xml:space="preserve"> în domeniu</w:t>
            </w:r>
            <w:r w:rsidRPr="00381DA2">
              <w:rPr>
                <w:rFonts w:asciiTheme="majorHAnsi" w:hAnsiTheme="majorHAnsi" w:cstheme="majorHAnsi"/>
                <w:sz w:val="20"/>
                <w:szCs w:val="20"/>
                <w:lang w:val="ro-MD"/>
              </w:rPr>
              <w:t xml:space="preserve"> </w:t>
            </w:r>
            <w:r w:rsidRPr="00381DA2">
              <w:rPr>
                <w:rFonts w:asciiTheme="majorHAnsi" w:hAnsiTheme="majorHAnsi" w:cstheme="majorHAnsi"/>
                <w:sz w:val="20"/>
                <w:szCs w:val="20"/>
              </w:rPr>
              <w:t xml:space="preserve">asistenței juridice garantate de stat </w:t>
            </w:r>
            <w:r w:rsidRPr="00381DA2">
              <w:rPr>
                <w:rFonts w:asciiTheme="majorHAnsi" w:hAnsiTheme="majorHAnsi" w:cstheme="majorHAnsi"/>
                <w:sz w:val="20"/>
                <w:szCs w:val="20"/>
                <w:lang w:val="ro-MD"/>
              </w:rPr>
              <w:t>sunt:</w:t>
            </w:r>
          </w:p>
          <w:p w14:paraId="22EBAA55" w14:textId="77777777" w:rsidR="00940844" w:rsidRPr="00381DA2" w:rsidRDefault="00940844" w:rsidP="003A66EF">
            <w:pPr>
              <w:pStyle w:val="ListParagraph"/>
              <w:numPr>
                <w:ilvl w:val="0"/>
                <w:numId w:val="39"/>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elaborarea politicii de stat în domeniul asistenței juridice garantate de stat;</w:t>
            </w:r>
          </w:p>
          <w:p w14:paraId="45F23A86" w14:textId="77777777" w:rsidR="00940844" w:rsidRPr="00381DA2" w:rsidRDefault="00940844" w:rsidP="003A66EF">
            <w:pPr>
              <w:pStyle w:val="ListParagraph"/>
              <w:numPr>
                <w:ilvl w:val="0"/>
                <w:numId w:val="39"/>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381DA2">
              <w:rPr>
                <w:rFonts w:asciiTheme="majorHAnsi" w:hAnsiTheme="majorHAnsi" w:cstheme="majorHAnsi"/>
                <w:sz w:val="20"/>
                <w:szCs w:val="20"/>
              </w:rPr>
              <w:t>elaborarea</w:t>
            </w:r>
            <w:r w:rsidRPr="00381DA2">
              <w:rPr>
                <w:rFonts w:asciiTheme="majorHAnsi" w:hAnsiTheme="majorHAnsi" w:cstheme="majorHAnsi"/>
                <w:sz w:val="20"/>
                <w:szCs w:val="20"/>
                <w:lang w:val="ro-MD"/>
              </w:rPr>
              <w:t xml:space="preserve"> proiecte</w:t>
            </w:r>
            <w:r w:rsidRPr="00381DA2">
              <w:rPr>
                <w:rFonts w:asciiTheme="majorHAnsi" w:hAnsiTheme="majorHAnsi" w:cstheme="majorHAnsi"/>
                <w:sz w:val="20"/>
                <w:szCs w:val="20"/>
              </w:rPr>
              <w:t>lor</w:t>
            </w:r>
            <w:r w:rsidRPr="00381DA2">
              <w:rPr>
                <w:rFonts w:asciiTheme="majorHAnsi" w:hAnsiTheme="majorHAnsi" w:cstheme="majorHAnsi"/>
                <w:sz w:val="20"/>
                <w:szCs w:val="20"/>
                <w:lang w:val="ro-MD"/>
              </w:rPr>
              <w:t xml:space="preserve"> de acte normative în domeniul </w:t>
            </w:r>
            <w:r w:rsidRPr="00381DA2">
              <w:rPr>
                <w:rFonts w:asciiTheme="majorHAnsi" w:hAnsiTheme="majorHAnsi" w:cstheme="majorHAnsi"/>
                <w:sz w:val="20"/>
                <w:szCs w:val="20"/>
              </w:rPr>
              <w:t>asistenței</w:t>
            </w:r>
            <w:r w:rsidRPr="00381DA2">
              <w:rPr>
                <w:rFonts w:asciiTheme="majorHAnsi" w:hAnsiTheme="majorHAnsi" w:cstheme="majorHAnsi"/>
                <w:sz w:val="20"/>
                <w:szCs w:val="20"/>
                <w:lang w:val="ro-MD"/>
              </w:rPr>
              <w:t xml:space="preserve"> juridice garantate de stat;</w:t>
            </w:r>
          </w:p>
          <w:p w14:paraId="78BBF0A1" w14:textId="77777777" w:rsidR="00940844" w:rsidRPr="00381DA2" w:rsidRDefault="00940844" w:rsidP="003A66EF">
            <w:pPr>
              <w:pStyle w:val="ListParagraph"/>
              <w:numPr>
                <w:ilvl w:val="0"/>
                <w:numId w:val="39"/>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381DA2">
              <w:rPr>
                <w:rFonts w:asciiTheme="majorHAnsi" w:hAnsiTheme="majorHAnsi" w:cstheme="majorHAnsi"/>
                <w:sz w:val="20"/>
                <w:szCs w:val="20"/>
              </w:rPr>
              <w:t>monitorizarea procesului de implementare a normelor în domeniul asistenței juridice garantate de stat și procesul de evaluare a calității acestei asistențe;</w:t>
            </w:r>
          </w:p>
          <w:p w14:paraId="5D0B5B67" w14:textId="77777777" w:rsidR="00940844" w:rsidRPr="00381DA2" w:rsidRDefault="00940844" w:rsidP="003A66EF">
            <w:pPr>
              <w:pStyle w:val="ListParagraph"/>
              <w:numPr>
                <w:ilvl w:val="0"/>
                <w:numId w:val="39"/>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elaborarea și prezentarea Ministerului Finanțelor proiectul bugetului acordării de asistență juridică garantată de stat;</w:t>
            </w:r>
          </w:p>
          <w:p w14:paraId="17BE75A2" w14:textId="77777777" w:rsidR="00940844" w:rsidRPr="00381DA2" w:rsidRDefault="00940844" w:rsidP="003A66EF">
            <w:pPr>
              <w:pStyle w:val="ListParagraph"/>
              <w:numPr>
                <w:ilvl w:val="0"/>
                <w:numId w:val="39"/>
              </w:numPr>
              <w:tabs>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381DA2">
              <w:rPr>
                <w:rFonts w:asciiTheme="majorHAnsi" w:hAnsiTheme="majorHAnsi" w:cstheme="majorHAnsi"/>
                <w:sz w:val="20"/>
                <w:szCs w:val="20"/>
                <w:lang w:val="ro-MD"/>
              </w:rPr>
              <w:t>exercitarea altor funcții</w:t>
            </w:r>
            <w:r w:rsidRPr="00381DA2">
              <w:rPr>
                <w:rFonts w:asciiTheme="majorHAnsi" w:hAnsiTheme="majorHAnsi" w:cstheme="majorHAnsi"/>
                <w:sz w:val="20"/>
                <w:szCs w:val="20"/>
              </w:rPr>
              <w:t>, stabilite de</w:t>
            </w:r>
            <w:r w:rsidRPr="00381DA2">
              <w:rPr>
                <w:rFonts w:asciiTheme="majorHAnsi" w:hAnsiTheme="majorHAnsi" w:cstheme="majorHAnsi"/>
                <w:sz w:val="20"/>
                <w:szCs w:val="20"/>
                <w:lang w:val="ro-MD"/>
              </w:rPr>
              <w:t xml:space="preserve">lege, inclusiv </w:t>
            </w:r>
            <w:r w:rsidRPr="00381DA2">
              <w:rPr>
                <w:rFonts w:asciiTheme="majorHAnsi" w:hAnsiTheme="majorHAnsi" w:cstheme="majorHAnsi"/>
                <w:sz w:val="20"/>
                <w:szCs w:val="20"/>
              </w:rPr>
              <w:t>asigură a</w:t>
            </w:r>
            <w:r w:rsidR="003B2803" w:rsidRPr="00381DA2">
              <w:rPr>
                <w:rFonts w:asciiTheme="majorHAnsi" w:hAnsiTheme="majorHAnsi" w:cstheme="majorHAnsi"/>
                <w:sz w:val="20"/>
                <w:szCs w:val="20"/>
                <w:lang w:val="ro-MD"/>
              </w:rPr>
              <w:t>asistența</w:t>
            </w:r>
            <w:r w:rsidRPr="00381DA2">
              <w:rPr>
                <w:rFonts w:asciiTheme="majorHAnsi" w:hAnsiTheme="majorHAnsi" w:cstheme="majorHAnsi"/>
                <w:sz w:val="20"/>
                <w:szCs w:val="20"/>
                <w:lang w:val="ro-MD"/>
              </w:rPr>
              <w:t xml:space="preserve"> </w:t>
            </w:r>
            <w:proofErr w:type="spellStart"/>
            <w:r w:rsidRPr="00381DA2">
              <w:rPr>
                <w:rFonts w:asciiTheme="majorHAnsi" w:hAnsiTheme="majorHAnsi" w:cstheme="majorHAnsi"/>
                <w:sz w:val="20"/>
                <w:szCs w:val="20"/>
                <w:lang w:val="ro-MD"/>
              </w:rPr>
              <w:t>tehnico</w:t>
            </w:r>
            <w:proofErr w:type="spellEnd"/>
            <w:r w:rsidRPr="00381DA2">
              <w:rPr>
                <w:rFonts w:asciiTheme="majorHAnsi" w:hAnsiTheme="majorHAnsi" w:cstheme="majorHAnsi"/>
                <w:sz w:val="20"/>
                <w:szCs w:val="20"/>
                <w:lang w:val="ro-MD"/>
              </w:rPr>
              <w:t xml:space="preserve">-materială a Consiliului </w:t>
            </w:r>
            <w:proofErr w:type="spellStart"/>
            <w:r w:rsidRPr="00381DA2">
              <w:rPr>
                <w:rFonts w:asciiTheme="majorHAnsi" w:hAnsiTheme="majorHAnsi" w:cstheme="majorHAnsi"/>
                <w:sz w:val="20"/>
                <w:szCs w:val="20"/>
                <w:lang w:val="ro-MD"/>
              </w:rPr>
              <w:t>Naţional</w:t>
            </w:r>
            <w:proofErr w:type="spellEnd"/>
            <w:r w:rsidRPr="00381DA2">
              <w:rPr>
                <w:rFonts w:asciiTheme="majorHAnsi" w:hAnsiTheme="majorHAnsi" w:cstheme="majorHAnsi"/>
                <w:sz w:val="20"/>
                <w:szCs w:val="20"/>
                <w:lang w:val="ro-MD"/>
              </w:rPr>
              <w:t xml:space="preserve"> de la bugetul de stat </w:t>
            </w:r>
            <w:proofErr w:type="spellStart"/>
            <w:r w:rsidRPr="00381DA2">
              <w:rPr>
                <w:rFonts w:asciiTheme="majorHAnsi" w:hAnsiTheme="majorHAnsi" w:cstheme="majorHAnsi"/>
                <w:sz w:val="20"/>
                <w:szCs w:val="20"/>
                <w:lang w:val="ro-MD"/>
              </w:rPr>
              <w:t>şi</w:t>
            </w:r>
            <w:proofErr w:type="spellEnd"/>
            <w:r w:rsidRPr="00381DA2">
              <w:rPr>
                <w:rFonts w:asciiTheme="majorHAnsi" w:hAnsiTheme="majorHAnsi" w:cstheme="majorHAnsi"/>
                <w:sz w:val="20"/>
                <w:szCs w:val="20"/>
                <w:lang w:val="ro-MD"/>
              </w:rPr>
              <w:t xml:space="preserve"> din alte surse neinterzise de lege</w:t>
            </w:r>
            <w:r w:rsidRPr="00381DA2">
              <w:rPr>
                <w:rFonts w:asciiTheme="majorHAnsi" w:hAnsiTheme="majorHAnsi" w:cstheme="majorHAnsi"/>
                <w:sz w:val="20"/>
                <w:szCs w:val="20"/>
              </w:rPr>
              <w:t xml:space="preserve"> (art. 11 alin.8 din legea prenotată).</w:t>
            </w:r>
          </w:p>
        </w:tc>
      </w:tr>
      <w:tr w:rsidR="00940844" w:rsidRPr="00381DA2" w14:paraId="5B1CFACE" w14:textId="77777777" w:rsidTr="007C3A7E">
        <w:tc>
          <w:tcPr>
            <w:cnfStyle w:val="001000000000" w:firstRow="0" w:lastRow="0" w:firstColumn="1" w:lastColumn="0" w:oddVBand="0" w:evenVBand="0" w:oddHBand="0" w:evenHBand="0" w:firstRowFirstColumn="0" w:firstRowLastColumn="0" w:lastRowFirstColumn="0" w:lastRowLastColumn="0"/>
            <w:tcW w:w="1985" w:type="dxa"/>
          </w:tcPr>
          <w:p w14:paraId="0080B7D7"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t>Uniunea Avocaților din Republica Moldova și Barourile în domeniul                        asistenței  juridice garantate de stat</w:t>
            </w:r>
          </w:p>
        </w:tc>
        <w:tc>
          <w:tcPr>
            <w:tcW w:w="7938" w:type="dxa"/>
          </w:tcPr>
          <w:p w14:paraId="6519545F" w14:textId="77777777" w:rsidR="00940844" w:rsidRPr="00381DA2" w:rsidRDefault="00940844" w:rsidP="003A66EF">
            <w:pPr>
              <w:tabs>
                <w:tab w:val="left" w:pos="39"/>
              </w:tabs>
              <w:spacing w:line="276" w:lineRule="auto"/>
              <w:ind w:left="3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 xml:space="preserve">În conformitate cu art. 10 din Legea 198/2007, organul de referință, realizează următoarele funcții: </w:t>
            </w:r>
          </w:p>
          <w:p w14:paraId="17C6BEBB" w14:textId="77777777" w:rsidR="00940844" w:rsidRPr="00381DA2" w:rsidRDefault="00940844" w:rsidP="003A66EF">
            <w:pPr>
              <w:numPr>
                <w:ilvl w:val="0"/>
                <w:numId w:val="38"/>
              </w:numPr>
              <w:tabs>
                <w:tab w:val="left" w:pos="322"/>
              </w:tabs>
              <w:spacing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participă la elaborarea criteriilor de selectare a avocaților care să acorde o astfel de asistență;</w:t>
            </w:r>
          </w:p>
          <w:p w14:paraId="3E8FBA9D" w14:textId="77777777" w:rsidR="00940844" w:rsidRPr="00381DA2" w:rsidRDefault="00940844" w:rsidP="003A66EF">
            <w:pPr>
              <w:numPr>
                <w:ilvl w:val="0"/>
                <w:numId w:val="38"/>
              </w:numPr>
              <w:tabs>
                <w:tab w:val="left" w:pos="322"/>
              </w:tabs>
              <w:spacing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participă la stabilirea criteriilor de evaluare a calității acestei asistențe;</w:t>
            </w:r>
          </w:p>
          <w:p w14:paraId="2AF6F918" w14:textId="77777777" w:rsidR="00940844" w:rsidRPr="00381DA2" w:rsidRDefault="00940844" w:rsidP="003A66EF">
            <w:pPr>
              <w:numPr>
                <w:ilvl w:val="0"/>
                <w:numId w:val="38"/>
              </w:numPr>
              <w:tabs>
                <w:tab w:val="left" w:pos="322"/>
              </w:tabs>
              <w:spacing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participă la monitorizarea activității avocaților care acordă o astfel de asistență;</w:t>
            </w:r>
          </w:p>
          <w:p w14:paraId="5FBEE250" w14:textId="77777777" w:rsidR="00940844" w:rsidRPr="00381DA2" w:rsidRDefault="00940844" w:rsidP="003A66EF">
            <w:pPr>
              <w:numPr>
                <w:ilvl w:val="0"/>
                <w:numId w:val="38"/>
              </w:numPr>
              <w:tabs>
                <w:tab w:val="left" w:pos="322"/>
              </w:tabs>
              <w:spacing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aplică sancțiuni disciplinare avocaților, în condițiile Legii cu privire la avocatură și ale prezentei legi;</w:t>
            </w:r>
          </w:p>
          <w:p w14:paraId="38FCF3AD" w14:textId="77777777" w:rsidR="00940844" w:rsidRPr="00381DA2" w:rsidRDefault="00940844" w:rsidP="003A66EF">
            <w:pPr>
              <w:numPr>
                <w:ilvl w:val="0"/>
                <w:numId w:val="38"/>
              </w:numPr>
              <w:tabs>
                <w:tab w:val="left" w:pos="322"/>
              </w:tabs>
              <w:spacing w:line="276" w:lineRule="auto"/>
              <w:ind w:left="39" w:hanging="1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81DA2">
              <w:rPr>
                <w:rFonts w:asciiTheme="majorHAnsi" w:hAnsiTheme="majorHAnsi" w:cstheme="majorHAnsi"/>
                <w:sz w:val="20"/>
                <w:szCs w:val="20"/>
              </w:rPr>
              <w:t>exercită alte funcții, stabilite de legea specială prenotată.</w:t>
            </w:r>
          </w:p>
        </w:tc>
      </w:tr>
      <w:tr w:rsidR="00940844" w:rsidRPr="00381DA2" w14:paraId="5E7D33AD" w14:textId="77777777" w:rsidTr="007C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CE8B34"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t>Consiliul Național pentru Asistență Juridică                        Garantată de Stat</w:t>
            </w:r>
          </w:p>
          <w:p w14:paraId="6BBEFF9D"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p>
        </w:tc>
        <w:tc>
          <w:tcPr>
            <w:tcW w:w="7938" w:type="dxa"/>
          </w:tcPr>
          <w:p w14:paraId="19610CF2" w14:textId="77777777" w:rsidR="00940844" w:rsidRPr="00381DA2" w:rsidRDefault="00940844" w:rsidP="003A66EF">
            <w:pPr>
              <w:pStyle w:val="ListParagraph"/>
              <w:tabs>
                <w:tab w:val="left" w:pos="39"/>
                <w:tab w:val="left" w:pos="322"/>
              </w:tabs>
              <w:spacing w:line="276" w:lineRule="auto"/>
              <w:ind w:left="3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CNAJGS, potrivit art. 12 alin. (1) din Legea 198/2007, realizează următoarele sarcini: </w:t>
            </w:r>
          </w:p>
          <w:p w14:paraId="3B3A617A" w14:textId="77777777" w:rsidR="00940844" w:rsidRPr="00381DA2" w:rsidRDefault="00940844" w:rsidP="003A66EF">
            <w:pPr>
              <w:pStyle w:val="ListParagraph"/>
              <w:numPr>
                <w:ilvl w:val="0"/>
                <w:numId w:val="40"/>
              </w:numPr>
              <w:tabs>
                <w:tab w:val="left" w:pos="39"/>
                <w:tab w:val="left" w:pos="322"/>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realizarea politicii în domeniul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w:t>
            </w:r>
          </w:p>
          <w:p w14:paraId="49BA5CB0"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analiza practicii de implementare a prezentei legi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adoptarea de recomandări în vederea aplicării ei uniforme;</w:t>
            </w:r>
          </w:p>
          <w:p w14:paraId="0D829DD6" w14:textId="77777777" w:rsidR="00940844" w:rsidRPr="00381DA2" w:rsidRDefault="003B2803"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ținerea</w:t>
            </w:r>
            <w:r w:rsidR="00940844" w:rsidRPr="00381DA2">
              <w:rPr>
                <w:rFonts w:asciiTheme="majorHAnsi" w:eastAsia="Times New Roman" w:hAnsiTheme="majorHAnsi" w:cstheme="majorHAnsi"/>
                <w:sz w:val="20"/>
                <w:szCs w:val="20"/>
                <w:lang w:val="ro-MD"/>
              </w:rPr>
              <w:t xml:space="preserve"> registrului </w:t>
            </w:r>
            <w:r w:rsidRPr="00381DA2">
              <w:rPr>
                <w:rFonts w:asciiTheme="majorHAnsi" w:eastAsia="Times New Roman" w:hAnsiTheme="majorHAnsi" w:cstheme="majorHAnsi"/>
                <w:sz w:val="20"/>
                <w:szCs w:val="20"/>
                <w:lang w:val="ro-MD"/>
              </w:rPr>
              <w:t>național</w:t>
            </w:r>
            <w:r w:rsidR="00940844" w:rsidRPr="00381DA2">
              <w:rPr>
                <w:rFonts w:asciiTheme="majorHAnsi" w:eastAsia="Times New Roman" w:hAnsiTheme="majorHAnsi" w:cstheme="majorHAnsi"/>
                <w:sz w:val="20"/>
                <w:szCs w:val="20"/>
                <w:lang w:val="ro-MD"/>
              </w:rPr>
              <w:t xml:space="preserve"> al persoanelor care acordă </w:t>
            </w:r>
            <w:r w:rsidRPr="00381DA2">
              <w:rPr>
                <w:rFonts w:asciiTheme="majorHAnsi" w:eastAsia="Times New Roman" w:hAnsiTheme="majorHAnsi" w:cstheme="majorHAnsi"/>
                <w:sz w:val="20"/>
                <w:szCs w:val="20"/>
                <w:lang w:val="ro-MD"/>
              </w:rPr>
              <w:t>asistență</w:t>
            </w:r>
            <w:r w:rsidR="00940844" w:rsidRPr="00381DA2">
              <w:rPr>
                <w:rFonts w:asciiTheme="majorHAnsi" w:eastAsia="Times New Roman" w:hAnsiTheme="majorHAnsi" w:cstheme="majorHAnsi"/>
                <w:sz w:val="20"/>
                <w:szCs w:val="20"/>
                <w:lang w:val="ro-MD"/>
              </w:rPr>
              <w:t xml:space="preserve"> juridică garantată de stat;</w:t>
            </w:r>
          </w:p>
          <w:p w14:paraId="66EDE2AC"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asigurarea </w:t>
            </w:r>
            <w:r w:rsidR="003B2803" w:rsidRPr="00381DA2">
              <w:rPr>
                <w:rFonts w:asciiTheme="majorHAnsi" w:eastAsia="Times New Roman" w:hAnsiTheme="majorHAnsi" w:cstheme="majorHAnsi"/>
                <w:sz w:val="20"/>
                <w:szCs w:val="20"/>
                <w:lang w:val="ro-MD"/>
              </w:rPr>
              <w:t>funcționării</w:t>
            </w:r>
            <w:r w:rsidRPr="00381DA2">
              <w:rPr>
                <w:rFonts w:asciiTheme="majorHAnsi" w:eastAsia="Times New Roman" w:hAnsiTheme="majorHAnsi" w:cstheme="majorHAnsi"/>
                <w:sz w:val="20"/>
                <w:szCs w:val="20"/>
                <w:lang w:val="ro-MD"/>
              </w:rPr>
              <w:t xml:space="preserve"> aparatului administrativ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a oficiilor sale teritoriale;</w:t>
            </w:r>
          </w:p>
          <w:p w14:paraId="4F1DC8B6"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aprobarea raportului anual de activitate în sistemul de acordare a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prezentarea lui </w:t>
            </w:r>
            <w:r w:rsidR="003B2803" w:rsidRPr="00381DA2">
              <w:rPr>
                <w:rFonts w:asciiTheme="majorHAnsi" w:eastAsia="Times New Roman" w:hAnsiTheme="majorHAnsi" w:cstheme="majorHAnsi"/>
                <w:sz w:val="20"/>
                <w:szCs w:val="20"/>
                <w:lang w:val="ro-MD"/>
              </w:rPr>
              <w:t>MJ</w:t>
            </w:r>
            <w:r w:rsidRPr="00381DA2">
              <w:rPr>
                <w:rFonts w:asciiTheme="majorHAnsi" w:eastAsia="Times New Roman" w:hAnsiTheme="majorHAnsi" w:cstheme="majorHAnsi"/>
                <w:sz w:val="20"/>
                <w:szCs w:val="20"/>
                <w:lang w:val="ro-MD"/>
              </w:rPr>
              <w:t xml:space="preserve">, Guvernului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Parlamentului;</w:t>
            </w:r>
          </w:p>
          <w:p w14:paraId="44A9BAFE" w14:textId="77777777" w:rsidR="007C3A7E"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prezentarea către </w:t>
            </w:r>
            <w:r w:rsidR="003B2803" w:rsidRPr="00381DA2">
              <w:rPr>
                <w:rFonts w:asciiTheme="majorHAnsi" w:eastAsia="Times New Roman" w:hAnsiTheme="majorHAnsi" w:cstheme="majorHAnsi"/>
                <w:sz w:val="20"/>
                <w:szCs w:val="20"/>
                <w:lang w:val="ro-MD"/>
              </w:rPr>
              <w:t>MJ</w:t>
            </w:r>
            <w:r w:rsidRPr="00381DA2">
              <w:rPr>
                <w:rFonts w:asciiTheme="majorHAnsi" w:eastAsia="Times New Roman" w:hAnsiTheme="majorHAnsi" w:cstheme="majorHAnsi"/>
                <w:sz w:val="20"/>
                <w:szCs w:val="20"/>
                <w:lang w:val="ro-MD"/>
              </w:rPr>
              <w:t xml:space="preserve"> a raportului trimestrial privind utilizarea mijloacelor financiare alocate pentru acordarea de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garantată de stat;</w:t>
            </w:r>
          </w:p>
          <w:p w14:paraId="3E778A0D"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prezintă </w:t>
            </w:r>
            <w:r w:rsidR="003B2803" w:rsidRPr="00381DA2">
              <w:rPr>
                <w:rFonts w:asciiTheme="majorHAnsi" w:eastAsia="Times New Roman" w:hAnsiTheme="majorHAnsi" w:cstheme="majorHAnsi"/>
                <w:sz w:val="20"/>
                <w:szCs w:val="20"/>
                <w:lang w:val="ro-MD"/>
              </w:rPr>
              <w:t>MJ</w:t>
            </w:r>
            <w:r w:rsidRPr="00381DA2">
              <w:rPr>
                <w:rFonts w:asciiTheme="majorHAnsi" w:eastAsia="Times New Roman" w:hAnsiTheme="majorHAnsi" w:cstheme="majorHAnsi"/>
                <w:sz w:val="20"/>
                <w:szCs w:val="20"/>
                <w:lang w:val="ro-MD"/>
              </w:rPr>
              <w:t xml:space="preserve"> propuneri privind cheltuielile de acordare a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 pentru a fi incluse în bugetul de stat;</w:t>
            </w:r>
          </w:p>
          <w:p w14:paraId="0AF7DE28"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exercită controlul asupra administrării mijloacelor bugetare alocate pentru acordarea de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garantată de stat;</w:t>
            </w:r>
          </w:p>
          <w:p w14:paraId="6212584E" w14:textId="77777777" w:rsidR="00940844"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elaborează metodologia de calcul al venitului, determină nivelul lui care permite acordarea</w:t>
            </w:r>
            <w:r w:rsidR="004A44EE">
              <w:rPr>
                <w:rFonts w:asciiTheme="majorHAnsi" w:eastAsia="Times New Roman" w:hAnsiTheme="majorHAnsi" w:cstheme="majorHAnsi"/>
                <w:sz w:val="20"/>
                <w:szCs w:val="20"/>
                <w:lang w:val="ro-MD"/>
              </w:rPr>
              <w:t xml:space="preserve"> </w:t>
            </w:r>
            <w:r w:rsidR="004A44EE" w:rsidRPr="004A44EE">
              <w:rPr>
                <w:rFonts w:asciiTheme="majorHAnsi" w:eastAsia="Times New Roman" w:hAnsiTheme="majorHAnsi" w:cstheme="majorHAnsi"/>
                <w:sz w:val="20"/>
                <w:szCs w:val="20"/>
                <w:lang w:val="ro-MD"/>
              </w:rPr>
              <w:t>asistenței juridice calificate și le propune Guvernului spre aprobare;</w:t>
            </w:r>
            <w:r w:rsidRPr="00381DA2">
              <w:rPr>
                <w:rFonts w:asciiTheme="majorHAnsi" w:eastAsia="Times New Roman" w:hAnsiTheme="majorHAnsi" w:cstheme="majorHAnsi"/>
                <w:sz w:val="20"/>
                <w:szCs w:val="20"/>
                <w:lang w:val="ro-MD"/>
              </w:rPr>
              <w:t xml:space="preserve"> </w:t>
            </w:r>
          </w:p>
          <w:p w14:paraId="74D295E1" w14:textId="77777777" w:rsidR="00940844" w:rsidRPr="00381DA2" w:rsidRDefault="003B2803"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stabilește</w:t>
            </w:r>
            <w:r w:rsidR="00940844" w:rsidRPr="00381DA2">
              <w:rPr>
                <w:rFonts w:asciiTheme="majorHAnsi" w:eastAsia="Times New Roman" w:hAnsiTheme="majorHAnsi" w:cstheme="majorHAnsi"/>
                <w:sz w:val="20"/>
                <w:szCs w:val="20"/>
                <w:lang w:val="ro-MD"/>
              </w:rPr>
              <w:t xml:space="preserve"> modul </w:t>
            </w:r>
            <w:r w:rsidRPr="00381DA2">
              <w:rPr>
                <w:rFonts w:asciiTheme="majorHAnsi" w:eastAsia="Times New Roman" w:hAnsiTheme="majorHAnsi" w:cstheme="majorHAnsi"/>
                <w:sz w:val="20"/>
                <w:szCs w:val="20"/>
                <w:lang w:val="ro-MD"/>
              </w:rPr>
              <w:t>și</w:t>
            </w:r>
            <w:r w:rsidR="00940844" w:rsidRPr="00381DA2">
              <w:rPr>
                <w:rFonts w:asciiTheme="majorHAnsi" w:eastAsia="Times New Roman" w:hAnsiTheme="majorHAnsi" w:cstheme="majorHAnsi"/>
                <w:sz w:val="20"/>
                <w:szCs w:val="20"/>
                <w:lang w:val="ro-MD"/>
              </w:rPr>
              <w:t xml:space="preserve"> </w:t>
            </w:r>
            <w:r w:rsidRPr="00381DA2">
              <w:rPr>
                <w:rFonts w:asciiTheme="majorHAnsi" w:eastAsia="Times New Roman" w:hAnsiTheme="majorHAnsi" w:cstheme="majorHAnsi"/>
                <w:sz w:val="20"/>
                <w:szCs w:val="20"/>
                <w:lang w:val="ro-MD"/>
              </w:rPr>
              <w:t>condițiile</w:t>
            </w:r>
            <w:r w:rsidR="00940844" w:rsidRPr="00381DA2">
              <w:rPr>
                <w:rFonts w:asciiTheme="majorHAnsi" w:eastAsia="Times New Roman" w:hAnsiTheme="majorHAnsi" w:cstheme="majorHAnsi"/>
                <w:sz w:val="20"/>
                <w:szCs w:val="20"/>
                <w:lang w:val="ro-MD"/>
              </w:rPr>
              <w:t xml:space="preserve"> de remunerare a persoanelor care acordă </w:t>
            </w:r>
            <w:r w:rsidRPr="00381DA2">
              <w:rPr>
                <w:rFonts w:asciiTheme="majorHAnsi" w:eastAsia="Times New Roman" w:hAnsiTheme="majorHAnsi" w:cstheme="majorHAnsi"/>
                <w:sz w:val="20"/>
                <w:szCs w:val="20"/>
                <w:lang w:val="ro-MD"/>
              </w:rPr>
              <w:t>asistență</w:t>
            </w:r>
            <w:r w:rsidR="00940844" w:rsidRPr="00381DA2">
              <w:rPr>
                <w:rFonts w:asciiTheme="majorHAnsi" w:eastAsia="Times New Roman" w:hAnsiTheme="majorHAnsi" w:cstheme="majorHAnsi"/>
                <w:sz w:val="20"/>
                <w:szCs w:val="20"/>
                <w:lang w:val="ro-MD"/>
              </w:rPr>
              <w:t xml:space="preserve"> juridică garantată de stat;</w:t>
            </w:r>
          </w:p>
          <w:p w14:paraId="4DCCC802" w14:textId="77777777" w:rsidR="007C3A7E" w:rsidRPr="00381DA2" w:rsidRDefault="00940844"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monitorizează procesul de acordare a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calificate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procesul de evaluare a </w:t>
            </w:r>
            <w:r w:rsidR="003B2803" w:rsidRPr="00381DA2">
              <w:rPr>
                <w:rFonts w:asciiTheme="majorHAnsi" w:eastAsia="Times New Roman" w:hAnsiTheme="majorHAnsi" w:cstheme="majorHAnsi"/>
                <w:sz w:val="20"/>
                <w:szCs w:val="20"/>
                <w:lang w:val="ro-MD"/>
              </w:rPr>
              <w:t>calității</w:t>
            </w:r>
            <w:r w:rsidRPr="00381DA2">
              <w:rPr>
                <w:rFonts w:asciiTheme="majorHAnsi" w:eastAsia="Times New Roman" w:hAnsiTheme="majorHAnsi" w:cstheme="majorHAnsi"/>
                <w:sz w:val="20"/>
                <w:szCs w:val="20"/>
                <w:lang w:val="ro-MD"/>
              </w:rPr>
              <w:t xml:space="preserve">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 acordate de persoanele autorizate;</w:t>
            </w:r>
          </w:p>
          <w:p w14:paraId="4421C486" w14:textId="77777777" w:rsidR="007C3A7E" w:rsidRPr="00381DA2" w:rsidRDefault="007C3A7E" w:rsidP="003A66EF">
            <w:pPr>
              <w:pStyle w:val="ListParagraph"/>
              <w:numPr>
                <w:ilvl w:val="0"/>
                <w:numId w:val="40"/>
              </w:numPr>
              <w:tabs>
                <w:tab w:val="left" w:pos="39"/>
                <w:tab w:val="left" w:pos="322"/>
              </w:tabs>
              <w:spacing w:line="276" w:lineRule="auto"/>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exercită alte funcții, stabilite de legea specială prenotată.</w:t>
            </w:r>
          </w:p>
        </w:tc>
      </w:tr>
      <w:tr w:rsidR="00940844" w:rsidRPr="00381DA2" w14:paraId="14798EA2" w14:textId="77777777" w:rsidTr="007C3A7E">
        <w:tc>
          <w:tcPr>
            <w:cnfStyle w:val="001000000000" w:firstRow="0" w:lastRow="0" w:firstColumn="1" w:lastColumn="0" w:oddVBand="0" w:evenVBand="0" w:oddHBand="0" w:evenHBand="0" w:firstRowFirstColumn="0" w:firstRowLastColumn="0" w:lastRowFirstColumn="0" w:lastRowLastColumn="0"/>
            <w:tcW w:w="1985" w:type="dxa"/>
          </w:tcPr>
          <w:p w14:paraId="04345C60"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lastRenderedPageBreak/>
              <w:t>Aparatul administrativ al CNAJGS</w:t>
            </w:r>
          </w:p>
        </w:tc>
        <w:tc>
          <w:tcPr>
            <w:tcW w:w="7938" w:type="dxa"/>
          </w:tcPr>
          <w:p w14:paraId="67C89142" w14:textId="77777777" w:rsidR="00940844" w:rsidRPr="00381DA2" w:rsidRDefault="00940844" w:rsidP="003A66EF">
            <w:pPr>
              <w:pStyle w:val="ListParagraph"/>
              <w:tabs>
                <w:tab w:val="left" w:pos="464"/>
              </w:tabs>
              <w:spacing w:line="276" w:lineRule="auto"/>
              <w:ind w:left="39"/>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rPr>
              <w:t>Conform spețelor art. 11 alin. 7</w:t>
            </w:r>
            <w:r w:rsidRPr="00381DA2">
              <w:rPr>
                <w:rFonts w:asciiTheme="majorHAnsi" w:eastAsia="Times New Roman" w:hAnsiTheme="majorHAnsi" w:cstheme="majorHAnsi"/>
                <w:sz w:val="20"/>
                <w:szCs w:val="20"/>
                <w:vertAlign w:val="superscript"/>
              </w:rPr>
              <w:t xml:space="preserve">1 </w:t>
            </w:r>
            <w:r w:rsidRPr="00381DA2">
              <w:rPr>
                <w:rFonts w:asciiTheme="majorHAnsi" w:eastAsia="Times New Roman" w:hAnsiTheme="majorHAnsi" w:cstheme="majorHAnsi"/>
                <w:sz w:val="20"/>
                <w:szCs w:val="20"/>
              </w:rPr>
              <w:t>, Aparatul administrativ asigură funcționarea CNAJGS.</w:t>
            </w:r>
          </w:p>
        </w:tc>
      </w:tr>
      <w:tr w:rsidR="00940844" w:rsidRPr="00381DA2" w14:paraId="07CCAE80" w14:textId="77777777" w:rsidTr="007C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61A7C8" w14:textId="77777777" w:rsidR="00940844" w:rsidRPr="00381DA2" w:rsidRDefault="00940844" w:rsidP="003A66EF">
            <w:pPr>
              <w:tabs>
                <w:tab w:val="left" w:pos="5869"/>
              </w:tabs>
              <w:spacing w:line="276" w:lineRule="auto"/>
              <w:jc w:val="center"/>
              <w:rPr>
                <w:rFonts w:asciiTheme="majorHAnsi" w:hAnsiTheme="majorHAnsi" w:cstheme="majorHAnsi"/>
                <w:sz w:val="20"/>
                <w:szCs w:val="20"/>
              </w:rPr>
            </w:pPr>
            <w:r w:rsidRPr="00381DA2">
              <w:rPr>
                <w:rFonts w:asciiTheme="majorHAnsi" w:hAnsiTheme="majorHAnsi" w:cstheme="majorHAnsi"/>
                <w:sz w:val="20"/>
                <w:szCs w:val="20"/>
              </w:rPr>
              <w:t>Oficiile Teritoriale ale CNAJGS</w:t>
            </w:r>
          </w:p>
        </w:tc>
        <w:tc>
          <w:tcPr>
            <w:tcW w:w="7938" w:type="dxa"/>
          </w:tcPr>
          <w:p w14:paraId="3B6E6FB6" w14:textId="77777777" w:rsidR="00940844" w:rsidRPr="00381DA2" w:rsidRDefault="00940844" w:rsidP="003A66EF">
            <w:pPr>
              <w:tabs>
                <w:tab w:val="left" w:pos="341"/>
              </w:tabs>
              <w:spacing w:line="276" w:lineRule="auto"/>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rPr>
              <w:t xml:space="preserve">Oficiile teritoriale, potrivit  art.14 alin. (2) din 198/2007, asigură acordarea de </w:t>
            </w:r>
            <w:r w:rsidR="003B2803" w:rsidRPr="00381DA2">
              <w:rPr>
                <w:rFonts w:asciiTheme="majorHAnsi" w:eastAsia="Times New Roman" w:hAnsiTheme="majorHAnsi" w:cstheme="majorHAnsi"/>
                <w:sz w:val="20"/>
                <w:szCs w:val="20"/>
              </w:rPr>
              <w:t>asistență</w:t>
            </w:r>
            <w:r w:rsidRPr="00381DA2">
              <w:rPr>
                <w:rFonts w:asciiTheme="majorHAnsi" w:eastAsia="Times New Roman" w:hAnsiTheme="majorHAnsi" w:cstheme="majorHAnsi"/>
                <w:sz w:val="20"/>
                <w:szCs w:val="20"/>
              </w:rPr>
              <w:t xml:space="preserve"> juridică garantată de stat în raza de activitate a </w:t>
            </w:r>
            <w:r w:rsidR="003B2803" w:rsidRPr="00381DA2">
              <w:rPr>
                <w:rFonts w:asciiTheme="majorHAnsi" w:eastAsia="Times New Roman" w:hAnsiTheme="majorHAnsi" w:cstheme="majorHAnsi"/>
                <w:sz w:val="20"/>
                <w:szCs w:val="20"/>
              </w:rPr>
              <w:t>curții</w:t>
            </w:r>
            <w:r w:rsidRPr="00381DA2">
              <w:rPr>
                <w:rFonts w:asciiTheme="majorHAnsi" w:eastAsia="Times New Roman" w:hAnsiTheme="majorHAnsi" w:cstheme="majorHAnsi"/>
                <w:sz w:val="20"/>
                <w:szCs w:val="20"/>
              </w:rPr>
              <w:t xml:space="preserve"> de apel, prin exercitarea următoarelor </w:t>
            </w:r>
            <w:r w:rsidR="003B2803" w:rsidRPr="00381DA2">
              <w:rPr>
                <w:rFonts w:asciiTheme="majorHAnsi" w:eastAsia="Times New Roman" w:hAnsiTheme="majorHAnsi" w:cstheme="majorHAnsi"/>
                <w:sz w:val="20"/>
                <w:szCs w:val="20"/>
              </w:rPr>
              <w:t>funcții</w:t>
            </w:r>
            <w:r w:rsidRPr="00381DA2">
              <w:rPr>
                <w:rFonts w:asciiTheme="majorHAnsi" w:eastAsia="Times New Roman" w:hAnsiTheme="majorHAnsi" w:cstheme="majorHAnsi"/>
                <w:sz w:val="20"/>
                <w:szCs w:val="20"/>
              </w:rPr>
              <w:t>:</w:t>
            </w:r>
          </w:p>
          <w:p w14:paraId="16C05A9B"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rPr>
              <w:t xml:space="preserve">organizarea acordării de </w:t>
            </w:r>
            <w:r w:rsidR="003B2803" w:rsidRPr="00381DA2">
              <w:rPr>
                <w:rFonts w:asciiTheme="majorHAnsi" w:eastAsia="Times New Roman" w:hAnsiTheme="majorHAnsi" w:cstheme="majorHAnsi"/>
                <w:sz w:val="20"/>
                <w:szCs w:val="20"/>
              </w:rPr>
              <w:t>asistență</w:t>
            </w:r>
            <w:r w:rsidRPr="00381DA2">
              <w:rPr>
                <w:rFonts w:asciiTheme="majorHAnsi" w:eastAsia="Times New Roman" w:hAnsiTheme="majorHAnsi" w:cstheme="majorHAnsi"/>
                <w:sz w:val="20"/>
                <w:szCs w:val="20"/>
              </w:rPr>
              <w:t xml:space="preserve"> juridică garantată de stat; încheierea de contracte cu </w:t>
            </w:r>
            <w:r w:rsidR="003B2803" w:rsidRPr="00381DA2">
              <w:rPr>
                <w:rFonts w:asciiTheme="majorHAnsi" w:eastAsia="Times New Roman" w:hAnsiTheme="majorHAnsi" w:cstheme="majorHAnsi"/>
                <w:sz w:val="20"/>
                <w:szCs w:val="20"/>
              </w:rPr>
              <w:t>avocații</w:t>
            </w:r>
            <w:r w:rsidRPr="00381DA2">
              <w:rPr>
                <w:rFonts w:asciiTheme="majorHAnsi" w:eastAsia="Times New Roman" w:hAnsiTheme="majorHAnsi" w:cstheme="majorHAnsi"/>
                <w:sz w:val="20"/>
                <w:szCs w:val="20"/>
              </w:rPr>
              <w:t xml:space="preserve"> din listele celor care acordă </w:t>
            </w:r>
            <w:r w:rsidR="003B2803" w:rsidRPr="00381DA2">
              <w:rPr>
                <w:rFonts w:asciiTheme="majorHAnsi" w:eastAsia="Times New Roman" w:hAnsiTheme="majorHAnsi" w:cstheme="majorHAnsi"/>
                <w:sz w:val="20"/>
                <w:szCs w:val="20"/>
              </w:rPr>
              <w:t>asistență</w:t>
            </w:r>
            <w:r w:rsidRPr="00381DA2">
              <w:rPr>
                <w:rFonts w:asciiTheme="majorHAnsi" w:eastAsia="Times New Roman" w:hAnsiTheme="majorHAnsi" w:cstheme="majorHAnsi"/>
                <w:sz w:val="20"/>
                <w:szCs w:val="20"/>
              </w:rPr>
              <w:t xml:space="preserve"> juridică garantată de stat;</w:t>
            </w:r>
          </w:p>
          <w:p w14:paraId="6C60BCB4"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lang w:val="ro-MD"/>
              </w:rPr>
              <w:t xml:space="preserve">examinarea cererilor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documentelor prezentate de </w:t>
            </w:r>
            <w:r w:rsidR="003B2803" w:rsidRPr="00381DA2">
              <w:rPr>
                <w:rFonts w:asciiTheme="majorHAnsi" w:eastAsia="Times New Roman" w:hAnsiTheme="majorHAnsi" w:cstheme="majorHAnsi"/>
                <w:sz w:val="20"/>
                <w:szCs w:val="20"/>
                <w:lang w:val="ro-MD"/>
              </w:rPr>
              <w:t>solicitanții</w:t>
            </w:r>
            <w:r w:rsidRPr="00381DA2">
              <w:rPr>
                <w:rFonts w:asciiTheme="majorHAnsi" w:eastAsia="Times New Roman" w:hAnsiTheme="majorHAnsi" w:cstheme="majorHAnsi"/>
                <w:sz w:val="20"/>
                <w:szCs w:val="20"/>
                <w:lang w:val="ro-MD"/>
              </w:rPr>
              <w:t xml:space="preserve"> de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garantată de stat, deciderea asupra acordării unei astfel de </w:t>
            </w:r>
            <w:r w:rsidR="003B2803" w:rsidRPr="00381DA2">
              <w:rPr>
                <w:rFonts w:asciiTheme="majorHAnsi" w:eastAsia="Times New Roman" w:hAnsiTheme="majorHAnsi" w:cstheme="majorHAnsi"/>
                <w:sz w:val="20"/>
                <w:szCs w:val="20"/>
                <w:lang w:val="ro-MD"/>
              </w:rPr>
              <w:t>asistențe</w:t>
            </w:r>
            <w:r w:rsidRPr="00381DA2">
              <w:rPr>
                <w:rFonts w:asciiTheme="majorHAnsi" w:eastAsia="Times New Roman" w:hAnsiTheme="majorHAnsi" w:cstheme="majorHAnsi"/>
                <w:sz w:val="20"/>
                <w:szCs w:val="20"/>
                <w:lang w:val="ro-MD"/>
              </w:rPr>
              <w:t>;</w:t>
            </w:r>
          </w:p>
          <w:p w14:paraId="563441C5"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lang w:val="ro-MD"/>
              </w:rPr>
              <w:t xml:space="preserve">numirea </w:t>
            </w:r>
            <w:r w:rsidR="003B2803" w:rsidRPr="00381DA2">
              <w:rPr>
                <w:rFonts w:asciiTheme="majorHAnsi" w:eastAsia="Times New Roman" w:hAnsiTheme="majorHAnsi" w:cstheme="majorHAnsi"/>
                <w:sz w:val="20"/>
                <w:szCs w:val="20"/>
                <w:lang w:val="ro-MD"/>
              </w:rPr>
              <w:t>avocaților</w:t>
            </w:r>
            <w:r w:rsidRPr="00381DA2">
              <w:rPr>
                <w:rFonts w:asciiTheme="majorHAnsi" w:eastAsia="Times New Roman" w:hAnsiTheme="majorHAnsi" w:cstheme="majorHAnsi"/>
                <w:sz w:val="20"/>
                <w:szCs w:val="20"/>
                <w:lang w:val="ro-MD"/>
              </w:rPr>
              <w:t xml:space="preserve"> care să acorde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calificată, inclusiv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de </w:t>
            </w:r>
            <w:r w:rsidR="003B2803" w:rsidRPr="00381DA2">
              <w:rPr>
                <w:rFonts w:asciiTheme="majorHAnsi" w:eastAsia="Times New Roman" w:hAnsiTheme="majorHAnsi" w:cstheme="majorHAnsi"/>
                <w:sz w:val="20"/>
                <w:szCs w:val="20"/>
                <w:lang w:val="ro-MD"/>
              </w:rPr>
              <w:t>urgență</w:t>
            </w:r>
            <w:r w:rsidRPr="00381DA2">
              <w:rPr>
                <w:rFonts w:asciiTheme="majorHAnsi" w:eastAsia="Times New Roman" w:hAnsiTheme="majorHAnsi" w:cstheme="majorHAnsi"/>
                <w:sz w:val="20"/>
                <w:szCs w:val="20"/>
                <w:lang w:val="ro-MD"/>
              </w:rPr>
              <w:t>; încheierea de contracte de colaborare cu para-</w:t>
            </w:r>
            <w:r w:rsidR="003B2803" w:rsidRPr="00381DA2">
              <w:rPr>
                <w:rFonts w:asciiTheme="majorHAnsi" w:eastAsia="Times New Roman" w:hAnsiTheme="majorHAnsi" w:cstheme="majorHAnsi"/>
                <w:sz w:val="20"/>
                <w:szCs w:val="20"/>
                <w:lang w:val="ro-MD"/>
              </w:rPr>
              <w:t>juriștii</w:t>
            </w:r>
            <w:r w:rsidRPr="00381DA2">
              <w:rPr>
                <w:rFonts w:asciiTheme="majorHAnsi" w:eastAsia="Times New Roman" w:hAnsiTheme="majorHAnsi" w:cstheme="majorHAnsi"/>
                <w:sz w:val="20"/>
                <w:szCs w:val="20"/>
                <w:lang w:val="ro-MD"/>
              </w:rPr>
              <w:t xml:space="preserve"> </w:t>
            </w:r>
            <w:r w:rsidR="003B2803" w:rsidRPr="00381DA2">
              <w:rPr>
                <w:rFonts w:asciiTheme="majorHAnsi" w:eastAsia="Times New Roman" w:hAnsiTheme="majorHAnsi" w:cstheme="majorHAnsi"/>
                <w:sz w:val="20"/>
                <w:szCs w:val="20"/>
                <w:lang w:val="ro-MD"/>
              </w:rPr>
              <w:t>și</w:t>
            </w:r>
            <w:r w:rsidRPr="00381DA2">
              <w:rPr>
                <w:rFonts w:asciiTheme="majorHAnsi" w:eastAsia="Times New Roman" w:hAnsiTheme="majorHAnsi" w:cstheme="majorHAnsi"/>
                <w:sz w:val="20"/>
                <w:szCs w:val="20"/>
                <w:lang w:val="ro-MD"/>
              </w:rPr>
              <w:t xml:space="preserve"> cu </w:t>
            </w:r>
            <w:r w:rsidR="003B2803" w:rsidRPr="00381DA2">
              <w:rPr>
                <w:rFonts w:asciiTheme="majorHAnsi" w:eastAsia="Times New Roman" w:hAnsiTheme="majorHAnsi" w:cstheme="majorHAnsi"/>
                <w:sz w:val="20"/>
                <w:szCs w:val="20"/>
                <w:lang w:val="ro-MD"/>
              </w:rPr>
              <w:t>asociațiile</w:t>
            </w:r>
            <w:r w:rsidRPr="00381DA2">
              <w:rPr>
                <w:rFonts w:asciiTheme="majorHAnsi" w:eastAsia="Times New Roman" w:hAnsiTheme="majorHAnsi" w:cstheme="majorHAnsi"/>
                <w:sz w:val="20"/>
                <w:szCs w:val="20"/>
                <w:lang w:val="ro-MD"/>
              </w:rPr>
              <w:t xml:space="preserve"> </w:t>
            </w:r>
            <w:r w:rsidR="003B2803" w:rsidRPr="00381DA2">
              <w:rPr>
                <w:rFonts w:asciiTheme="majorHAnsi" w:eastAsia="Times New Roman" w:hAnsiTheme="majorHAnsi" w:cstheme="majorHAnsi"/>
                <w:sz w:val="20"/>
                <w:szCs w:val="20"/>
                <w:lang w:val="ro-MD"/>
              </w:rPr>
              <w:t>obștești</w:t>
            </w:r>
            <w:r w:rsidRPr="00381DA2">
              <w:rPr>
                <w:rFonts w:asciiTheme="majorHAnsi" w:eastAsia="Times New Roman" w:hAnsiTheme="majorHAnsi" w:cstheme="majorHAnsi"/>
                <w:sz w:val="20"/>
                <w:szCs w:val="20"/>
                <w:lang w:val="ro-MD"/>
              </w:rPr>
              <w:t xml:space="preserve"> care acordă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garantată de stat;</w:t>
            </w:r>
          </w:p>
          <w:p w14:paraId="2DCC107D"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lang w:val="ro-MD"/>
              </w:rPr>
              <w:t xml:space="preserve">colectarea de date statistice referitor la </w:t>
            </w:r>
            <w:r w:rsidR="003B2803" w:rsidRPr="00381DA2">
              <w:rPr>
                <w:rFonts w:asciiTheme="majorHAnsi" w:eastAsia="Times New Roman" w:hAnsiTheme="majorHAnsi" w:cstheme="majorHAnsi"/>
                <w:sz w:val="20"/>
                <w:szCs w:val="20"/>
                <w:lang w:val="ro-MD"/>
              </w:rPr>
              <w:t>necesitățile</w:t>
            </w:r>
            <w:r w:rsidRPr="00381DA2">
              <w:rPr>
                <w:rFonts w:asciiTheme="majorHAnsi" w:eastAsia="Times New Roman" w:hAnsiTheme="majorHAnsi" w:cstheme="majorHAnsi"/>
                <w:sz w:val="20"/>
                <w:szCs w:val="20"/>
                <w:lang w:val="ro-MD"/>
              </w:rPr>
              <w:t xml:space="preserve"> de </w:t>
            </w:r>
            <w:r w:rsidR="003B2803" w:rsidRPr="00381DA2">
              <w:rPr>
                <w:rFonts w:asciiTheme="majorHAnsi" w:eastAsia="Times New Roman" w:hAnsiTheme="majorHAnsi" w:cstheme="majorHAnsi"/>
                <w:sz w:val="20"/>
                <w:szCs w:val="20"/>
                <w:lang w:val="ro-MD"/>
              </w:rPr>
              <w:t>asistență</w:t>
            </w:r>
            <w:r w:rsidRPr="00381DA2">
              <w:rPr>
                <w:rFonts w:asciiTheme="majorHAnsi" w:eastAsia="Times New Roman" w:hAnsiTheme="majorHAnsi" w:cstheme="majorHAnsi"/>
                <w:sz w:val="20"/>
                <w:szCs w:val="20"/>
                <w:lang w:val="ro-MD"/>
              </w:rPr>
              <w:t xml:space="preserve"> juridică garantată de stat </w:t>
            </w:r>
            <w:proofErr w:type="spellStart"/>
            <w:r w:rsidRPr="00381DA2">
              <w:rPr>
                <w:rFonts w:asciiTheme="majorHAnsi" w:eastAsia="Times New Roman" w:hAnsiTheme="majorHAnsi" w:cstheme="majorHAnsi"/>
                <w:sz w:val="20"/>
                <w:szCs w:val="20"/>
                <w:lang w:val="ro-MD"/>
              </w:rPr>
              <w:t>şi</w:t>
            </w:r>
            <w:proofErr w:type="spellEnd"/>
            <w:r w:rsidRPr="00381DA2">
              <w:rPr>
                <w:rFonts w:asciiTheme="majorHAnsi" w:eastAsia="Times New Roman" w:hAnsiTheme="majorHAnsi" w:cstheme="majorHAnsi"/>
                <w:sz w:val="20"/>
                <w:szCs w:val="20"/>
                <w:lang w:val="ro-MD"/>
              </w:rPr>
              <w:t xml:space="preserve"> la nivelul lor de acoperire în teritoriu;</w:t>
            </w:r>
          </w:p>
          <w:p w14:paraId="08A150CC"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lang w:val="ro-MD"/>
              </w:rPr>
              <w:t xml:space="preserve">reprezentarea intereselor statului în procesele ce țin de contestarea deciziei privind recuperarea cheltuielilor pentru acordarea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w:t>
            </w:r>
          </w:p>
          <w:p w14:paraId="2FA55D3B" w14:textId="77777777" w:rsidR="00940844" w:rsidRPr="00381DA2" w:rsidRDefault="00940844" w:rsidP="003A66EF">
            <w:pPr>
              <w:pStyle w:val="ListParagraph"/>
              <w:numPr>
                <w:ilvl w:val="0"/>
                <w:numId w:val="41"/>
              </w:numPr>
              <w:tabs>
                <w:tab w:val="left" w:pos="314"/>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81DA2">
              <w:rPr>
                <w:rFonts w:asciiTheme="majorHAnsi" w:eastAsia="Times New Roman" w:hAnsiTheme="majorHAnsi" w:cstheme="majorHAnsi"/>
                <w:sz w:val="20"/>
                <w:szCs w:val="20"/>
                <w:lang w:val="ro-MD"/>
              </w:rPr>
              <w:t xml:space="preserve">solicitarea intentării procedurii de executare silită a deciziei privind recuperarea cheltuielilor pentru acordarea </w:t>
            </w:r>
            <w:r w:rsidR="003B2803" w:rsidRPr="00381DA2">
              <w:rPr>
                <w:rFonts w:asciiTheme="majorHAnsi" w:eastAsia="Times New Roman" w:hAnsiTheme="majorHAnsi" w:cstheme="majorHAnsi"/>
                <w:sz w:val="20"/>
                <w:szCs w:val="20"/>
                <w:lang w:val="ro-MD"/>
              </w:rPr>
              <w:t>asistenței</w:t>
            </w:r>
            <w:r w:rsidRPr="00381DA2">
              <w:rPr>
                <w:rFonts w:asciiTheme="majorHAnsi" w:eastAsia="Times New Roman" w:hAnsiTheme="majorHAnsi" w:cstheme="majorHAnsi"/>
                <w:sz w:val="20"/>
                <w:szCs w:val="20"/>
                <w:lang w:val="ro-MD"/>
              </w:rPr>
              <w:t xml:space="preserve"> juridice garantate de stat;</w:t>
            </w:r>
          </w:p>
          <w:p w14:paraId="75F65FF8" w14:textId="77777777" w:rsidR="00940844" w:rsidRPr="00381DA2" w:rsidRDefault="00940844" w:rsidP="003A66EF">
            <w:pPr>
              <w:pStyle w:val="ListParagraph"/>
              <w:numPr>
                <w:ilvl w:val="0"/>
                <w:numId w:val="41"/>
              </w:numPr>
              <w:tabs>
                <w:tab w:val="left" w:pos="314"/>
                <w:tab w:val="left" w:pos="455"/>
              </w:tabs>
              <w:spacing w:line="276" w:lineRule="auto"/>
              <w:ind w:left="30"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381DA2">
              <w:rPr>
                <w:rFonts w:asciiTheme="majorHAnsi" w:eastAsia="Times New Roman" w:hAnsiTheme="majorHAnsi" w:cstheme="majorHAnsi"/>
                <w:sz w:val="20"/>
                <w:szCs w:val="20"/>
                <w:lang w:val="ro-MD"/>
              </w:rPr>
              <w:t xml:space="preserve">îndeplinirea altor </w:t>
            </w:r>
            <w:r w:rsidR="003B2803" w:rsidRPr="00381DA2">
              <w:rPr>
                <w:rFonts w:asciiTheme="majorHAnsi" w:eastAsia="Times New Roman" w:hAnsiTheme="majorHAnsi" w:cstheme="majorHAnsi"/>
                <w:sz w:val="20"/>
                <w:szCs w:val="20"/>
                <w:lang w:val="ro-MD"/>
              </w:rPr>
              <w:t>funcții</w:t>
            </w:r>
            <w:r w:rsidRPr="00381DA2">
              <w:rPr>
                <w:rFonts w:asciiTheme="majorHAnsi" w:eastAsia="Times New Roman" w:hAnsiTheme="majorHAnsi" w:cstheme="majorHAnsi"/>
                <w:sz w:val="20"/>
                <w:szCs w:val="20"/>
                <w:lang w:val="ro-MD"/>
              </w:rPr>
              <w:t>, în conformitate cu lege</w:t>
            </w:r>
            <w:r w:rsidRPr="00381DA2">
              <w:rPr>
                <w:rFonts w:asciiTheme="majorHAnsi" w:eastAsia="Times New Roman" w:hAnsiTheme="majorHAnsi" w:cstheme="majorHAnsi"/>
                <w:sz w:val="20"/>
                <w:szCs w:val="20"/>
              </w:rPr>
              <w:t>a prenotată</w:t>
            </w:r>
            <w:r w:rsidRPr="00381DA2">
              <w:rPr>
                <w:rFonts w:asciiTheme="majorHAnsi" w:eastAsia="Times New Roman" w:hAnsiTheme="majorHAnsi" w:cstheme="majorHAnsi"/>
                <w:sz w:val="20"/>
                <w:szCs w:val="20"/>
                <w:lang w:val="ro-MD"/>
              </w:rPr>
              <w:t>.</w:t>
            </w:r>
          </w:p>
        </w:tc>
      </w:tr>
    </w:tbl>
    <w:p w14:paraId="524F0C49" w14:textId="77777777" w:rsidR="00940844" w:rsidRPr="00381DA2" w:rsidRDefault="00940844" w:rsidP="003A66EF">
      <w:pPr>
        <w:pStyle w:val="NormalWeb"/>
        <w:tabs>
          <w:tab w:val="left" w:pos="5869"/>
        </w:tabs>
        <w:spacing w:after="360" w:line="276" w:lineRule="auto"/>
        <w:rPr>
          <w:rFonts w:asciiTheme="majorHAnsi" w:eastAsia="Times New Roman" w:hAnsiTheme="majorHAnsi" w:cstheme="majorHAnsi"/>
          <w:i/>
          <w:sz w:val="20"/>
          <w:szCs w:val="20"/>
          <w:lang w:val="ro-MD" w:eastAsia="ro-MD"/>
        </w:rPr>
      </w:pPr>
      <w:r w:rsidRPr="00381DA2">
        <w:rPr>
          <w:rFonts w:asciiTheme="majorHAnsi" w:eastAsia="Times New Roman" w:hAnsiTheme="majorHAnsi" w:cstheme="majorHAnsi"/>
          <w:b/>
          <w:i/>
          <w:sz w:val="20"/>
          <w:szCs w:val="20"/>
          <w:lang w:val="ro-MD" w:eastAsia="ro-MD"/>
        </w:rPr>
        <w:t>Sursă:</w:t>
      </w:r>
      <w:r w:rsidRPr="00381DA2">
        <w:rPr>
          <w:rFonts w:asciiTheme="majorHAnsi" w:eastAsia="Times New Roman" w:hAnsiTheme="majorHAnsi" w:cstheme="majorHAnsi"/>
          <w:i/>
          <w:sz w:val="20"/>
          <w:szCs w:val="20"/>
          <w:lang w:val="ro-MD" w:eastAsia="ro-MD"/>
        </w:rPr>
        <w:t xml:space="preserve"> Elaborată în baza  prevederilor legale.</w:t>
      </w:r>
    </w:p>
    <w:p w14:paraId="3D9737AB" w14:textId="77777777" w:rsidR="002C5A96" w:rsidRPr="00597E4C" w:rsidRDefault="002C5A96" w:rsidP="002C5A96">
      <w:pPr>
        <w:spacing w:before="240" w:after="0" w:line="276" w:lineRule="auto"/>
        <w:rPr>
          <w:rFonts w:asciiTheme="majorHAnsi" w:eastAsia="Times New Roman" w:hAnsiTheme="majorHAnsi" w:cstheme="majorHAnsi"/>
          <w:b/>
          <w:i/>
          <w:sz w:val="24"/>
          <w:szCs w:val="24"/>
        </w:rPr>
      </w:pPr>
      <w:r>
        <w:rPr>
          <w:rFonts w:asciiTheme="majorHAnsi" w:hAnsiTheme="majorHAnsi"/>
          <w:b/>
          <w:color w:val="0070C0"/>
          <w:sz w:val="24"/>
          <w:szCs w:val="24"/>
        </w:rPr>
        <w:t>Anexa nr.2</w:t>
      </w:r>
      <w:r w:rsidRPr="00597E4C">
        <w:rPr>
          <w:rFonts w:asciiTheme="majorHAnsi" w:hAnsiTheme="majorHAnsi"/>
          <w:b/>
          <w:color w:val="0070C0"/>
          <w:sz w:val="24"/>
          <w:szCs w:val="24"/>
        </w:rPr>
        <w:t>. Executarea pe domenii a indicatorilor bugetari față de sumele planificate/precizate, precum și comparativ cu perioadele precedente, pentru anii 2020-2022</w:t>
      </w:r>
    </w:p>
    <w:p w14:paraId="6D3F6B38" w14:textId="77777777" w:rsidR="002C5A96" w:rsidRPr="00381DA2" w:rsidRDefault="002C5A96" w:rsidP="002C5A96">
      <w:pPr>
        <w:spacing w:after="0" w:line="276" w:lineRule="auto"/>
        <w:rPr>
          <w:rFonts w:asciiTheme="majorHAnsi" w:hAnsiTheme="majorHAnsi"/>
        </w:rPr>
      </w:pPr>
      <w:r w:rsidRPr="00381DA2">
        <w:rPr>
          <w:rFonts w:asciiTheme="majorHAnsi" w:hAnsiTheme="majorHAnsi"/>
          <w:noProof/>
          <w:lang w:val="en-US"/>
        </w:rPr>
        <w:drawing>
          <wp:inline distT="0" distB="0" distL="0" distR="0" wp14:anchorId="0418FA22" wp14:editId="4D40A159">
            <wp:extent cx="5941695" cy="280869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695" cy="2808696"/>
                    </a:xfrm>
                    <a:prstGeom prst="rect">
                      <a:avLst/>
                    </a:prstGeom>
                    <a:noFill/>
                    <a:ln>
                      <a:noFill/>
                    </a:ln>
                  </pic:spPr>
                </pic:pic>
              </a:graphicData>
            </a:graphic>
          </wp:inline>
        </w:drawing>
      </w:r>
    </w:p>
    <w:p w14:paraId="350123DA" w14:textId="77777777" w:rsidR="002C5A96" w:rsidRPr="00381DA2" w:rsidRDefault="002C5A96" w:rsidP="002C5A96">
      <w:pPr>
        <w:spacing w:line="276" w:lineRule="auto"/>
        <w:rPr>
          <w:rFonts w:asciiTheme="majorHAnsi" w:hAnsiTheme="majorHAnsi"/>
          <w:i/>
          <w:sz w:val="20"/>
          <w:szCs w:val="20"/>
        </w:rPr>
      </w:pPr>
      <w:r w:rsidRPr="00381DA2">
        <w:rPr>
          <w:rFonts w:asciiTheme="majorHAnsi" w:hAnsiTheme="majorHAnsi"/>
          <w:b/>
          <w:i/>
          <w:sz w:val="20"/>
          <w:szCs w:val="20"/>
        </w:rPr>
        <w:t>Sursa:</w:t>
      </w:r>
      <w:r w:rsidRPr="00381DA2">
        <w:rPr>
          <w:rFonts w:asciiTheme="majorHAnsi" w:hAnsiTheme="majorHAnsi"/>
          <w:i/>
          <w:sz w:val="20"/>
          <w:szCs w:val="20"/>
        </w:rPr>
        <w:t xml:space="preserve"> Rapoartele anuale ale CNAJGS precum și informații prezentate de Aparatul administrativ al CNAJGS</w:t>
      </w:r>
    </w:p>
    <w:p w14:paraId="07C93A3D" w14:textId="77777777" w:rsidR="00392E4B" w:rsidRDefault="00392E4B" w:rsidP="003A66EF">
      <w:pPr>
        <w:spacing w:line="276" w:lineRule="auto"/>
        <w:jc w:val="both"/>
        <w:rPr>
          <w:rFonts w:asciiTheme="majorHAnsi" w:hAnsiTheme="majorHAnsi"/>
          <w:b/>
          <w:color w:val="0070C0"/>
          <w:sz w:val="24"/>
          <w:szCs w:val="24"/>
        </w:rPr>
      </w:pPr>
    </w:p>
    <w:p w14:paraId="4DCBFA0B" w14:textId="77777777" w:rsidR="00392E4B" w:rsidRDefault="00392E4B" w:rsidP="003A66EF">
      <w:pPr>
        <w:spacing w:line="276" w:lineRule="auto"/>
        <w:jc w:val="both"/>
        <w:rPr>
          <w:rFonts w:asciiTheme="majorHAnsi" w:hAnsiTheme="majorHAnsi"/>
          <w:b/>
          <w:color w:val="0070C0"/>
          <w:sz w:val="24"/>
          <w:szCs w:val="24"/>
        </w:rPr>
      </w:pPr>
    </w:p>
    <w:p w14:paraId="25446791" w14:textId="77777777" w:rsidR="00392E4B" w:rsidRDefault="00392E4B" w:rsidP="003A66EF">
      <w:pPr>
        <w:spacing w:line="276" w:lineRule="auto"/>
        <w:jc w:val="both"/>
        <w:rPr>
          <w:rFonts w:asciiTheme="majorHAnsi" w:hAnsiTheme="majorHAnsi"/>
          <w:b/>
          <w:color w:val="0070C0"/>
          <w:sz w:val="24"/>
          <w:szCs w:val="24"/>
        </w:rPr>
      </w:pPr>
    </w:p>
    <w:p w14:paraId="4C45EAE9" w14:textId="77777777" w:rsidR="00940844" w:rsidRPr="00597E4C" w:rsidRDefault="002C5A96" w:rsidP="003A66EF">
      <w:pPr>
        <w:spacing w:line="276" w:lineRule="auto"/>
        <w:jc w:val="both"/>
        <w:rPr>
          <w:rFonts w:asciiTheme="majorHAnsi" w:hAnsiTheme="majorHAnsi"/>
          <w:b/>
          <w:color w:val="0070C0"/>
          <w:sz w:val="24"/>
          <w:szCs w:val="24"/>
        </w:rPr>
      </w:pPr>
      <w:r>
        <w:rPr>
          <w:rFonts w:asciiTheme="majorHAnsi" w:hAnsiTheme="majorHAnsi"/>
          <w:b/>
          <w:color w:val="0070C0"/>
          <w:sz w:val="24"/>
          <w:szCs w:val="24"/>
        </w:rPr>
        <w:lastRenderedPageBreak/>
        <w:t>Anexa nr.3</w:t>
      </w:r>
      <w:r w:rsidR="00940844" w:rsidRPr="00597E4C">
        <w:rPr>
          <w:rFonts w:asciiTheme="majorHAnsi" w:hAnsiTheme="majorHAnsi"/>
          <w:b/>
          <w:color w:val="0070C0"/>
          <w:sz w:val="24"/>
          <w:szCs w:val="24"/>
        </w:rPr>
        <w:t>. Repartizarea prestatorilor de servicii de AJGS contractați de OT ale CNAJGS  în perioada anilor 2020-2022 în dependență de tipuri a acestora</w:t>
      </w:r>
    </w:p>
    <w:tbl>
      <w:tblPr>
        <w:tblW w:w="8160" w:type="dxa"/>
        <w:jc w:val="center"/>
        <w:tblLook w:val="04A0" w:firstRow="1" w:lastRow="0" w:firstColumn="1" w:lastColumn="0" w:noHBand="0" w:noVBand="1"/>
      </w:tblPr>
      <w:tblGrid>
        <w:gridCol w:w="961"/>
        <w:gridCol w:w="1759"/>
        <w:gridCol w:w="1000"/>
        <w:gridCol w:w="1105"/>
        <w:gridCol w:w="1089"/>
        <w:gridCol w:w="1229"/>
        <w:gridCol w:w="1017"/>
      </w:tblGrid>
      <w:tr w:rsidR="00940844" w:rsidRPr="00381DA2" w14:paraId="1E337456" w14:textId="77777777" w:rsidTr="00FD546B">
        <w:trPr>
          <w:trHeight w:val="792"/>
          <w:jc w:val="center"/>
        </w:trPr>
        <w:tc>
          <w:tcPr>
            <w:tcW w:w="96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151C031" w14:textId="77777777" w:rsidR="00940844" w:rsidRPr="00381DA2" w:rsidRDefault="00940844" w:rsidP="003A66EF">
            <w:pPr>
              <w:spacing w:after="0" w:line="276" w:lineRule="auto"/>
              <w:ind w:hanging="110"/>
              <w:jc w:val="center"/>
              <w:rPr>
                <w:rFonts w:asciiTheme="majorHAnsi" w:eastAsia="Times New Roman" w:hAnsiTheme="majorHAnsi" w:cs="Calibri"/>
                <w:b/>
                <w:bCs/>
                <w:color w:val="000000"/>
              </w:rPr>
            </w:pPr>
            <w:r w:rsidRPr="00381DA2">
              <w:rPr>
                <w:rFonts w:asciiTheme="majorHAnsi" w:eastAsia="Times New Roman" w:hAnsiTheme="majorHAnsi" w:cs="Calibri"/>
                <w:b/>
                <w:bCs/>
                <w:color w:val="000000"/>
              </w:rPr>
              <w:t>Perioada</w:t>
            </w:r>
          </w:p>
        </w:tc>
        <w:tc>
          <w:tcPr>
            <w:tcW w:w="1759" w:type="dxa"/>
            <w:tcBorders>
              <w:top w:val="single" w:sz="4" w:space="0" w:color="auto"/>
              <w:left w:val="nil"/>
              <w:bottom w:val="single" w:sz="4" w:space="0" w:color="auto"/>
              <w:right w:val="single" w:sz="4" w:space="0" w:color="auto"/>
            </w:tcBorders>
            <w:shd w:val="clear" w:color="000000" w:fill="DDEBF7"/>
            <w:vAlign w:val="center"/>
            <w:hideMark/>
          </w:tcPr>
          <w:p w14:paraId="2846DF95" w14:textId="77777777" w:rsidR="00940844" w:rsidRPr="00381DA2" w:rsidRDefault="00940844" w:rsidP="003A66EF">
            <w:pPr>
              <w:spacing w:after="0" w:line="276" w:lineRule="auto"/>
              <w:ind w:firstLineChars="200" w:firstLine="400"/>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Tipul de prestatori de AJGS</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41FC316B"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OT Chișinău</w:t>
            </w:r>
          </w:p>
        </w:tc>
        <w:tc>
          <w:tcPr>
            <w:tcW w:w="1105" w:type="dxa"/>
            <w:tcBorders>
              <w:top w:val="single" w:sz="4" w:space="0" w:color="auto"/>
              <w:left w:val="nil"/>
              <w:bottom w:val="single" w:sz="4" w:space="0" w:color="auto"/>
              <w:right w:val="single" w:sz="4" w:space="0" w:color="auto"/>
            </w:tcBorders>
            <w:shd w:val="clear" w:color="000000" w:fill="DDEBF7"/>
            <w:vAlign w:val="center"/>
            <w:hideMark/>
          </w:tcPr>
          <w:p w14:paraId="0300AAFE"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OT Bălți</w:t>
            </w:r>
          </w:p>
        </w:tc>
        <w:tc>
          <w:tcPr>
            <w:tcW w:w="1089" w:type="dxa"/>
            <w:tcBorders>
              <w:top w:val="single" w:sz="4" w:space="0" w:color="auto"/>
              <w:left w:val="nil"/>
              <w:bottom w:val="single" w:sz="4" w:space="0" w:color="auto"/>
              <w:right w:val="single" w:sz="4" w:space="0" w:color="auto"/>
            </w:tcBorders>
            <w:shd w:val="clear" w:color="000000" w:fill="DDEBF7"/>
            <w:vAlign w:val="center"/>
            <w:hideMark/>
          </w:tcPr>
          <w:p w14:paraId="4BAC92F0"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OT Cahul</w:t>
            </w:r>
          </w:p>
        </w:tc>
        <w:tc>
          <w:tcPr>
            <w:tcW w:w="1229" w:type="dxa"/>
            <w:tcBorders>
              <w:top w:val="single" w:sz="4" w:space="0" w:color="auto"/>
              <w:left w:val="nil"/>
              <w:bottom w:val="single" w:sz="4" w:space="0" w:color="auto"/>
              <w:right w:val="single" w:sz="4" w:space="0" w:color="auto"/>
            </w:tcBorders>
            <w:shd w:val="clear" w:color="000000" w:fill="DDEBF7"/>
            <w:vAlign w:val="center"/>
            <w:hideMark/>
          </w:tcPr>
          <w:p w14:paraId="368DD1AA"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OT Comrat</w:t>
            </w:r>
          </w:p>
        </w:tc>
        <w:tc>
          <w:tcPr>
            <w:tcW w:w="1017" w:type="dxa"/>
            <w:tcBorders>
              <w:top w:val="single" w:sz="4" w:space="0" w:color="auto"/>
              <w:left w:val="nil"/>
              <w:bottom w:val="single" w:sz="4" w:space="0" w:color="auto"/>
              <w:right w:val="single" w:sz="4" w:space="0" w:color="auto"/>
            </w:tcBorders>
            <w:shd w:val="clear" w:color="000000" w:fill="DDEBF7"/>
            <w:vAlign w:val="center"/>
            <w:hideMark/>
          </w:tcPr>
          <w:p w14:paraId="79B13461"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Total CNAJGS</w:t>
            </w:r>
          </w:p>
        </w:tc>
      </w:tr>
      <w:tr w:rsidR="00940844" w:rsidRPr="00381DA2" w14:paraId="111121D7" w14:textId="77777777" w:rsidTr="00FD546B">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3702CDE7" w14:textId="77777777" w:rsidR="00940844" w:rsidRPr="00381DA2" w:rsidRDefault="00940844" w:rsidP="003A66EF">
            <w:pPr>
              <w:spacing w:after="0" w:line="276" w:lineRule="auto"/>
              <w:jc w:val="center"/>
              <w:rPr>
                <w:rFonts w:asciiTheme="majorHAnsi" w:eastAsia="Times New Roman" w:hAnsiTheme="majorHAnsi" w:cs="Calibri"/>
                <w:b/>
                <w:bCs/>
                <w:color w:val="000000"/>
              </w:rPr>
            </w:pPr>
            <w:r w:rsidRPr="00381DA2">
              <w:rPr>
                <w:rFonts w:asciiTheme="majorHAnsi" w:eastAsia="Times New Roman" w:hAnsiTheme="majorHAnsi" w:cs="Calibri"/>
                <w:b/>
                <w:bCs/>
                <w:color w:val="000000"/>
              </w:rPr>
              <w:t>2020</w:t>
            </w:r>
          </w:p>
        </w:tc>
        <w:tc>
          <w:tcPr>
            <w:tcW w:w="1759" w:type="dxa"/>
            <w:tcBorders>
              <w:top w:val="nil"/>
              <w:left w:val="nil"/>
              <w:bottom w:val="single" w:sz="4" w:space="0" w:color="auto"/>
              <w:right w:val="single" w:sz="4" w:space="0" w:color="auto"/>
            </w:tcBorders>
            <w:shd w:val="clear" w:color="auto" w:fill="auto"/>
            <w:vAlign w:val="center"/>
            <w:hideMark/>
          </w:tcPr>
          <w:p w14:paraId="01A1D56A"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publici</w:t>
            </w:r>
          </w:p>
        </w:tc>
        <w:tc>
          <w:tcPr>
            <w:tcW w:w="1000" w:type="dxa"/>
            <w:tcBorders>
              <w:top w:val="nil"/>
              <w:left w:val="nil"/>
              <w:bottom w:val="single" w:sz="4" w:space="0" w:color="auto"/>
              <w:right w:val="single" w:sz="4" w:space="0" w:color="auto"/>
            </w:tcBorders>
            <w:shd w:val="clear" w:color="auto" w:fill="auto"/>
            <w:vAlign w:val="center"/>
            <w:hideMark/>
          </w:tcPr>
          <w:p w14:paraId="3884E35A" w14:textId="77777777" w:rsidR="00940844" w:rsidRPr="00381DA2" w:rsidRDefault="00940844" w:rsidP="00074DE8">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7</w:t>
            </w:r>
          </w:p>
        </w:tc>
        <w:tc>
          <w:tcPr>
            <w:tcW w:w="1105" w:type="dxa"/>
            <w:tcBorders>
              <w:top w:val="nil"/>
              <w:left w:val="nil"/>
              <w:bottom w:val="single" w:sz="4" w:space="0" w:color="auto"/>
              <w:right w:val="single" w:sz="4" w:space="0" w:color="auto"/>
            </w:tcBorders>
            <w:shd w:val="clear" w:color="auto" w:fill="auto"/>
            <w:vAlign w:val="center"/>
            <w:hideMark/>
          </w:tcPr>
          <w:p w14:paraId="5D12D51A" w14:textId="77777777" w:rsidR="00940844" w:rsidRPr="00381DA2" w:rsidRDefault="00940844" w:rsidP="00074DE8">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368630D8" w14:textId="77777777" w:rsidR="00940844" w:rsidRPr="00381DA2" w:rsidRDefault="00940844" w:rsidP="00074DE8">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vAlign w:val="center"/>
            <w:hideMark/>
          </w:tcPr>
          <w:p w14:paraId="550CA59C" w14:textId="77777777" w:rsidR="00940844" w:rsidRPr="00381DA2" w:rsidRDefault="00940844" w:rsidP="00074DE8">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17" w:type="dxa"/>
            <w:tcBorders>
              <w:top w:val="nil"/>
              <w:left w:val="nil"/>
              <w:bottom w:val="single" w:sz="4" w:space="0" w:color="auto"/>
              <w:right w:val="single" w:sz="4" w:space="0" w:color="auto"/>
            </w:tcBorders>
            <w:shd w:val="clear" w:color="000000" w:fill="FFFFFF"/>
            <w:vAlign w:val="center"/>
            <w:hideMark/>
          </w:tcPr>
          <w:p w14:paraId="613A3506"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11</w:t>
            </w:r>
          </w:p>
        </w:tc>
      </w:tr>
      <w:tr w:rsidR="00940844" w:rsidRPr="00381DA2" w14:paraId="2749ABE4"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594BF5D8"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522336E9"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la cerere</w:t>
            </w:r>
          </w:p>
        </w:tc>
        <w:tc>
          <w:tcPr>
            <w:tcW w:w="1000" w:type="dxa"/>
            <w:tcBorders>
              <w:top w:val="nil"/>
              <w:left w:val="nil"/>
              <w:bottom w:val="single" w:sz="4" w:space="0" w:color="auto"/>
              <w:right w:val="single" w:sz="4" w:space="0" w:color="auto"/>
            </w:tcBorders>
            <w:shd w:val="clear" w:color="auto" w:fill="auto"/>
            <w:vAlign w:val="center"/>
            <w:hideMark/>
          </w:tcPr>
          <w:p w14:paraId="2BFE6183"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303</w:t>
            </w:r>
          </w:p>
        </w:tc>
        <w:tc>
          <w:tcPr>
            <w:tcW w:w="1105" w:type="dxa"/>
            <w:tcBorders>
              <w:top w:val="nil"/>
              <w:left w:val="nil"/>
              <w:bottom w:val="single" w:sz="4" w:space="0" w:color="auto"/>
              <w:right w:val="single" w:sz="4" w:space="0" w:color="auto"/>
            </w:tcBorders>
            <w:shd w:val="clear" w:color="auto" w:fill="auto"/>
            <w:vAlign w:val="center"/>
            <w:hideMark/>
          </w:tcPr>
          <w:p w14:paraId="58EFA266"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110</w:t>
            </w:r>
          </w:p>
        </w:tc>
        <w:tc>
          <w:tcPr>
            <w:tcW w:w="1089" w:type="dxa"/>
            <w:tcBorders>
              <w:top w:val="nil"/>
              <w:left w:val="nil"/>
              <w:bottom w:val="single" w:sz="4" w:space="0" w:color="auto"/>
              <w:right w:val="single" w:sz="4" w:space="0" w:color="auto"/>
            </w:tcBorders>
            <w:shd w:val="clear" w:color="auto" w:fill="auto"/>
            <w:vAlign w:val="center"/>
            <w:hideMark/>
          </w:tcPr>
          <w:p w14:paraId="7C360BA7"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26</w:t>
            </w:r>
          </w:p>
        </w:tc>
        <w:tc>
          <w:tcPr>
            <w:tcW w:w="1229" w:type="dxa"/>
            <w:tcBorders>
              <w:top w:val="nil"/>
              <w:left w:val="nil"/>
              <w:bottom w:val="single" w:sz="4" w:space="0" w:color="auto"/>
              <w:right w:val="single" w:sz="4" w:space="0" w:color="auto"/>
            </w:tcBorders>
            <w:shd w:val="clear" w:color="auto" w:fill="auto"/>
            <w:vAlign w:val="center"/>
            <w:hideMark/>
          </w:tcPr>
          <w:p w14:paraId="4069F563"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19</w:t>
            </w:r>
          </w:p>
        </w:tc>
        <w:tc>
          <w:tcPr>
            <w:tcW w:w="1017" w:type="dxa"/>
            <w:tcBorders>
              <w:top w:val="nil"/>
              <w:left w:val="nil"/>
              <w:bottom w:val="single" w:sz="4" w:space="0" w:color="auto"/>
              <w:right w:val="single" w:sz="4" w:space="0" w:color="auto"/>
            </w:tcBorders>
            <w:shd w:val="clear" w:color="000000" w:fill="FFFFFF"/>
            <w:vAlign w:val="center"/>
            <w:hideMark/>
          </w:tcPr>
          <w:p w14:paraId="3BF7AA36"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458</w:t>
            </w:r>
          </w:p>
        </w:tc>
      </w:tr>
      <w:tr w:rsidR="00940844" w:rsidRPr="00381DA2" w14:paraId="44D5AF6D"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50540E3D"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43B30DC8"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Para-juriști</w:t>
            </w:r>
          </w:p>
        </w:tc>
        <w:tc>
          <w:tcPr>
            <w:tcW w:w="1000" w:type="dxa"/>
            <w:tcBorders>
              <w:top w:val="nil"/>
              <w:left w:val="nil"/>
              <w:bottom w:val="single" w:sz="4" w:space="0" w:color="auto"/>
              <w:right w:val="single" w:sz="4" w:space="0" w:color="auto"/>
            </w:tcBorders>
            <w:shd w:val="clear" w:color="auto" w:fill="auto"/>
            <w:vAlign w:val="center"/>
            <w:hideMark/>
          </w:tcPr>
          <w:p w14:paraId="47248068"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18</w:t>
            </w:r>
          </w:p>
        </w:tc>
        <w:tc>
          <w:tcPr>
            <w:tcW w:w="1105" w:type="dxa"/>
            <w:tcBorders>
              <w:top w:val="nil"/>
              <w:left w:val="nil"/>
              <w:bottom w:val="single" w:sz="4" w:space="0" w:color="auto"/>
              <w:right w:val="single" w:sz="4" w:space="0" w:color="auto"/>
            </w:tcBorders>
            <w:shd w:val="clear" w:color="auto" w:fill="auto"/>
            <w:vAlign w:val="center"/>
            <w:hideMark/>
          </w:tcPr>
          <w:p w14:paraId="5E5EEBF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21</w:t>
            </w:r>
          </w:p>
        </w:tc>
        <w:tc>
          <w:tcPr>
            <w:tcW w:w="1089" w:type="dxa"/>
            <w:tcBorders>
              <w:top w:val="nil"/>
              <w:left w:val="nil"/>
              <w:bottom w:val="single" w:sz="4" w:space="0" w:color="auto"/>
              <w:right w:val="single" w:sz="4" w:space="0" w:color="auto"/>
            </w:tcBorders>
            <w:shd w:val="clear" w:color="auto" w:fill="auto"/>
            <w:vAlign w:val="center"/>
            <w:hideMark/>
          </w:tcPr>
          <w:p w14:paraId="7A8E9EC4"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vAlign w:val="center"/>
            <w:hideMark/>
          </w:tcPr>
          <w:p w14:paraId="4C6DCF1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w:t>
            </w:r>
          </w:p>
        </w:tc>
        <w:tc>
          <w:tcPr>
            <w:tcW w:w="1017" w:type="dxa"/>
            <w:tcBorders>
              <w:top w:val="nil"/>
              <w:left w:val="nil"/>
              <w:bottom w:val="single" w:sz="4" w:space="0" w:color="auto"/>
              <w:right w:val="single" w:sz="4" w:space="0" w:color="auto"/>
            </w:tcBorders>
            <w:shd w:val="clear" w:color="000000" w:fill="FFFFFF"/>
            <w:vAlign w:val="center"/>
            <w:hideMark/>
          </w:tcPr>
          <w:p w14:paraId="2BADC7C6"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58</w:t>
            </w:r>
          </w:p>
        </w:tc>
      </w:tr>
      <w:tr w:rsidR="00940844" w:rsidRPr="00381DA2" w14:paraId="36AAD449"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54B7C0CA"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000000" w:fill="E2EFDA"/>
            <w:vAlign w:val="center"/>
            <w:hideMark/>
          </w:tcPr>
          <w:p w14:paraId="286BD735"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Total prestatori</w:t>
            </w:r>
          </w:p>
        </w:tc>
        <w:tc>
          <w:tcPr>
            <w:tcW w:w="1000" w:type="dxa"/>
            <w:tcBorders>
              <w:top w:val="nil"/>
              <w:left w:val="nil"/>
              <w:bottom w:val="single" w:sz="4" w:space="0" w:color="auto"/>
              <w:right w:val="single" w:sz="4" w:space="0" w:color="auto"/>
            </w:tcBorders>
            <w:shd w:val="clear" w:color="000000" w:fill="E2EFDA"/>
            <w:vAlign w:val="center"/>
            <w:hideMark/>
          </w:tcPr>
          <w:p w14:paraId="4C2BCD37"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328</w:t>
            </w:r>
          </w:p>
        </w:tc>
        <w:tc>
          <w:tcPr>
            <w:tcW w:w="1105" w:type="dxa"/>
            <w:tcBorders>
              <w:top w:val="nil"/>
              <w:left w:val="nil"/>
              <w:bottom w:val="single" w:sz="4" w:space="0" w:color="auto"/>
              <w:right w:val="single" w:sz="4" w:space="0" w:color="auto"/>
            </w:tcBorders>
            <w:shd w:val="clear" w:color="000000" w:fill="E2EFDA"/>
            <w:vAlign w:val="center"/>
            <w:hideMark/>
          </w:tcPr>
          <w:p w14:paraId="476CA354"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132</w:t>
            </w:r>
          </w:p>
        </w:tc>
        <w:tc>
          <w:tcPr>
            <w:tcW w:w="1089" w:type="dxa"/>
            <w:tcBorders>
              <w:top w:val="nil"/>
              <w:left w:val="nil"/>
              <w:bottom w:val="single" w:sz="4" w:space="0" w:color="auto"/>
              <w:right w:val="single" w:sz="4" w:space="0" w:color="auto"/>
            </w:tcBorders>
            <w:shd w:val="clear" w:color="000000" w:fill="E2EFDA"/>
            <w:vAlign w:val="center"/>
            <w:hideMark/>
          </w:tcPr>
          <w:p w14:paraId="2DC29A05"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36</w:t>
            </w:r>
          </w:p>
        </w:tc>
        <w:tc>
          <w:tcPr>
            <w:tcW w:w="1229" w:type="dxa"/>
            <w:tcBorders>
              <w:top w:val="nil"/>
              <w:left w:val="nil"/>
              <w:bottom w:val="single" w:sz="4" w:space="0" w:color="auto"/>
              <w:right w:val="single" w:sz="4" w:space="0" w:color="auto"/>
            </w:tcBorders>
            <w:shd w:val="clear" w:color="000000" w:fill="E2EFDA"/>
            <w:vAlign w:val="center"/>
            <w:hideMark/>
          </w:tcPr>
          <w:p w14:paraId="1D9B76C1"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31</w:t>
            </w:r>
          </w:p>
        </w:tc>
        <w:tc>
          <w:tcPr>
            <w:tcW w:w="1017" w:type="dxa"/>
            <w:tcBorders>
              <w:top w:val="nil"/>
              <w:left w:val="nil"/>
              <w:bottom w:val="single" w:sz="4" w:space="0" w:color="auto"/>
              <w:right w:val="single" w:sz="4" w:space="0" w:color="auto"/>
            </w:tcBorders>
            <w:shd w:val="clear" w:color="000000" w:fill="E2EFDA"/>
            <w:vAlign w:val="center"/>
            <w:hideMark/>
          </w:tcPr>
          <w:p w14:paraId="702781C8"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527</w:t>
            </w:r>
          </w:p>
        </w:tc>
      </w:tr>
      <w:tr w:rsidR="00940844" w:rsidRPr="00381DA2" w14:paraId="07E963E1" w14:textId="77777777" w:rsidTr="00FD546B">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29ECD75" w14:textId="77777777" w:rsidR="00940844" w:rsidRPr="00381DA2" w:rsidRDefault="00940844" w:rsidP="003A66EF">
            <w:pPr>
              <w:spacing w:after="0" w:line="276" w:lineRule="auto"/>
              <w:jc w:val="center"/>
              <w:rPr>
                <w:rFonts w:asciiTheme="majorHAnsi" w:eastAsia="Times New Roman" w:hAnsiTheme="majorHAnsi" w:cs="Calibri"/>
                <w:b/>
                <w:bCs/>
                <w:color w:val="000000"/>
              </w:rPr>
            </w:pPr>
            <w:r w:rsidRPr="00381DA2">
              <w:rPr>
                <w:rFonts w:asciiTheme="majorHAnsi" w:eastAsia="Times New Roman" w:hAnsiTheme="majorHAnsi" w:cs="Calibri"/>
                <w:b/>
                <w:bCs/>
                <w:color w:val="000000"/>
              </w:rPr>
              <w:t>2021</w:t>
            </w:r>
          </w:p>
        </w:tc>
        <w:tc>
          <w:tcPr>
            <w:tcW w:w="1759" w:type="dxa"/>
            <w:tcBorders>
              <w:top w:val="nil"/>
              <w:left w:val="nil"/>
              <w:bottom w:val="single" w:sz="4" w:space="0" w:color="auto"/>
              <w:right w:val="single" w:sz="4" w:space="0" w:color="auto"/>
            </w:tcBorders>
            <w:shd w:val="clear" w:color="auto" w:fill="auto"/>
            <w:vAlign w:val="center"/>
            <w:hideMark/>
          </w:tcPr>
          <w:p w14:paraId="313CF2A6"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publici</w:t>
            </w:r>
          </w:p>
        </w:tc>
        <w:tc>
          <w:tcPr>
            <w:tcW w:w="1000" w:type="dxa"/>
            <w:tcBorders>
              <w:top w:val="nil"/>
              <w:left w:val="nil"/>
              <w:bottom w:val="single" w:sz="4" w:space="0" w:color="auto"/>
              <w:right w:val="single" w:sz="4" w:space="0" w:color="auto"/>
            </w:tcBorders>
            <w:shd w:val="clear" w:color="auto" w:fill="auto"/>
            <w:vAlign w:val="center"/>
            <w:hideMark/>
          </w:tcPr>
          <w:p w14:paraId="0A35886D"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8</w:t>
            </w:r>
          </w:p>
        </w:tc>
        <w:tc>
          <w:tcPr>
            <w:tcW w:w="1105" w:type="dxa"/>
            <w:tcBorders>
              <w:top w:val="nil"/>
              <w:left w:val="nil"/>
              <w:bottom w:val="single" w:sz="4" w:space="0" w:color="auto"/>
              <w:right w:val="single" w:sz="4" w:space="0" w:color="auto"/>
            </w:tcBorders>
            <w:shd w:val="clear" w:color="auto" w:fill="auto"/>
            <w:vAlign w:val="center"/>
            <w:hideMark/>
          </w:tcPr>
          <w:p w14:paraId="42BF60F7"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42F7B361"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vAlign w:val="center"/>
            <w:hideMark/>
          </w:tcPr>
          <w:p w14:paraId="33A96D4D" w14:textId="77777777" w:rsidR="00940844" w:rsidRPr="00381DA2" w:rsidRDefault="00940844" w:rsidP="003A66EF">
            <w:pPr>
              <w:spacing w:after="0" w:line="276" w:lineRule="auto"/>
              <w:jc w:val="right"/>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17" w:type="dxa"/>
            <w:tcBorders>
              <w:top w:val="nil"/>
              <w:left w:val="nil"/>
              <w:bottom w:val="single" w:sz="4" w:space="0" w:color="auto"/>
              <w:right w:val="single" w:sz="4" w:space="0" w:color="auto"/>
            </w:tcBorders>
            <w:shd w:val="clear" w:color="000000" w:fill="FFFFFF"/>
            <w:vAlign w:val="center"/>
            <w:hideMark/>
          </w:tcPr>
          <w:p w14:paraId="05D2ED61"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12</w:t>
            </w:r>
          </w:p>
        </w:tc>
      </w:tr>
      <w:tr w:rsidR="00940844" w:rsidRPr="00381DA2" w14:paraId="3A50BC4E"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1FA966B6"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40D621E5"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la cerere</w:t>
            </w:r>
          </w:p>
        </w:tc>
        <w:tc>
          <w:tcPr>
            <w:tcW w:w="1000" w:type="dxa"/>
            <w:tcBorders>
              <w:top w:val="nil"/>
              <w:left w:val="nil"/>
              <w:bottom w:val="single" w:sz="4" w:space="0" w:color="auto"/>
              <w:right w:val="single" w:sz="4" w:space="0" w:color="auto"/>
            </w:tcBorders>
            <w:shd w:val="clear" w:color="auto" w:fill="auto"/>
            <w:vAlign w:val="center"/>
            <w:hideMark/>
          </w:tcPr>
          <w:p w14:paraId="71DF167F"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332</w:t>
            </w:r>
          </w:p>
        </w:tc>
        <w:tc>
          <w:tcPr>
            <w:tcW w:w="1105" w:type="dxa"/>
            <w:tcBorders>
              <w:top w:val="nil"/>
              <w:left w:val="nil"/>
              <w:bottom w:val="single" w:sz="4" w:space="0" w:color="auto"/>
              <w:right w:val="single" w:sz="4" w:space="0" w:color="auto"/>
            </w:tcBorders>
            <w:shd w:val="clear" w:color="auto" w:fill="auto"/>
            <w:vAlign w:val="center"/>
            <w:hideMark/>
          </w:tcPr>
          <w:p w14:paraId="166EEAD8"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114</w:t>
            </w:r>
          </w:p>
        </w:tc>
        <w:tc>
          <w:tcPr>
            <w:tcW w:w="1089" w:type="dxa"/>
            <w:tcBorders>
              <w:top w:val="nil"/>
              <w:left w:val="nil"/>
              <w:bottom w:val="single" w:sz="4" w:space="0" w:color="auto"/>
              <w:right w:val="single" w:sz="4" w:space="0" w:color="auto"/>
            </w:tcBorders>
            <w:shd w:val="clear" w:color="auto" w:fill="auto"/>
            <w:vAlign w:val="center"/>
            <w:hideMark/>
          </w:tcPr>
          <w:p w14:paraId="383418BE"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30</w:t>
            </w:r>
          </w:p>
        </w:tc>
        <w:tc>
          <w:tcPr>
            <w:tcW w:w="1229" w:type="dxa"/>
            <w:tcBorders>
              <w:top w:val="nil"/>
              <w:left w:val="nil"/>
              <w:bottom w:val="single" w:sz="4" w:space="0" w:color="auto"/>
              <w:right w:val="single" w:sz="4" w:space="0" w:color="auto"/>
            </w:tcBorders>
            <w:shd w:val="clear" w:color="auto" w:fill="auto"/>
            <w:vAlign w:val="center"/>
            <w:hideMark/>
          </w:tcPr>
          <w:p w14:paraId="41A5F44F"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20</w:t>
            </w:r>
          </w:p>
        </w:tc>
        <w:tc>
          <w:tcPr>
            <w:tcW w:w="1017" w:type="dxa"/>
            <w:tcBorders>
              <w:top w:val="nil"/>
              <w:left w:val="nil"/>
              <w:bottom w:val="single" w:sz="4" w:space="0" w:color="auto"/>
              <w:right w:val="single" w:sz="4" w:space="0" w:color="auto"/>
            </w:tcBorders>
            <w:shd w:val="clear" w:color="000000" w:fill="FFFFFF"/>
            <w:vAlign w:val="center"/>
            <w:hideMark/>
          </w:tcPr>
          <w:p w14:paraId="169A58E3"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496</w:t>
            </w:r>
          </w:p>
        </w:tc>
      </w:tr>
      <w:tr w:rsidR="00940844" w:rsidRPr="00381DA2" w14:paraId="3CE5DFA2"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4654CCE2"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3E44DE0E"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Para-juriști</w:t>
            </w:r>
          </w:p>
        </w:tc>
        <w:tc>
          <w:tcPr>
            <w:tcW w:w="1000" w:type="dxa"/>
            <w:tcBorders>
              <w:top w:val="nil"/>
              <w:left w:val="nil"/>
              <w:bottom w:val="single" w:sz="4" w:space="0" w:color="auto"/>
              <w:right w:val="single" w:sz="4" w:space="0" w:color="auto"/>
            </w:tcBorders>
            <w:shd w:val="clear" w:color="auto" w:fill="auto"/>
            <w:vAlign w:val="center"/>
            <w:hideMark/>
          </w:tcPr>
          <w:p w14:paraId="7307A4C3"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22</w:t>
            </w:r>
          </w:p>
        </w:tc>
        <w:tc>
          <w:tcPr>
            <w:tcW w:w="1105" w:type="dxa"/>
            <w:tcBorders>
              <w:top w:val="nil"/>
              <w:left w:val="nil"/>
              <w:bottom w:val="single" w:sz="4" w:space="0" w:color="auto"/>
              <w:right w:val="single" w:sz="4" w:space="0" w:color="auto"/>
            </w:tcBorders>
            <w:shd w:val="clear" w:color="auto" w:fill="auto"/>
            <w:vAlign w:val="center"/>
            <w:hideMark/>
          </w:tcPr>
          <w:p w14:paraId="0748B957"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21</w:t>
            </w:r>
          </w:p>
        </w:tc>
        <w:tc>
          <w:tcPr>
            <w:tcW w:w="1089" w:type="dxa"/>
            <w:tcBorders>
              <w:top w:val="nil"/>
              <w:left w:val="nil"/>
              <w:bottom w:val="single" w:sz="4" w:space="0" w:color="auto"/>
              <w:right w:val="single" w:sz="4" w:space="0" w:color="auto"/>
            </w:tcBorders>
            <w:shd w:val="clear" w:color="auto" w:fill="auto"/>
            <w:vAlign w:val="center"/>
            <w:hideMark/>
          </w:tcPr>
          <w:p w14:paraId="0BFAF2AF"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7</w:t>
            </w:r>
          </w:p>
        </w:tc>
        <w:tc>
          <w:tcPr>
            <w:tcW w:w="1229" w:type="dxa"/>
            <w:tcBorders>
              <w:top w:val="nil"/>
              <w:left w:val="nil"/>
              <w:bottom w:val="single" w:sz="4" w:space="0" w:color="auto"/>
              <w:right w:val="single" w:sz="4" w:space="0" w:color="auto"/>
            </w:tcBorders>
            <w:shd w:val="clear" w:color="auto" w:fill="auto"/>
            <w:vAlign w:val="center"/>
            <w:hideMark/>
          </w:tcPr>
          <w:p w14:paraId="353CE044"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w:t>
            </w:r>
          </w:p>
        </w:tc>
        <w:tc>
          <w:tcPr>
            <w:tcW w:w="1017" w:type="dxa"/>
            <w:tcBorders>
              <w:top w:val="nil"/>
              <w:left w:val="nil"/>
              <w:bottom w:val="single" w:sz="4" w:space="0" w:color="auto"/>
              <w:right w:val="single" w:sz="4" w:space="0" w:color="auto"/>
            </w:tcBorders>
            <w:shd w:val="clear" w:color="000000" w:fill="FFFFFF"/>
            <w:vAlign w:val="center"/>
            <w:hideMark/>
          </w:tcPr>
          <w:p w14:paraId="7B746F7C"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61</w:t>
            </w:r>
          </w:p>
        </w:tc>
      </w:tr>
      <w:tr w:rsidR="00940844" w:rsidRPr="00381DA2" w14:paraId="431C99ED"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59C11FCB"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000000" w:fill="E2EFDA"/>
            <w:vAlign w:val="center"/>
            <w:hideMark/>
          </w:tcPr>
          <w:p w14:paraId="60ED95B2"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Total prestatori</w:t>
            </w:r>
          </w:p>
        </w:tc>
        <w:tc>
          <w:tcPr>
            <w:tcW w:w="1000" w:type="dxa"/>
            <w:tcBorders>
              <w:top w:val="nil"/>
              <w:left w:val="nil"/>
              <w:bottom w:val="single" w:sz="4" w:space="0" w:color="auto"/>
              <w:right w:val="single" w:sz="4" w:space="0" w:color="auto"/>
            </w:tcBorders>
            <w:shd w:val="clear" w:color="000000" w:fill="E2EFDA"/>
            <w:vAlign w:val="center"/>
            <w:hideMark/>
          </w:tcPr>
          <w:p w14:paraId="1594BD89"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362</w:t>
            </w:r>
          </w:p>
        </w:tc>
        <w:tc>
          <w:tcPr>
            <w:tcW w:w="1105" w:type="dxa"/>
            <w:tcBorders>
              <w:top w:val="nil"/>
              <w:left w:val="nil"/>
              <w:bottom w:val="single" w:sz="4" w:space="0" w:color="auto"/>
              <w:right w:val="single" w:sz="4" w:space="0" w:color="auto"/>
            </w:tcBorders>
            <w:shd w:val="clear" w:color="000000" w:fill="E2EFDA"/>
            <w:vAlign w:val="center"/>
            <w:hideMark/>
          </w:tcPr>
          <w:p w14:paraId="0637EB84"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136</w:t>
            </w:r>
          </w:p>
        </w:tc>
        <w:tc>
          <w:tcPr>
            <w:tcW w:w="1089" w:type="dxa"/>
            <w:tcBorders>
              <w:top w:val="nil"/>
              <w:left w:val="nil"/>
              <w:bottom w:val="single" w:sz="4" w:space="0" w:color="auto"/>
              <w:right w:val="single" w:sz="4" w:space="0" w:color="auto"/>
            </w:tcBorders>
            <w:shd w:val="clear" w:color="000000" w:fill="E2EFDA"/>
            <w:vAlign w:val="center"/>
            <w:hideMark/>
          </w:tcPr>
          <w:p w14:paraId="2A52EA04"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39</w:t>
            </w:r>
          </w:p>
        </w:tc>
        <w:tc>
          <w:tcPr>
            <w:tcW w:w="1229" w:type="dxa"/>
            <w:tcBorders>
              <w:top w:val="nil"/>
              <w:left w:val="nil"/>
              <w:bottom w:val="single" w:sz="4" w:space="0" w:color="auto"/>
              <w:right w:val="single" w:sz="4" w:space="0" w:color="auto"/>
            </w:tcBorders>
            <w:shd w:val="clear" w:color="000000" w:fill="E2EFDA"/>
            <w:vAlign w:val="center"/>
            <w:hideMark/>
          </w:tcPr>
          <w:p w14:paraId="49E864BC"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32</w:t>
            </w:r>
          </w:p>
        </w:tc>
        <w:tc>
          <w:tcPr>
            <w:tcW w:w="1017" w:type="dxa"/>
            <w:tcBorders>
              <w:top w:val="nil"/>
              <w:left w:val="nil"/>
              <w:bottom w:val="single" w:sz="4" w:space="0" w:color="auto"/>
              <w:right w:val="single" w:sz="4" w:space="0" w:color="auto"/>
            </w:tcBorders>
            <w:shd w:val="clear" w:color="000000" w:fill="E2EFDA"/>
            <w:vAlign w:val="center"/>
            <w:hideMark/>
          </w:tcPr>
          <w:p w14:paraId="736D4C7F"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569</w:t>
            </w:r>
          </w:p>
        </w:tc>
      </w:tr>
      <w:tr w:rsidR="00940844" w:rsidRPr="00381DA2" w14:paraId="3E85D83F" w14:textId="77777777" w:rsidTr="00FD546B">
        <w:trPr>
          <w:trHeight w:val="288"/>
          <w:jc w:val="center"/>
        </w:trPr>
        <w:tc>
          <w:tcPr>
            <w:tcW w:w="961"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3B49E141" w14:textId="77777777" w:rsidR="00940844" w:rsidRPr="00381DA2" w:rsidRDefault="00940844" w:rsidP="003A66EF">
            <w:pPr>
              <w:spacing w:after="0" w:line="276" w:lineRule="auto"/>
              <w:jc w:val="center"/>
              <w:rPr>
                <w:rFonts w:asciiTheme="majorHAnsi" w:eastAsia="Times New Roman" w:hAnsiTheme="majorHAnsi" w:cs="Calibri"/>
                <w:b/>
                <w:bCs/>
                <w:color w:val="000000"/>
              </w:rPr>
            </w:pPr>
            <w:r w:rsidRPr="00381DA2">
              <w:rPr>
                <w:rFonts w:asciiTheme="majorHAnsi" w:eastAsia="Times New Roman" w:hAnsiTheme="majorHAnsi" w:cs="Calibri"/>
                <w:b/>
                <w:bCs/>
                <w:color w:val="000000"/>
              </w:rPr>
              <w:t>2022</w:t>
            </w:r>
          </w:p>
        </w:tc>
        <w:tc>
          <w:tcPr>
            <w:tcW w:w="1759" w:type="dxa"/>
            <w:tcBorders>
              <w:top w:val="nil"/>
              <w:left w:val="nil"/>
              <w:bottom w:val="single" w:sz="4" w:space="0" w:color="auto"/>
              <w:right w:val="single" w:sz="4" w:space="0" w:color="auto"/>
            </w:tcBorders>
            <w:shd w:val="clear" w:color="auto" w:fill="auto"/>
            <w:vAlign w:val="center"/>
            <w:hideMark/>
          </w:tcPr>
          <w:p w14:paraId="1C53516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publici</w:t>
            </w:r>
          </w:p>
        </w:tc>
        <w:tc>
          <w:tcPr>
            <w:tcW w:w="1000" w:type="dxa"/>
            <w:tcBorders>
              <w:top w:val="nil"/>
              <w:left w:val="nil"/>
              <w:bottom w:val="single" w:sz="4" w:space="0" w:color="auto"/>
              <w:right w:val="single" w:sz="4" w:space="0" w:color="auto"/>
            </w:tcBorders>
            <w:shd w:val="clear" w:color="auto" w:fill="auto"/>
            <w:vAlign w:val="center"/>
            <w:hideMark/>
          </w:tcPr>
          <w:p w14:paraId="4365DD1D"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8</w:t>
            </w:r>
          </w:p>
        </w:tc>
        <w:tc>
          <w:tcPr>
            <w:tcW w:w="1105" w:type="dxa"/>
            <w:tcBorders>
              <w:top w:val="nil"/>
              <w:left w:val="nil"/>
              <w:bottom w:val="single" w:sz="4" w:space="0" w:color="auto"/>
              <w:right w:val="single" w:sz="4" w:space="0" w:color="auto"/>
            </w:tcBorders>
            <w:shd w:val="clear" w:color="auto" w:fill="auto"/>
            <w:vAlign w:val="center"/>
            <w:hideMark/>
          </w:tcPr>
          <w:p w14:paraId="35E08A70"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89" w:type="dxa"/>
            <w:tcBorders>
              <w:top w:val="nil"/>
              <w:left w:val="nil"/>
              <w:bottom w:val="single" w:sz="4" w:space="0" w:color="auto"/>
              <w:right w:val="single" w:sz="4" w:space="0" w:color="auto"/>
            </w:tcBorders>
            <w:shd w:val="clear" w:color="auto" w:fill="auto"/>
            <w:vAlign w:val="center"/>
            <w:hideMark/>
          </w:tcPr>
          <w:p w14:paraId="022BA98E"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w:t>
            </w:r>
          </w:p>
        </w:tc>
        <w:tc>
          <w:tcPr>
            <w:tcW w:w="1229" w:type="dxa"/>
            <w:tcBorders>
              <w:top w:val="nil"/>
              <w:left w:val="nil"/>
              <w:bottom w:val="single" w:sz="4" w:space="0" w:color="auto"/>
              <w:right w:val="single" w:sz="4" w:space="0" w:color="auto"/>
            </w:tcBorders>
            <w:shd w:val="clear" w:color="auto" w:fill="auto"/>
            <w:vAlign w:val="center"/>
            <w:hideMark/>
          </w:tcPr>
          <w:p w14:paraId="60146F45" w14:textId="77777777" w:rsidR="00940844" w:rsidRPr="00381DA2" w:rsidRDefault="00940844" w:rsidP="003A66EF">
            <w:pPr>
              <w:spacing w:after="0" w:line="276" w:lineRule="auto"/>
              <w:jc w:val="right"/>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w:t>
            </w:r>
          </w:p>
        </w:tc>
        <w:tc>
          <w:tcPr>
            <w:tcW w:w="1017" w:type="dxa"/>
            <w:tcBorders>
              <w:top w:val="nil"/>
              <w:left w:val="nil"/>
              <w:bottom w:val="single" w:sz="4" w:space="0" w:color="auto"/>
              <w:right w:val="single" w:sz="4" w:space="0" w:color="auto"/>
            </w:tcBorders>
            <w:shd w:val="clear" w:color="000000" w:fill="FFFFFF"/>
            <w:vAlign w:val="center"/>
            <w:hideMark/>
          </w:tcPr>
          <w:p w14:paraId="0AFD9D3D"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12</w:t>
            </w:r>
          </w:p>
        </w:tc>
      </w:tr>
      <w:tr w:rsidR="00940844" w:rsidRPr="00381DA2" w14:paraId="661F1985"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2FC5AD5F"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4D98F019"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Avocați la cerere</w:t>
            </w:r>
          </w:p>
        </w:tc>
        <w:tc>
          <w:tcPr>
            <w:tcW w:w="1000" w:type="dxa"/>
            <w:tcBorders>
              <w:top w:val="nil"/>
              <w:left w:val="nil"/>
              <w:bottom w:val="single" w:sz="4" w:space="0" w:color="auto"/>
              <w:right w:val="single" w:sz="4" w:space="0" w:color="auto"/>
            </w:tcBorders>
            <w:shd w:val="clear" w:color="auto" w:fill="auto"/>
            <w:vAlign w:val="center"/>
            <w:hideMark/>
          </w:tcPr>
          <w:p w14:paraId="7F3FE01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350</w:t>
            </w:r>
          </w:p>
        </w:tc>
        <w:tc>
          <w:tcPr>
            <w:tcW w:w="1105" w:type="dxa"/>
            <w:tcBorders>
              <w:top w:val="nil"/>
              <w:left w:val="nil"/>
              <w:bottom w:val="single" w:sz="4" w:space="0" w:color="auto"/>
              <w:right w:val="single" w:sz="4" w:space="0" w:color="auto"/>
            </w:tcBorders>
            <w:shd w:val="clear" w:color="auto" w:fill="auto"/>
            <w:vAlign w:val="center"/>
            <w:hideMark/>
          </w:tcPr>
          <w:p w14:paraId="50840F7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114</w:t>
            </w:r>
          </w:p>
        </w:tc>
        <w:tc>
          <w:tcPr>
            <w:tcW w:w="1089" w:type="dxa"/>
            <w:tcBorders>
              <w:top w:val="nil"/>
              <w:left w:val="nil"/>
              <w:bottom w:val="single" w:sz="4" w:space="0" w:color="auto"/>
              <w:right w:val="single" w:sz="4" w:space="0" w:color="auto"/>
            </w:tcBorders>
            <w:shd w:val="clear" w:color="auto" w:fill="auto"/>
            <w:vAlign w:val="center"/>
            <w:hideMark/>
          </w:tcPr>
          <w:p w14:paraId="75515A75"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30</w:t>
            </w:r>
          </w:p>
        </w:tc>
        <w:tc>
          <w:tcPr>
            <w:tcW w:w="1229" w:type="dxa"/>
            <w:tcBorders>
              <w:top w:val="nil"/>
              <w:left w:val="nil"/>
              <w:bottom w:val="single" w:sz="4" w:space="0" w:color="auto"/>
              <w:right w:val="single" w:sz="4" w:space="0" w:color="auto"/>
            </w:tcBorders>
            <w:shd w:val="clear" w:color="auto" w:fill="auto"/>
            <w:vAlign w:val="center"/>
            <w:hideMark/>
          </w:tcPr>
          <w:p w14:paraId="4D0836BC"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20</w:t>
            </w:r>
          </w:p>
        </w:tc>
        <w:tc>
          <w:tcPr>
            <w:tcW w:w="1017" w:type="dxa"/>
            <w:tcBorders>
              <w:top w:val="nil"/>
              <w:left w:val="nil"/>
              <w:bottom w:val="single" w:sz="4" w:space="0" w:color="auto"/>
              <w:right w:val="single" w:sz="4" w:space="0" w:color="auto"/>
            </w:tcBorders>
            <w:shd w:val="clear" w:color="000000" w:fill="FFFFFF"/>
            <w:vAlign w:val="center"/>
            <w:hideMark/>
          </w:tcPr>
          <w:p w14:paraId="4F28AA6E"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514</w:t>
            </w:r>
          </w:p>
        </w:tc>
      </w:tr>
      <w:tr w:rsidR="00940844" w:rsidRPr="00381DA2" w14:paraId="2D4B59B4"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5223022B"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auto" w:fill="auto"/>
            <w:vAlign w:val="center"/>
            <w:hideMark/>
          </w:tcPr>
          <w:p w14:paraId="24171951"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Para-juriști</w:t>
            </w:r>
          </w:p>
        </w:tc>
        <w:tc>
          <w:tcPr>
            <w:tcW w:w="1000" w:type="dxa"/>
            <w:tcBorders>
              <w:top w:val="nil"/>
              <w:left w:val="nil"/>
              <w:bottom w:val="single" w:sz="4" w:space="0" w:color="auto"/>
              <w:right w:val="single" w:sz="4" w:space="0" w:color="auto"/>
            </w:tcBorders>
            <w:shd w:val="clear" w:color="auto" w:fill="auto"/>
            <w:vAlign w:val="center"/>
            <w:hideMark/>
          </w:tcPr>
          <w:p w14:paraId="25330F45"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21</w:t>
            </w:r>
          </w:p>
        </w:tc>
        <w:tc>
          <w:tcPr>
            <w:tcW w:w="1105" w:type="dxa"/>
            <w:tcBorders>
              <w:top w:val="nil"/>
              <w:left w:val="nil"/>
              <w:bottom w:val="single" w:sz="4" w:space="0" w:color="auto"/>
              <w:right w:val="single" w:sz="4" w:space="0" w:color="auto"/>
            </w:tcBorders>
            <w:shd w:val="clear" w:color="auto" w:fill="auto"/>
            <w:vAlign w:val="center"/>
            <w:hideMark/>
          </w:tcPr>
          <w:p w14:paraId="32DD918D"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23</w:t>
            </w:r>
          </w:p>
        </w:tc>
        <w:tc>
          <w:tcPr>
            <w:tcW w:w="1089" w:type="dxa"/>
            <w:tcBorders>
              <w:top w:val="nil"/>
              <w:left w:val="nil"/>
              <w:bottom w:val="single" w:sz="4" w:space="0" w:color="auto"/>
              <w:right w:val="single" w:sz="4" w:space="0" w:color="auto"/>
            </w:tcBorders>
            <w:shd w:val="clear" w:color="auto" w:fill="auto"/>
            <w:vAlign w:val="center"/>
            <w:hideMark/>
          </w:tcPr>
          <w:p w14:paraId="79258CA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8</w:t>
            </w:r>
          </w:p>
        </w:tc>
        <w:tc>
          <w:tcPr>
            <w:tcW w:w="1229" w:type="dxa"/>
            <w:tcBorders>
              <w:top w:val="nil"/>
              <w:left w:val="nil"/>
              <w:bottom w:val="single" w:sz="4" w:space="0" w:color="auto"/>
              <w:right w:val="single" w:sz="4" w:space="0" w:color="auto"/>
            </w:tcBorders>
            <w:shd w:val="clear" w:color="auto" w:fill="auto"/>
            <w:vAlign w:val="center"/>
            <w:hideMark/>
          </w:tcPr>
          <w:p w14:paraId="30912ED2" w14:textId="77777777" w:rsidR="00940844" w:rsidRPr="00381DA2" w:rsidRDefault="00940844" w:rsidP="003A66EF">
            <w:pPr>
              <w:spacing w:after="0" w:line="276" w:lineRule="auto"/>
              <w:jc w:val="center"/>
              <w:rPr>
                <w:rFonts w:asciiTheme="majorHAnsi" w:eastAsia="Times New Roman" w:hAnsiTheme="majorHAnsi" w:cs="Times New Roman"/>
                <w:color w:val="000000"/>
                <w:sz w:val="20"/>
                <w:szCs w:val="20"/>
              </w:rPr>
            </w:pPr>
            <w:r w:rsidRPr="00381DA2">
              <w:rPr>
                <w:rFonts w:asciiTheme="majorHAnsi" w:eastAsia="Times New Roman" w:hAnsiTheme="majorHAnsi" w:cs="Times New Roman"/>
                <w:color w:val="000000"/>
                <w:sz w:val="20"/>
                <w:szCs w:val="20"/>
              </w:rPr>
              <w:t>11</w:t>
            </w:r>
          </w:p>
        </w:tc>
        <w:tc>
          <w:tcPr>
            <w:tcW w:w="1017" w:type="dxa"/>
            <w:tcBorders>
              <w:top w:val="nil"/>
              <w:left w:val="nil"/>
              <w:bottom w:val="single" w:sz="4" w:space="0" w:color="auto"/>
              <w:right w:val="single" w:sz="4" w:space="0" w:color="auto"/>
            </w:tcBorders>
            <w:shd w:val="clear" w:color="000000" w:fill="FFFFFF"/>
            <w:vAlign w:val="center"/>
            <w:hideMark/>
          </w:tcPr>
          <w:p w14:paraId="4CBDED74"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63</w:t>
            </w:r>
          </w:p>
        </w:tc>
      </w:tr>
      <w:tr w:rsidR="00940844" w:rsidRPr="00381DA2" w14:paraId="6FE242C8" w14:textId="77777777" w:rsidTr="00FD546B">
        <w:trPr>
          <w:trHeight w:val="288"/>
          <w:jc w:val="center"/>
        </w:trPr>
        <w:tc>
          <w:tcPr>
            <w:tcW w:w="961" w:type="dxa"/>
            <w:vMerge/>
            <w:tcBorders>
              <w:top w:val="nil"/>
              <w:left w:val="single" w:sz="4" w:space="0" w:color="auto"/>
              <w:bottom w:val="single" w:sz="4" w:space="0" w:color="auto"/>
              <w:right w:val="single" w:sz="4" w:space="0" w:color="auto"/>
            </w:tcBorders>
            <w:vAlign w:val="center"/>
            <w:hideMark/>
          </w:tcPr>
          <w:p w14:paraId="3EBD0AB5" w14:textId="77777777" w:rsidR="00940844" w:rsidRPr="00381DA2" w:rsidRDefault="00940844" w:rsidP="003A66EF">
            <w:pPr>
              <w:spacing w:after="0" w:line="276" w:lineRule="auto"/>
              <w:rPr>
                <w:rFonts w:asciiTheme="majorHAnsi" w:eastAsia="Times New Roman" w:hAnsiTheme="majorHAnsi" w:cs="Calibri"/>
                <w:b/>
                <w:bCs/>
                <w:color w:val="000000"/>
              </w:rPr>
            </w:pPr>
          </w:p>
        </w:tc>
        <w:tc>
          <w:tcPr>
            <w:tcW w:w="1759" w:type="dxa"/>
            <w:tcBorders>
              <w:top w:val="nil"/>
              <w:left w:val="nil"/>
              <w:bottom w:val="single" w:sz="4" w:space="0" w:color="auto"/>
              <w:right w:val="single" w:sz="4" w:space="0" w:color="auto"/>
            </w:tcBorders>
            <w:shd w:val="clear" w:color="000000" w:fill="E2EFDA"/>
            <w:vAlign w:val="center"/>
            <w:hideMark/>
          </w:tcPr>
          <w:p w14:paraId="7550A40F"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Total prestatori</w:t>
            </w:r>
          </w:p>
        </w:tc>
        <w:tc>
          <w:tcPr>
            <w:tcW w:w="1000" w:type="dxa"/>
            <w:tcBorders>
              <w:top w:val="nil"/>
              <w:left w:val="nil"/>
              <w:bottom w:val="single" w:sz="4" w:space="0" w:color="auto"/>
              <w:right w:val="single" w:sz="4" w:space="0" w:color="auto"/>
            </w:tcBorders>
            <w:shd w:val="clear" w:color="000000" w:fill="E2EFDA"/>
            <w:vAlign w:val="center"/>
            <w:hideMark/>
          </w:tcPr>
          <w:p w14:paraId="31B2B947"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379</w:t>
            </w:r>
          </w:p>
        </w:tc>
        <w:tc>
          <w:tcPr>
            <w:tcW w:w="1105" w:type="dxa"/>
            <w:tcBorders>
              <w:top w:val="nil"/>
              <w:left w:val="nil"/>
              <w:bottom w:val="single" w:sz="4" w:space="0" w:color="auto"/>
              <w:right w:val="single" w:sz="4" w:space="0" w:color="auto"/>
            </w:tcBorders>
            <w:shd w:val="clear" w:color="000000" w:fill="E2EFDA"/>
            <w:vAlign w:val="center"/>
            <w:hideMark/>
          </w:tcPr>
          <w:p w14:paraId="307AACF0"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138</w:t>
            </w:r>
          </w:p>
        </w:tc>
        <w:tc>
          <w:tcPr>
            <w:tcW w:w="1089" w:type="dxa"/>
            <w:tcBorders>
              <w:top w:val="nil"/>
              <w:left w:val="nil"/>
              <w:bottom w:val="single" w:sz="4" w:space="0" w:color="auto"/>
              <w:right w:val="single" w:sz="4" w:space="0" w:color="auto"/>
            </w:tcBorders>
            <w:shd w:val="clear" w:color="000000" w:fill="E2EFDA"/>
            <w:vAlign w:val="center"/>
            <w:hideMark/>
          </w:tcPr>
          <w:p w14:paraId="6D494C5A"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40</w:t>
            </w:r>
          </w:p>
        </w:tc>
        <w:tc>
          <w:tcPr>
            <w:tcW w:w="1229" w:type="dxa"/>
            <w:tcBorders>
              <w:top w:val="nil"/>
              <w:left w:val="nil"/>
              <w:bottom w:val="single" w:sz="4" w:space="0" w:color="auto"/>
              <w:right w:val="single" w:sz="4" w:space="0" w:color="auto"/>
            </w:tcBorders>
            <w:shd w:val="clear" w:color="000000" w:fill="E2EFDA"/>
            <w:vAlign w:val="center"/>
            <w:hideMark/>
          </w:tcPr>
          <w:p w14:paraId="3002F861"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32</w:t>
            </w:r>
          </w:p>
        </w:tc>
        <w:tc>
          <w:tcPr>
            <w:tcW w:w="1017" w:type="dxa"/>
            <w:tcBorders>
              <w:top w:val="nil"/>
              <w:left w:val="nil"/>
              <w:bottom w:val="single" w:sz="4" w:space="0" w:color="auto"/>
              <w:right w:val="single" w:sz="4" w:space="0" w:color="auto"/>
            </w:tcBorders>
            <w:shd w:val="clear" w:color="000000" w:fill="E2EFDA"/>
            <w:vAlign w:val="center"/>
            <w:hideMark/>
          </w:tcPr>
          <w:p w14:paraId="7CFF796D" w14:textId="77777777" w:rsidR="00940844" w:rsidRPr="00381DA2" w:rsidRDefault="00940844" w:rsidP="003A66EF">
            <w:pPr>
              <w:spacing w:after="0" w:line="276" w:lineRule="auto"/>
              <w:jc w:val="center"/>
              <w:rPr>
                <w:rFonts w:asciiTheme="majorHAnsi" w:eastAsia="Times New Roman" w:hAnsiTheme="majorHAnsi" w:cs="Times New Roman"/>
                <w:b/>
                <w:bCs/>
                <w:color w:val="000000"/>
                <w:sz w:val="20"/>
                <w:szCs w:val="20"/>
              </w:rPr>
            </w:pPr>
            <w:r w:rsidRPr="00381DA2">
              <w:rPr>
                <w:rFonts w:asciiTheme="majorHAnsi" w:eastAsia="Times New Roman" w:hAnsiTheme="majorHAnsi" w:cs="Times New Roman"/>
                <w:b/>
                <w:bCs/>
                <w:color w:val="000000"/>
                <w:sz w:val="20"/>
                <w:szCs w:val="20"/>
              </w:rPr>
              <w:t>589</w:t>
            </w:r>
          </w:p>
        </w:tc>
      </w:tr>
    </w:tbl>
    <w:p w14:paraId="5628D9FB" w14:textId="77777777" w:rsidR="00940844" w:rsidRDefault="00940844" w:rsidP="003A66EF">
      <w:pPr>
        <w:spacing w:before="120" w:after="240" w:line="276" w:lineRule="auto"/>
        <w:ind w:left="567" w:right="571"/>
        <w:jc w:val="both"/>
        <w:rPr>
          <w:rFonts w:asciiTheme="majorHAnsi" w:hAnsiTheme="majorHAnsi" w:cstheme="minorHAnsi"/>
          <w:i/>
          <w:sz w:val="20"/>
          <w:szCs w:val="20"/>
        </w:rPr>
      </w:pPr>
      <w:r w:rsidRPr="00381DA2">
        <w:rPr>
          <w:rFonts w:asciiTheme="majorHAnsi" w:hAnsiTheme="majorHAnsi" w:cstheme="minorHAnsi"/>
          <w:b/>
          <w:i/>
          <w:sz w:val="20"/>
          <w:szCs w:val="20"/>
        </w:rPr>
        <w:t>Sursa:</w:t>
      </w:r>
      <w:r w:rsidR="00865507" w:rsidRPr="00381DA2">
        <w:rPr>
          <w:rFonts w:asciiTheme="majorHAnsi" w:hAnsiTheme="majorHAnsi" w:cstheme="minorHAnsi"/>
          <w:b/>
          <w:i/>
          <w:sz w:val="20"/>
          <w:szCs w:val="20"/>
        </w:rPr>
        <w:t xml:space="preserve"> </w:t>
      </w:r>
      <w:r w:rsidRPr="00381DA2">
        <w:rPr>
          <w:rFonts w:asciiTheme="majorHAnsi" w:hAnsiTheme="majorHAnsi" w:cstheme="minorHAnsi"/>
          <w:i/>
          <w:sz w:val="20"/>
          <w:szCs w:val="20"/>
        </w:rPr>
        <w:t>Rapoartele trimestriale și anuale prezentate de oficiile teritoriale</w:t>
      </w:r>
      <w:r w:rsidR="00865507" w:rsidRPr="00381DA2">
        <w:rPr>
          <w:rFonts w:asciiTheme="majorHAnsi" w:hAnsiTheme="majorHAnsi" w:cstheme="minorHAnsi"/>
          <w:i/>
          <w:sz w:val="20"/>
          <w:szCs w:val="20"/>
        </w:rPr>
        <w:t xml:space="preserve">, </w:t>
      </w:r>
      <w:r w:rsidRPr="00381DA2">
        <w:rPr>
          <w:rFonts w:asciiTheme="majorHAnsi" w:hAnsiTheme="majorHAnsi" w:cstheme="minorHAnsi"/>
          <w:i/>
          <w:sz w:val="20"/>
          <w:szCs w:val="20"/>
        </w:rPr>
        <w:t>pentru anii 2020-2022</w:t>
      </w:r>
      <w:r w:rsidR="00865507" w:rsidRPr="00381DA2">
        <w:rPr>
          <w:rFonts w:asciiTheme="majorHAnsi" w:hAnsiTheme="majorHAnsi" w:cstheme="minorHAnsi"/>
          <w:i/>
          <w:sz w:val="20"/>
          <w:szCs w:val="20"/>
        </w:rPr>
        <w:t>,</w:t>
      </w:r>
      <w:r w:rsidRPr="00381DA2">
        <w:rPr>
          <w:rFonts w:asciiTheme="majorHAnsi" w:hAnsiTheme="majorHAnsi" w:cstheme="minorHAnsi"/>
          <w:i/>
          <w:sz w:val="20"/>
          <w:szCs w:val="20"/>
        </w:rPr>
        <w:t xml:space="preserve"> Aparatului administrativ al CNAJGS</w:t>
      </w:r>
    </w:p>
    <w:p w14:paraId="783F5E9A" w14:textId="77777777" w:rsidR="00392E4B" w:rsidRDefault="00392E4B" w:rsidP="003A66EF">
      <w:pPr>
        <w:spacing w:after="120" w:line="276" w:lineRule="auto"/>
        <w:rPr>
          <w:rFonts w:asciiTheme="majorHAnsi" w:hAnsiTheme="majorHAnsi"/>
          <w:b/>
          <w:color w:val="0070C0"/>
          <w:sz w:val="24"/>
          <w:szCs w:val="24"/>
        </w:rPr>
      </w:pPr>
    </w:p>
    <w:p w14:paraId="321D33C8" w14:textId="77777777" w:rsidR="00392E4B" w:rsidRDefault="00392E4B" w:rsidP="003A66EF">
      <w:pPr>
        <w:spacing w:after="120" w:line="276" w:lineRule="auto"/>
        <w:rPr>
          <w:rFonts w:asciiTheme="majorHAnsi" w:hAnsiTheme="majorHAnsi"/>
          <w:b/>
          <w:color w:val="0070C0"/>
          <w:sz w:val="24"/>
          <w:szCs w:val="24"/>
        </w:rPr>
      </w:pPr>
    </w:p>
    <w:p w14:paraId="2558409F" w14:textId="77777777" w:rsidR="00392E4B" w:rsidRDefault="00392E4B" w:rsidP="003A66EF">
      <w:pPr>
        <w:spacing w:after="120" w:line="276" w:lineRule="auto"/>
        <w:rPr>
          <w:rFonts w:asciiTheme="majorHAnsi" w:hAnsiTheme="majorHAnsi"/>
          <w:b/>
          <w:color w:val="0070C0"/>
          <w:sz w:val="24"/>
          <w:szCs w:val="24"/>
        </w:rPr>
      </w:pPr>
    </w:p>
    <w:p w14:paraId="45B3D9BF" w14:textId="77777777" w:rsidR="00392E4B" w:rsidRDefault="00392E4B" w:rsidP="003A66EF">
      <w:pPr>
        <w:spacing w:after="120" w:line="276" w:lineRule="auto"/>
        <w:rPr>
          <w:rFonts w:asciiTheme="majorHAnsi" w:hAnsiTheme="majorHAnsi"/>
          <w:b/>
          <w:color w:val="0070C0"/>
          <w:sz w:val="24"/>
          <w:szCs w:val="24"/>
        </w:rPr>
      </w:pPr>
    </w:p>
    <w:p w14:paraId="1FB540E4" w14:textId="77777777" w:rsidR="00392E4B" w:rsidRDefault="00392E4B" w:rsidP="003A66EF">
      <w:pPr>
        <w:spacing w:after="120" w:line="276" w:lineRule="auto"/>
        <w:rPr>
          <w:rFonts w:asciiTheme="majorHAnsi" w:hAnsiTheme="majorHAnsi"/>
          <w:b/>
          <w:color w:val="0070C0"/>
          <w:sz w:val="24"/>
          <w:szCs w:val="24"/>
        </w:rPr>
      </w:pPr>
    </w:p>
    <w:p w14:paraId="07872FC4" w14:textId="77777777" w:rsidR="00392E4B" w:rsidRDefault="00392E4B" w:rsidP="003A66EF">
      <w:pPr>
        <w:spacing w:after="120" w:line="276" w:lineRule="auto"/>
        <w:rPr>
          <w:rFonts w:asciiTheme="majorHAnsi" w:hAnsiTheme="majorHAnsi"/>
          <w:b/>
          <w:color w:val="0070C0"/>
          <w:sz w:val="24"/>
          <w:szCs w:val="24"/>
        </w:rPr>
      </w:pPr>
    </w:p>
    <w:p w14:paraId="684029DF" w14:textId="77777777" w:rsidR="00392E4B" w:rsidRDefault="00392E4B" w:rsidP="003A66EF">
      <w:pPr>
        <w:spacing w:after="120" w:line="276" w:lineRule="auto"/>
        <w:rPr>
          <w:rFonts w:asciiTheme="majorHAnsi" w:hAnsiTheme="majorHAnsi"/>
          <w:b/>
          <w:color w:val="0070C0"/>
          <w:sz w:val="24"/>
          <w:szCs w:val="24"/>
        </w:rPr>
      </w:pPr>
    </w:p>
    <w:p w14:paraId="00934EA5" w14:textId="77777777" w:rsidR="00392E4B" w:rsidRDefault="00392E4B" w:rsidP="003A66EF">
      <w:pPr>
        <w:spacing w:after="120" w:line="276" w:lineRule="auto"/>
        <w:rPr>
          <w:rFonts w:asciiTheme="majorHAnsi" w:hAnsiTheme="majorHAnsi"/>
          <w:b/>
          <w:color w:val="0070C0"/>
          <w:sz w:val="24"/>
          <w:szCs w:val="24"/>
        </w:rPr>
      </w:pPr>
    </w:p>
    <w:p w14:paraId="2E3CC25F" w14:textId="77777777" w:rsidR="00392E4B" w:rsidRDefault="00392E4B" w:rsidP="003A66EF">
      <w:pPr>
        <w:spacing w:after="120" w:line="276" w:lineRule="auto"/>
        <w:rPr>
          <w:rFonts w:asciiTheme="majorHAnsi" w:hAnsiTheme="majorHAnsi"/>
          <w:b/>
          <w:color w:val="0070C0"/>
          <w:sz w:val="24"/>
          <w:szCs w:val="24"/>
        </w:rPr>
      </w:pPr>
    </w:p>
    <w:p w14:paraId="6BF9735A" w14:textId="77777777" w:rsidR="00392E4B" w:rsidRDefault="00392E4B" w:rsidP="003A66EF">
      <w:pPr>
        <w:spacing w:after="120" w:line="276" w:lineRule="auto"/>
        <w:rPr>
          <w:rFonts w:asciiTheme="majorHAnsi" w:hAnsiTheme="majorHAnsi"/>
          <w:b/>
          <w:color w:val="0070C0"/>
          <w:sz w:val="24"/>
          <w:szCs w:val="24"/>
        </w:rPr>
      </w:pPr>
    </w:p>
    <w:p w14:paraId="5BCB3BEB" w14:textId="77777777" w:rsidR="00392E4B" w:rsidRDefault="00392E4B" w:rsidP="003A66EF">
      <w:pPr>
        <w:spacing w:after="120" w:line="276" w:lineRule="auto"/>
        <w:rPr>
          <w:rFonts w:asciiTheme="majorHAnsi" w:hAnsiTheme="majorHAnsi"/>
          <w:b/>
          <w:color w:val="0070C0"/>
          <w:sz w:val="24"/>
          <w:szCs w:val="24"/>
        </w:rPr>
      </w:pPr>
    </w:p>
    <w:p w14:paraId="1EC67E1D" w14:textId="77777777" w:rsidR="00392E4B" w:rsidRDefault="00392E4B" w:rsidP="003A66EF">
      <w:pPr>
        <w:spacing w:after="120" w:line="276" w:lineRule="auto"/>
        <w:rPr>
          <w:rFonts w:asciiTheme="majorHAnsi" w:hAnsiTheme="majorHAnsi"/>
          <w:b/>
          <w:color w:val="0070C0"/>
          <w:sz w:val="24"/>
          <w:szCs w:val="24"/>
        </w:rPr>
      </w:pPr>
    </w:p>
    <w:p w14:paraId="3FE0ECE9" w14:textId="77777777" w:rsidR="00392E4B" w:rsidRDefault="00392E4B" w:rsidP="003A66EF">
      <w:pPr>
        <w:spacing w:after="120" w:line="276" w:lineRule="auto"/>
        <w:rPr>
          <w:rFonts w:asciiTheme="majorHAnsi" w:hAnsiTheme="majorHAnsi"/>
          <w:b/>
          <w:color w:val="0070C0"/>
          <w:sz w:val="24"/>
          <w:szCs w:val="24"/>
        </w:rPr>
      </w:pPr>
    </w:p>
    <w:p w14:paraId="32ED8056" w14:textId="77777777" w:rsidR="00392E4B" w:rsidRDefault="00392E4B" w:rsidP="003A66EF">
      <w:pPr>
        <w:spacing w:after="120" w:line="276" w:lineRule="auto"/>
        <w:rPr>
          <w:rFonts w:asciiTheme="majorHAnsi" w:hAnsiTheme="majorHAnsi"/>
          <w:b/>
          <w:color w:val="0070C0"/>
          <w:sz w:val="24"/>
          <w:szCs w:val="24"/>
        </w:rPr>
      </w:pPr>
    </w:p>
    <w:p w14:paraId="5C6126FA" w14:textId="77777777" w:rsidR="00392E4B" w:rsidRDefault="00392E4B" w:rsidP="003A66EF">
      <w:pPr>
        <w:spacing w:after="120" w:line="276" w:lineRule="auto"/>
        <w:rPr>
          <w:rFonts w:asciiTheme="majorHAnsi" w:hAnsiTheme="majorHAnsi"/>
          <w:b/>
          <w:color w:val="0070C0"/>
          <w:sz w:val="24"/>
          <w:szCs w:val="24"/>
        </w:rPr>
      </w:pPr>
    </w:p>
    <w:p w14:paraId="16212674" w14:textId="77777777" w:rsidR="00940844" w:rsidRPr="00597E4C" w:rsidRDefault="002C5A96" w:rsidP="003A66EF">
      <w:pPr>
        <w:spacing w:after="120" w:line="276" w:lineRule="auto"/>
        <w:rPr>
          <w:rFonts w:asciiTheme="majorHAnsi" w:hAnsiTheme="majorHAnsi"/>
          <w:b/>
          <w:color w:val="0070C0"/>
          <w:sz w:val="24"/>
          <w:szCs w:val="24"/>
        </w:rPr>
      </w:pPr>
      <w:r>
        <w:rPr>
          <w:rFonts w:asciiTheme="majorHAnsi" w:hAnsiTheme="majorHAnsi"/>
          <w:b/>
          <w:color w:val="0070C0"/>
          <w:sz w:val="24"/>
          <w:szCs w:val="24"/>
        </w:rPr>
        <w:lastRenderedPageBreak/>
        <w:t>Anexa nr.4</w:t>
      </w:r>
      <w:r w:rsidR="00940844" w:rsidRPr="00597E4C">
        <w:rPr>
          <w:rFonts w:asciiTheme="majorHAnsi" w:hAnsiTheme="majorHAnsi"/>
          <w:b/>
          <w:color w:val="0070C0"/>
          <w:sz w:val="24"/>
          <w:szCs w:val="24"/>
        </w:rPr>
        <w:t xml:space="preserve">. Procesele supuse verificării și criteriile aplicate </w:t>
      </w:r>
    </w:p>
    <w:tbl>
      <w:tblPr>
        <w:tblStyle w:val="PlainTable5"/>
        <w:tblW w:w="10789"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4"/>
        <w:gridCol w:w="1080"/>
        <w:gridCol w:w="135"/>
        <w:gridCol w:w="1043"/>
        <w:gridCol w:w="1793"/>
        <w:gridCol w:w="4764"/>
      </w:tblGrid>
      <w:tr w:rsidR="00392E4B" w:rsidRPr="00381DA2" w14:paraId="583366D0" w14:textId="77777777" w:rsidTr="00D46D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4" w:type="dxa"/>
            <w:shd w:val="clear" w:color="auto" w:fill="BFBFBF" w:themeFill="background1" w:themeFillShade="BF"/>
            <w:vAlign w:val="center"/>
          </w:tcPr>
          <w:p w14:paraId="10CCFD9F" w14:textId="77777777" w:rsidR="00392E4B" w:rsidRPr="00392E4B" w:rsidRDefault="00392E4B" w:rsidP="00392E4B">
            <w:pPr>
              <w:jc w:val="center"/>
              <w:rPr>
                <w:rFonts w:cstheme="majorHAnsi"/>
                <w:b/>
                <w:sz w:val="18"/>
                <w:szCs w:val="18"/>
              </w:rPr>
            </w:pPr>
            <w:r w:rsidRPr="00392E4B">
              <w:rPr>
                <w:rFonts w:cstheme="majorHAnsi"/>
                <w:b/>
                <w:sz w:val="18"/>
                <w:szCs w:val="18"/>
              </w:rPr>
              <w:t>Procesele/aspectele auditate</w:t>
            </w:r>
          </w:p>
        </w:tc>
        <w:tc>
          <w:tcPr>
            <w:tcW w:w="1080" w:type="dxa"/>
            <w:shd w:val="clear" w:color="auto" w:fill="BFBFBF" w:themeFill="background1" w:themeFillShade="BF"/>
            <w:vAlign w:val="center"/>
          </w:tcPr>
          <w:p w14:paraId="232A6932" w14:textId="77777777" w:rsidR="00392E4B" w:rsidRPr="00392E4B" w:rsidRDefault="00392E4B" w:rsidP="00392E4B">
            <w:pPr>
              <w:ind w:left="-109" w:firstLine="109"/>
              <w:jc w:val="center"/>
              <w:cnfStyle w:val="100000000000" w:firstRow="1" w:lastRow="0" w:firstColumn="0" w:lastColumn="0" w:oddVBand="0" w:evenVBand="0" w:oddHBand="0" w:evenHBand="0" w:firstRowFirstColumn="0" w:firstRowLastColumn="0" w:lastRowFirstColumn="0" w:lastRowLastColumn="0"/>
              <w:rPr>
                <w:rFonts w:cstheme="majorHAnsi"/>
                <w:b/>
                <w:sz w:val="18"/>
                <w:szCs w:val="18"/>
              </w:rPr>
            </w:pPr>
            <w:r w:rsidRPr="00392E4B">
              <w:rPr>
                <w:rFonts w:cstheme="majorHAnsi"/>
                <w:b/>
                <w:sz w:val="18"/>
                <w:szCs w:val="18"/>
              </w:rPr>
              <w:t xml:space="preserve">Mijloacele gestionate </w:t>
            </w:r>
          </w:p>
        </w:tc>
        <w:tc>
          <w:tcPr>
            <w:tcW w:w="1178" w:type="dxa"/>
            <w:gridSpan w:val="2"/>
            <w:shd w:val="clear" w:color="auto" w:fill="BFBFBF" w:themeFill="background1" w:themeFillShade="BF"/>
            <w:vAlign w:val="center"/>
          </w:tcPr>
          <w:p w14:paraId="2D1271FD" w14:textId="77777777" w:rsidR="00392E4B" w:rsidRPr="00392E4B" w:rsidRDefault="00392E4B" w:rsidP="00392E4B">
            <w:pPr>
              <w:jc w:val="center"/>
              <w:cnfStyle w:val="100000000000" w:firstRow="1" w:lastRow="0" w:firstColumn="0" w:lastColumn="0" w:oddVBand="0" w:evenVBand="0" w:oddHBand="0" w:evenHBand="0" w:firstRowFirstColumn="0" w:firstRowLastColumn="0" w:lastRowFirstColumn="0" w:lastRowLastColumn="0"/>
              <w:rPr>
                <w:rFonts w:cstheme="majorHAnsi"/>
                <w:b/>
                <w:sz w:val="18"/>
                <w:szCs w:val="18"/>
              </w:rPr>
            </w:pPr>
            <w:r w:rsidRPr="00392E4B">
              <w:rPr>
                <w:rFonts w:cstheme="majorHAnsi"/>
                <w:b/>
                <w:sz w:val="18"/>
                <w:szCs w:val="18"/>
              </w:rPr>
              <w:t xml:space="preserve">Eșantionul supus testării </w:t>
            </w:r>
          </w:p>
        </w:tc>
        <w:tc>
          <w:tcPr>
            <w:tcW w:w="1793" w:type="dxa"/>
            <w:shd w:val="clear" w:color="auto" w:fill="BFBFBF" w:themeFill="background1" w:themeFillShade="BF"/>
          </w:tcPr>
          <w:p w14:paraId="37ABD40C" w14:textId="77777777" w:rsidR="00392E4B" w:rsidRPr="00392E4B" w:rsidRDefault="00392E4B" w:rsidP="00392E4B">
            <w:pPr>
              <w:jc w:val="center"/>
              <w:cnfStyle w:val="100000000000" w:firstRow="1" w:lastRow="0" w:firstColumn="0" w:lastColumn="0" w:oddVBand="0" w:evenVBand="0" w:oddHBand="0" w:evenHBand="0" w:firstRowFirstColumn="0" w:firstRowLastColumn="0" w:lastRowFirstColumn="0" w:lastRowLastColumn="0"/>
              <w:rPr>
                <w:rFonts w:cstheme="majorHAnsi"/>
                <w:b/>
                <w:sz w:val="18"/>
                <w:szCs w:val="18"/>
              </w:rPr>
            </w:pPr>
            <w:r w:rsidRPr="00392E4B">
              <w:rPr>
                <w:rFonts w:cstheme="majorHAnsi"/>
                <w:b/>
                <w:sz w:val="18"/>
                <w:szCs w:val="18"/>
              </w:rPr>
              <w:t>Procedurile de audit proiectate</w:t>
            </w:r>
          </w:p>
        </w:tc>
        <w:tc>
          <w:tcPr>
            <w:tcW w:w="4764" w:type="dxa"/>
            <w:shd w:val="clear" w:color="auto" w:fill="BFBFBF" w:themeFill="background1" w:themeFillShade="BF"/>
            <w:vAlign w:val="center"/>
          </w:tcPr>
          <w:p w14:paraId="55F2A1BB" w14:textId="77777777" w:rsidR="00392E4B" w:rsidRPr="00392E4B" w:rsidRDefault="00392E4B" w:rsidP="00392E4B">
            <w:pPr>
              <w:jc w:val="center"/>
              <w:cnfStyle w:val="100000000000" w:firstRow="1" w:lastRow="0" w:firstColumn="0" w:lastColumn="0" w:oddVBand="0" w:evenVBand="0" w:oddHBand="0" w:evenHBand="0" w:firstRowFirstColumn="0" w:firstRowLastColumn="0" w:lastRowFirstColumn="0" w:lastRowLastColumn="0"/>
              <w:rPr>
                <w:rFonts w:cstheme="majorHAnsi"/>
                <w:b/>
                <w:sz w:val="18"/>
                <w:szCs w:val="18"/>
              </w:rPr>
            </w:pPr>
            <w:r w:rsidRPr="00392E4B">
              <w:rPr>
                <w:rFonts w:cstheme="majorHAnsi"/>
                <w:b/>
                <w:sz w:val="18"/>
                <w:szCs w:val="18"/>
              </w:rPr>
              <w:t>Lista actelor normative care au servit drept surse de criterii</w:t>
            </w:r>
          </w:p>
        </w:tc>
      </w:tr>
      <w:tr w:rsidR="00392E4B" w:rsidRPr="00381DA2" w14:paraId="503BFFAF" w14:textId="77777777" w:rsidTr="00BF478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EEAF6" w:themeFill="accent1" w:themeFillTint="33"/>
          </w:tcPr>
          <w:p w14:paraId="46FC1846" w14:textId="77777777" w:rsidR="00392E4B" w:rsidRPr="00381DA2" w:rsidRDefault="00392E4B" w:rsidP="00392E4B">
            <w:pPr>
              <w:pStyle w:val="ListParagraph"/>
              <w:numPr>
                <w:ilvl w:val="0"/>
                <w:numId w:val="42"/>
              </w:numPr>
              <w:ind w:left="354" w:hanging="295"/>
              <w:jc w:val="center"/>
              <w:rPr>
                <w:rFonts w:asciiTheme="majorHAnsi" w:hAnsiTheme="majorHAnsi" w:cstheme="majorHAnsi"/>
                <w:sz w:val="20"/>
                <w:szCs w:val="20"/>
                <w:lang w:val="ro-MD"/>
              </w:rPr>
            </w:pPr>
            <w:r>
              <w:rPr>
                <w:rFonts w:asciiTheme="majorHAnsi" w:hAnsiTheme="majorHAnsi" w:cstheme="majorHAnsi"/>
                <w:sz w:val="20"/>
                <w:szCs w:val="20"/>
                <w:lang w:val="ro-MD"/>
              </w:rPr>
              <w:t>I</w:t>
            </w:r>
            <w:r w:rsidRPr="00381DA2">
              <w:rPr>
                <w:rFonts w:asciiTheme="majorHAnsi" w:hAnsiTheme="majorHAnsi" w:cstheme="majorHAnsi"/>
                <w:sz w:val="20"/>
                <w:szCs w:val="20"/>
                <w:lang w:val="ro-MD"/>
              </w:rPr>
              <w:t>nstrumentele</w:t>
            </w:r>
            <w:r>
              <w:rPr>
                <w:rFonts w:asciiTheme="majorHAnsi" w:hAnsiTheme="majorHAnsi" w:cstheme="majorHAnsi"/>
                <w:sz w:val="20"/>
                <w:szCs w:val="20"/>
                <w:lang w:val="ro-MD"/>
              </w:rPr>
              <w:t xml:space="preserve"> de reglementare </w:t>
            </w:r>
            <w:r w:rsidRPr="00381DA2">
              <w:rPr>
                <w:rFonts w:asciiTheme="majorHAnsi" w:hAnsiTheme="majorHAnsi" w:cstheme="majorHAnsi"/>
                <w:sz w:val="20"/>
                <w:szCs w:val="20"/>
                <w:lang w:val="ro-MD"/>
              </w:rPr>
              <w:t xml:space="preserve">asigură direcționarea asistenței </w:t>
            </w:r>
            <w:r>
              <w:rPr>
                <w:rFonts w:asciiTheme="majorHAnsi" w:hAnsiTheme="majorHAnsi" w:cstheme="majorHAnsi"/>
                <w:sz w:val="20"/>
                <w:szCs w:val="20"/>
                <w:lang w:val="ro-MD"/>
              </w:rPr>
              <w:t xml:space="preserve">juridice </w:t>
            </w:r>
            <w:r w:rsidRPr="00381DA2">
              <w:rPr>
                <w:rFonts w:asciiTheme="majorHAnsi" w:hAnsiTheme="majorHAnsi" w:cstheme="majorHAnsi"/>
                <w:sz w:val="20"/>
                <w:szCs w:val="20"/>
                <w:lang w:val="ro-MD"/>
              </w:rPr>
              <w:t>către beneficiarii eligibili?</w:t>
            </w:r>
          </w:p>
        </w:tc>
      </w:tr>
      <w:tr w:rsidR="00392E4B" w:rsidRPr="00381DA2" w14:paraId="18A082D3" w14:textId="77777777" w:rsidTr="00D46DC2">
        <w:trPr>
          <w:trHeight w:val="60"/>
        </w:trPr>
        <w:tc>
          <w:tcPr>
            <w:cnfStyle w:val="001000000000" w:firstRow="0" w:lastRow="0" w:firstColumn="1" w:lastColumn="0" w:oddVBand="0" w:evenVBand="0" w:oddHBand="0" w:evenHBand="0" w:firstRowFirstColumn="0" w:firstRowLastColumn="0" w:lastRowFirstColumn="0" w:lastRowLastColumn="0"/>
            <w:tcW w:w="1974" w:type="dxa"/>
          </w:tcPr>
          <w:p w14:paraId="28CCB6A4" w14:textId="77777777" w:rsidR="00392E4B" w:rsidRPr="00381DA2" w:rsidRDefault="00392E4B" w:rsidP="00D07357">
            <w:pPr>
              <w:jc w:val="both"/>
              <w:rPr>
                <w:rFonts w:cstheme="majorHAnsi"/>
                <w:b/>
                <w:sz w:val="16"/>
                <w:szCs w:val="16"/>
              </w:rPr>
            </w:pPr>
            <w:r w:rsidRPr="00381DA2">
              <w:rPr>
                <w:rFonts w:cstheme="majorHAnsi"/>
                <w:b/>
                <w:sz w:val="16"/>
                <w:szCs w:val="16"/>
              </w:rPr>
              <w:t>Cadrul normativ care reglementează sistemul de AJGS</w:t>
            </w:r>
          </w:p>
        </w:tc>
        <w:tc>
          <w:tcPr>
            <w:tcW w:w="4051" w:type="dxa"/>
            <w:gridSpan w:val="4"/>
            <w:shd w:val="clear" w:color="auto" w:fill="FFFFFF" w:themeFill="background1"/>
          </w:tcPr>
          <w:p w14:paraId="508771CA" w14:textId="77777777" w:rsidR="00392E4B" w:rsidRPr="00381DA2" w:rsidRDefault="00392E4B" w:rsidP="00392E4B">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hAnsiTheme="majorHAnsi" w:cstheme="majorHAnsi"/>
                <w:sz w:val="18"/>
                <w:szCs w:val="18"/>
              </w:rPr>
              <w:t>Analiza cadrului legal</w:t>
            </w:r>
            <w:r>
              <w:rPr>
                <w:rFonts w:asciiTheme="majorHAnsi" w:hAnsiTheme="majorHAnsi" w:cstheme="majorHAnsi"/>
                <w:sz w:val="18"/>
                <w:szCs w:val="18"/>
              </w:rPr>
              <w:t xml:space="preserve"> acu incidență asupra sistemului AJGS </w:t>
            </w:r>
          </w:p>
        </w:tc>
        <w:tc>
          <w:tcPr>
            <w:tcW w:w="4764" w:type="dxa"/>
            <w:shd w:val="clear" w:color="auto" w:fill="FFFFFF" w:themeFill="background1"/>
          </w:tcPr>
          <w:p w14:paraId="772545C5"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Legea nr. 198 din 26-07-2007 cu privire la asistența juridică garantată de stat;</w:t>
            </w:r>
          </w:p>
          <w:p w14:paraId="6BF28C47"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 xml:space="preserve">Strategiei de activitate în sistemul de acordare a asistenței juridice garantate de stat pentru anii 2021-2022; </w:t>
            </w:r>
          </w:p>
          <w:p w14:paraId="52FC676B"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Planurile de acțiuni pentru anii 2020-2022 ale MJ;</w:t>
            </w:r>
          </w:p>
          <w:p w14:paraId="381855CE"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Planurile de acțiuni pentru anul 2021-2022 privind implementarea Strategiei de activitate în sistemul de acordare a asistenței juridice garantate de stat pentru anii 2021-2022, aprobat prin Hotărârea CNAJGS nr.2 din 18 februarie 2021, și respectiv Hotărârea CNAJGS nr.2 din 23 februarie 2022.</w:t>
            </w:r>
          </w:p>
        </w:tc>
      </w:tr>
      <w:tr w:rsidR="00392E4B" w:rsidRPr="00381DA2" w14:paraId="38187926" w14:textId="77777777" w:rsidTr="00D46DC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14:paraId="60C79AF6" w14:textId="77777777" w:rsidR="00392E4B" w:rsidRPr="00381DA2" w:rsidRDefault="00392E4B" w:rsidP="00D07357">
            <w:pPr>
              <w:tabs>
                <w:tab w:val="left" w:pos="160"/>
                <w:tab w:val="left" w:pos="336"/>
              </w:tabs>
              <w:contextualSpacing/>
              <w:jc w:val="both"/>
              <w:rPr>
                <w:rFonts w:cstheme="majorHAnsi"/>
                <w:b/>
                <w:sz w:val="16"/>
                <w:szCs w:val="16"/>
              </w:rPr>
            </w:pPr>
            <w:r w:rsidRPr="00381DA2">
              <w:rPr>
                <w:rFonts w:cstheme="majorHAnsi"/>
                <w:b/>
                <w:sz w:val="16"/>
                <w:szCs w:val="16"/>
              </w:rPr>
              <w:t>Acordarea AJGS când participarea apărătorului la procesul penal este obligatorie</w:t>
            </w:r>
          </w:p>
        </w:tc>
        <w:tc>
          <w:tcPr>
            <w:tcW w:w="2258" w:type="dxa"/>
            <w:gridSpan w:val="3"/>
            <w:vMerge w:val="restart"/>
          </w:tcPr>
          <w:p w14:paraId="6490C60D" w14:textId="77777777" w:rsidR="00392E4B" w:rsidRPr="00381DA2" w:rsidRDefault="00392E4B" w:rsidP="00D07357">
            <w:pPr>
              <w:tabs>
                <w:tab w:val="center" w:pos="499"/>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 xml:space="preserve">                     </w:t>
            </w:r>
            <w:r>
              <w:rPr>
                <w:rFonts w:asciiTheme="majorHAnsi" w:hAnsiTheme="majorHAnsi" w:cstheme="majorHAnsi"/>
                <w:sz w:val="16"/>
                <w:szCs w:val="16"/>
              </w:rPr>
              <w:t xml:space="preserve">      </w:t>
            </w:r>
            <w:r w:rsidRPr="00381DA2">
              <w:rPr>
                <w:rFonts w:asciiTheme="majorHAnsi" w:hAnsiTheme="majorHAnsi" w:cstheme="majorHAnsi"/>
                <w:sz w:val="16"/>
                <w:szCs w:val="16"/>
              </w:rPr>
              <w:t xml:space="preserve"> 0,6%,</w:t>
            </w:r>
          </w:p>
          <w:p w14:paraId="210AD623" w14:textId="77777777" w:rsidR="00392E4B" w:rsidRPr="00381DA2" w:rsidRDefault="00392E4B" w:rsidP="00D07357">
            <w:pPr>
              <w:tabs>
                <w:tab w:val="center" w:pos="49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ab/>
              <w:t>14896,2 mii lei           98,1 mii lei</w:t>
            </w:r>
          </w:p>
          <w:p w14:paraId="37C5C865" w14:textId="77777777" w:rsidR="00392E4B" w:rsidRPr="00381DA2" w:rsidRDefault="00392E4B" w:rsidP="00D07357">
            <w:pPr>
              <w:tabs>
                <w:tab w:val="center" w:pos="49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noProof/>
                <w:lang w:val="en-US"/>
              </w:rPr>
              <mc:AlternateContent>
                <mc:Choice Requires="wps">
                  <w:drawing>
                    <wp:anchor distT="0" distB="0" distL="114300" distR="114300" simplePos="0" relativeHeight="251694080" behindDoc="0" locked="0" layoutInCell="1" allowOverlap="1" wp14:anchorId="437AB99C" wp14:editId="562F6D30">
                      <wp:simplePos x="0" y="0"/>
                      <wp:positionH relativeFrom="column">
                        <wp:posOffset>-10160</wp:posOffset>
                      </wp:positionH>
                      <wp:positionV relativeFrom="paragraph">
                        <wp:posOffset>74930</wp:posOffset>
                      </wp:positionV>
                      <wp:extent cx="1325880" cy="660400"/>
                      <wp:effectExtent l="0" t="0" r="26670" b="25400"/>
                      <wp:wrapNone/>
                      <wp:docPr id="12" name="Double Bracket 12"/>
                      <wp:cNvGraphicFramePr/>
                      <a:graphic xmlns:a="http://schemas.openxmlformats.org/drawingml/2006/main">
                        <a:graphicData uri="http://schemas.microsoft.com/office/word/2010/wordprocessingShape">
                          <wps:wsp>
                            <wps:cNvSpPr/>
                            <wps:spPr>
                              <a:xfrm>
                                <a:off x="0" y="0"/>
                                <a:ext cx="1325880" cy="660400"/>
                              </a:xfrm>
                              <a:prstGeom prst="bracketPair">
                                <a:avLst>
                                  <a:gd name="adj" fmla="val 19299"/>
                                </a:avLst>
                              </a:prstGeom>
                              <a:noFill/>
                              <a:ln w="190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1D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8pt;margin-top:5.9pt;width:104.4pt;height: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" adj="4169" strokecolor="#a5a5a5" strokeweight="1.5pt">
                      <v:stroke joinstyle="miter"/>
                    </v:shape>
                  </w:pict>
                </mc:Fallback>
              </mc:AlternateContent>
            </w:r>
          </w:p>
          <w:p w14:paraId="39A58FB3" w14:textId="77777777" w:rsidR="00392E4B" w:rsidRPr="00381DA2" w:rsidRDefault="00392E4B" w:rsidP="00D07357">
            <w:pPr>
              <w:tabs>
                <w:tab w:val="center" w:pos="499"/>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b/>
                <w:sz w:val="16"/>
                <w:szCs w:val="16"/>
              </w:rPr>
              <w:t>Notă:</w:t>
            </w:r>
            <w:r w:rsidRPr="00381DA2">
              <w:rPr>
                <w:rFonts w:asciiTheme="majorHAnsi" w:hAnsiTheme="majorHAnsi" w:cstheme="majorHAnsi"/>
                <w:sz w:val="16"/>
                <w:szCs w:val="16"/>
              </w:rPr>
              <w:t xml:space="preserve"> Testele de audit au scos în evidență semnificația problemei abordate și impactul generat de aceasta (asigurare de audit limitată)</w:t>
            </w:r>
          </w:p>
        </w:tc>
        <w:tc>
          <w:tcPr>
            <w:tcW w:w="1793" w:type="dxa"/>
            <w:vMerge w:val="restart"/>
          </w:tcPr>
          <w:p w14:paraId="1F86AB08" w14:textId="77777777" w:rsidR="00D46DC2" w:rsidRPr="00D46DC2" w:rsidRDefault="00392E4B" w:rsidP="00D728A4">
            <w:pPr>
              <w:pStyle w:val="ListParagraph"/>
              <w:tabs>
                <w:tab w:val="left" w:pos="102"/>
              </w:tabs>
              <w:ind w:left="12"/>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D46DC2">
              <w:rPr>
                <w:rFonts w:asciiTheme="majorHAnsi" w:eastAsia="Calibri" w:hAnsiTheme="majorHAnsi" w:cstheme="majorHAnsi"/>
                <w:sz w:val="16"/>
                <w:szCs w:val="16"/>
              </w:rPr>
              <w:t>Examinarea cererilor de solicitare a AJGS</w:t>
            </w:r>
            <w:r w:rsidR="00D46DC2" w:rsidRPr="00D46DC2">
              <w:rPr>
                <w:rFonts w:asciiTheme="majorHAnsi" w:eastAsia="Calibri" w:hAnsiTheme="majorHAnsi" w:cstheme="majorHAnsi"/>
                <w:sz w:val="16"/>
                <w:szCs w:val="16"/>
              </w:rPr>
              <w:t xml:space="preserve"> și a anexelor atașate la aceasta</w:t>
            </w:r>
            <w:r w:rsidR="00D46DC2">
              <w:rPr>
                <w:rFonts w:asciiTheme="majorHAnsi" w:eastAsia="Calibri" w:hAnsiTheme="majorHAnsi" w:cstheme="majorHAnsi"/>
                <w:sz w:val="16"/>
                <w:szCs w:val="16"/>
              </w:rPr>
              <w:t>.</w:t>
            </w:r>
          </w:p>
        </w:tc>
        <w:tc>
          <w:tcPr>
            <w:tcW w:w="4764" w:type="dxa"/>
          </w:tcPr>
          <w:p w14:paraId="0C5C260E" w14:textId="77777777" w:rsidR="00392E4B" w:rsidRPr="00381DA2" w:rsidRDefault="00392E4B" w:rsidP="00D07357">
            <w:pPr>
              <w:ind w:left="162"/>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p>
          <w:p w14:paraId="462C99E3"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19, alin. (1) lit. c) din Legea 198/2007;</w:t>
            </w:r>
          </w:p>
        </w:tc>
      </w:tr>
      <w:tr w:rsidR="00392E4B" w:rsidRPr="00381DA2" w14:paraId="4B23FC94" w14:textId="77777777" w:rsidTr="00D46DC2">
        <w:trPr>
          <w:trHeight w:val="324"/>
        </w:trPr>
        <w:tc>
          <w:tcPr>
            <w:cnfStyle w:val="001000000000" w:firstRow="0" w:lastRow="0" w:firstColumn="1" w:lastColumn="0" w:oddVBand="0" w:evenVBand="0" w:oddHBand="0" w:evenHBand="0" w:firstRowFirstColumn="0" w:firstRowLastColumn="0" w:lastRowFirstColumn="0" w:lastRowLastColumn="0"/>
            <w:tcW w:w="1974" w:type="dxa"/>
          </w:tcPr>
          <w:p w14:paraId="1DEC7EEC" w14:textId="77777777" w:rsidR="00392E4B" w:rsidRPr="00381DA2" w:rsidRDefault="00392E4B" w:rsidP="00D07357">
            <w:pPr>
              <w:numPr>
                <w:ilvl w:val="0"/>
                <w:numId w:val="37"/>
              </w:numPr>
              <w:tabs>
                <w:tab w:val="left" w:pos="160"/>
                <w:tab w:val="left" w:pos="336"/>
              </w:tabs>
              <w:ind w:left="0" w:firstLine="70"/>
              <w:contextualSpacing/>
              <w:jc w:val="both"/>
              <w:rPr>
                <w:rFonts w:cstheme="majorHAnsi"/>
                <w:sz w:val="16"/>
                <w:szCs w:val="16"/>
              </w:rPr>
            </w:pPr>
            <w:r w:rsidRPr="00381DA2">
              <w:rPr>
                <w:rFonts w:cstheme="majorHAnsi"/>
                <w:sz w:val="16"/>
                <w:szCs w:val="16"/>
              </w:rPr>
              <w:t>beneficiarul nu posedă sau posedă în măsură insuficientă limba în care se desfășoară procesul penal.</w:t>
            </w:r>
          </w:p>
        </w:tc>
        <w:tc>
          <w:tcPr>
            <w:tcW w:w="2258" w:type="dxa"/>
            <w:gridSpan w:val="3"/>
            <w:vMerge/>
            <w:shd w:val="clear" w:color="auto" w:fill="FFFFFF" w:themeFill="background1"/>
          </w:tcPr>
          <w:p w14:paraId="14CDEE97" w14:textId="77777777" w:rsidR="00392E4B" w:rsidRPr="00381DA2" w:rsidRDefault="00392E4B" w:rsidP="00D07357">
            <w:pPr>
              <w:tabs>
                <w:tab w:val="center" w:pos="49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793" w:type="dxa"/>
            <w:vMerge/>
            <w:shd w:val="clear" w:color="auto" w:fill="FFFFFF" w:themeFill="background1"/>
          </w:tcPr>
          <w:p w14:paraId="3B46DBF1" w14:textId="77777777" w:rsidR="00392E4B" w:rsidRPr="00381DA2" w:rsidRDefault="00392E4B" w:rsidP="00392E4B">
            <w:pPr>
              <w:ind w:left="162"/>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c>
          <w:tcPr>
            <w:tcW w:w="4764" w:type="dxa"/>
            <w:shd w:val="clear" w:color="auto" w:fill="FFFFFF" w:themeFill="background1"/>
          </w:tcPr>
          <w:p w14:paraId="28707229" w14:textId="77777777" w:rsidR="00392E4B" w:rsidRPr="00381DA2" w:rsidRDefault="00392E4B" w:rsidP="00D07357">
            <w:pPr>
              <w:ind w:left="162"/>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p w14:paraId="7CD85EEA"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69 alin. (1) pct.3) și art. 16 din Cod de procedură penală, aprobat prin Legea 122 din 14.03.2003, și modificările ulterioare;</w:t>
            </w:r>
          </w:p>
          <w:p w14:paraId="13BE36EA"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16 și art. 2641 alin.(1), art. 328 din Codul penal, aprobat prin Legea 985 din 18.04.2002, și modificările ulterioare.</w:t>
            </w:r>
          </w:p>
          <w:p w14:paraId="034D64E3" w14:textId="77777777" w:rsidR="00392E4B" w:rsidRPr="00381DA2" w:rsidRDefault="00392E4B" w:rsidP="00D07357">
            <w:pPr>
              <w:ind w:left="162"/>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r>
      <w:tr w:rsidR="00392E4B" w:rsidRPr="00381DA2" w14:paraId="3A190AF8" w14:textId="77777777" w:rsidTr="00D46DC2">
        <w:trPr>
          <w:cnfStyle w:val="000000100000" w:firstRow="0" w:lastRow="0" w:firstColumn="0" w:lastColumn="0" w:oddVBand="0" w:evenVBand="0" w:oddHBand="1"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3E9DA8BD" w14:textId="77777777" w:rsidR="00392E4B" w:rsidRPr="00381DA2" w:rsidRDefault="00392E4B" w:rsidP="00D07357">
            <w:pPr>
              <w:numPr>
                <w:ilvl w:val="0"/>
                <w:numId w:val="37"/>
              </w:numPr>
              <w:tabs>
                <w:tab w:val="left" w:pos="160"/>
                <w:tab w:val="left" w:pos="336"/>
              </w:tabs>
              <w:ind w:left="0" w:firstLine="68"/>
              <w:jc w:val="both"/>
              <w:rPr>
                <w:rFonts w:cstheme="majorHAnsi"/>
                <w:sz w:val="16"/>
                <w:szCs w:val="16"/>
              </w:rPr>
            </w:pPr>
            <w:r w:rsidRPr="00381DA2">
              <w:rPr>
                <w:rFonts w:cstheme="majorHAnsi"/>
                <w:sz w:val="16"/>
                <w:szCs w:val="16"/>
              </w:rPr>
              <w:t>interesele justiției cer participarea avocatului în ședință de judecată în primă instanță, în apel și în recurs, precum și la judecarea cauzei pe cale extraordinară de atac</w:t>
            </w:r>
          </w:p>
        </w:tc>
        <w:tc>
          <w:tcPr>
            <w:tcW w:w="1215" w:type="dxa"/>
            <w:gridSpan w:val="2"/>
            <w:shd w:val="clear" w:color="auto" w:fill="FFFFFF" w:themeFill="background1"/>
            <w:vAlign w:val="center"/>
          </w:tcPr>
          <w:p w14:paraId="415F2584"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935 de cazuri</w:t>
            </w:r>
          </w:p>
          <w:p w14:paraId="7A2EFE09"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pentru care sau achitat servicii juridice în sumă de 1594,4 mii lei.</w:t>
            </w:r>
          </w:p>
        </w:tc>
        <w:tc>
          <w:tcPr>
            <w:tcW w:w="1043" w:type="dxa"/>
            <w:shd w:val="clear" w:color="auto" w:fill="FFFFFF" w:themeFill="background1"/>
            <w:vAlign w:val="center"/>
          </w:tcPr>
          <w:p w14:paraId="77D48B3D"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18%,</w:t>
            </w:r>
          </w:p>
          <w:p w14:paraId="2FEE99A0"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6F884957"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 xml:space="preserve">163 cazuri în sumă de </w:t>
            </w:r>
          </w:p>
          <w:p w14:paraId="5A7293FA"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289,2 mii lei</w:t>
            </w:r>
          </w:p>
          <w:p w14:paraId="78A3C3F2"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1793" w:type="dxa"/>
            <w:shd w:val="clear" w:color="auto" w:fill="FFFFFF" w:themeFill="background1"/>
          </w:tcPr>
          <w:p w14:paraId="3DA10ADB" w14:textId="77777777" w:rsidR="00392E4B" w:rsidRPr="00D728A4" w:rsidRDefault="00D46DC2" w:rsidP="00D728A4">
            <w:pPr>
              <w:tabs>
                <w:tab w:val="left" w:pos="156"/>
              </w:tab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D728A4">
              <w:rPr>
                <w:rFonts w:asciiTheme="majorHAnsi" w:eastAsia="Calibri" w:hAnsiTheme="majorHAnsi" w:cstheme="majorHAnsi"/>
                <w:sz w:val="16"/>
                <w:szCs w:val="16"/>
              </w:rPr>
              <w:t>Existența anexării la solicitări a ordonanțelor procurorilor privind solicitarea prezenței avocatului la etapele de adjudecarea cauzei în instanță de judecată;</w:t>
            </w:r>
          </w:p>
        </w:tc>
        <w:tc>
          <w:tcPr>
            <w:tcW w:w="4764" w:type="dxa"/>
            <w:shd w:val="clear" w:color="auto" w:fill="FFFFFF" w:themeFill="background1"/>
            <w:vAlign w:val="center"/>
          </w:tcPr>
          <w:p w14:paraId="662A5BC8"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69, alin. (1) pct.10) și alin. (3) din CPP;</w:t>
            </w:r>
          </w:p>
          <w:p w14:paraId="020FFAE6"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eastAsia="Calibri" w:hAnsiTheme="majorHAnsi" w:cstheme="majorHAnsi"/>
                <w:sz w:val="16"/>
                <w:szCs w:val="16"/>
              </w:rPr>
              <w:t>pct. 11 din Hotărârea CSJ nr. 11 din 24.12.2020 ”Cu privire la practica aplicării legislației pentru asigurarea dreptului la apărare al bănuitului, învinuitului, inculpatului și condamnatului în procedură penală”.</w:t>
            </w:r>
          </w:p>
        </w:tc>
      </w:tr>
      <w:tr w:rsidR="00392E4B" w:rsidRPr="00381DA2" w14:paraId="0E3BBE83" w14:textId="77777777" w:rsidTr="00D46DC2">
        <w:trPr>
          <w:trHeight w:val="375"/>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vAlign w:val="center"/>
          </w:tcPr>
          <w:p w14:paraId="6DC69586" w14:textId="77777777" w:rsidR="00392E4B" w:rsidRPr="00381DA2" w:rsidRDefault="00392E4B" w:rsidP="00D07357">
            <w:pPr>
              <w:tabs>
                <w:tab w:val="left" w:pos="160"/>
                <w:tab w:val="left" w:pos="336"/>
              </w:tabs>
              <w:spacing w:after="120"/>
              <w:jc w:val="both"/>
              <w:rPr>
                <w:rFonts w:cstheme="majorHAnsi"/>
                <w:b/>
                <w:sz w:val="16"/>
                <w:szCs w:val="16"/>
              </w:rPr>
            </w:pPr>
            <w:r w:rsidRPr="00381DA2">
              <w:rPr>
                <w:rFonts w:cstheme="majorHAnsi"/>
                <w:b/>
                <w:sz w:val="16"/>
                <w:szCs w:val="16"/>
              </w:rPr>
              <w:t>AJGS acordată persoanele juridice</w:t>
            </w:r>
          </w:p>
        </w:tc>
        <w:tc>
          <w:tcPr>
            <w:tcW w:w="1215" w:type="dxa"/>
            <w:gridSpan w:val="2"/>
            <w:shd w:val="clear" w:color="auto" w:fill="F2F2F2" w:themeFill="background1" w:themeFillShade="F2"/>
            <w:vAlign w:val="center"/>
          </w:tcPr>
          <w:p w14:paraId="766326D2"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 xml:space="preserve">19 cazuri în sumă de 21,0 </w:t>
            </w:r>
          </w:p>
          <w:p w14:paraId="54D52AEB"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mii lei</w:t>
            </w:r>
          </w:p>
        </w:tc>
        <w:tc>
          <w:tcPr>
            <w:tcW w:w="1043" w:type="dxa"/>
            <w:shd w:val="clear" w:color="auto" w:fill="F2F2F2" w:themeFill="background1" w:themeFillShade="F2"/>
            <w:vAlign w:val="center"/>
          </w:tcPr>
          <w:p w14:paraId="10DC511E"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100 %</w:t>
            </w:r>
          </w:p>
        </w:tc>
        <w:tc>
          <w:tcPr>
            <w:tcW w:w="1793" w:type="dxa"/>
            <w:shd w:val="clear" w:color="auto" w:fill="F2F2F2" w:themeFill="background1" w:themeFillShade="F2"/>
          </w:tcPr>
          <w:p w14:paraId="6F2093E8" w14:textId="77777777" w:rsidR="00392E4B" w:rsidRPr="00D46DC2" w:rsidRDefault="00D46DC2" w:rsidP="00D46DC2">
            <w:pPr>
              <w:pStyle w:val="ListParagraph"/>
              <w:numPr>
                <w:ilvl w:val="0"/>
                <w:numId w:val="37"/>
              </w:numPr>
              <w:tabs>
                <w:tab w:val="left" w:pos="66"/>
              </w:tabs>
              <w:ind w:left="0" w:right="-102" w:hanging="2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D46DC2">
              <w:rPr>
                <w:rFonts w:asciiTheme="majorHAnsi" w:hAnsiTheme="majorHAnsi" w:cstheme="majorHAnsi"/>
                <w:sz w:val="16"/>
                <w:szCs w:val="16"/>
              </w:rPr>
              <w:t>E</w:t>
            </w:r>
            <w:r w:rsidR="00BF4784">
              <w:rPr>
                <w:rFonts w:asciiTheme="majorHAnsi" w:hAnsiTheme="majorHAnsi" w:cstheme="majorHAnsi"/>
                <w:sz w:val="16"/>
                <w:szCs w:val="16"/>
              </w:rPr>
              <w:t xml:space="preserve">valuarea </w:t>
            </w:r>
            <w:r w:rsidRPr="00D46DC2">
              <w:rPr>
                <w:rFonts w:asciiTheme="majorHAnsi" w:hAnsiTheme="majorHAnsi" w:cstheme="majorHAnsi"/>
                <w:sz w:val="16"/>
                <w:szCs w:val="16"/>
              </w:rPr>
              <w:t xml:space="preserve">dacă în toate cazurile </w:t>
            </w:r>
            <w:r>
              <w:rPr>
                <w:rFonts w:asciiTheme="majorHAnsi" w:hAnsiTheme="majorHAnsi" w:cstheme="majorHAnsi"/>
                <w:sz w:val="16"/>
                <w:szCs w:val="16"/>
              </w:rPr>
              <w:t>cererile</w:t>
            </w:r>
            <w:r w:rsidRPr="00D46DC2">
              <w:rPr>
                <w:rFonts w:asciiTheme="majorHAnsi" w:hAnsiTheme="majorHAnsi" w:cstheme="majorHAnsi"/>
                <w:sz w:val="16"/>
                <w:szCs w:val="16"/>
              </w:rPr>
              <w:t xml:space="preserve"> de AJGS a</w:t>
            </w:r>
            <w:r>
              <w:rPr>
                <w:rFonts w:asciiTheme="majorHAnsi" w:hAnsiTheme="majorHAnsi" w:cstheme="majorHAnsi"/>
                <w:sz w:val="16"/>
                <w:szCs w:val="16"/>
              </w:rPr>
              <w:t xml:space="preserve">u </w:t>
            </w:r>
            <w:r w:rsidRPr="00D46DC2">
              <w:rPr>
                <w:rFonts w:asciiTheme="majorHAnsi" w:hAnsiTheme="majorHAnsi" w:cstheme="majorHAnsi"/>
                <w:sz w:val="16"/>
                <w:szCs w:val="16"/>
              </w:rPr>
              <w:t xml:space="preserve">fost </w:t>
            </w:r>
            <w:r>
              <w:rPr>
                <w:rFonts w:asciiTheme="majorHAnsi" w:hAnsiTheme="majorHAnsi" w:cstheme="majorHAnsi"/>
                <w:sz w:val="16"/>
                <w:szCs w:val="16"/>
              </w:rPr>
              <w:t xml:space="preserve">la solicitarea </w:t>
            </w:r>
            <w:r w:rsidRPr="00D46DC2">
              <w:rPr>
                <w:rFonts w:asciiTheme="majorHAnsi" w:hAnsiTheme="majorHAnsi" w:cstheme="majorHAnsi"/>
                <w:sz w:val="16"/>
                <w:szCs w:val="16"/>
                <w:lang w:val="ro-MD"/>
              </w:rPr>
              <w:t>procurorul</w:t>
            </w:r>
            <w:r>
              <w:rPr>
                <w:rFonts w:asciiTheme="majorHAnsi" w:hAnsiTheme="majorHAnsi" w:cstheme="majorHAnsi"/>
                <w:sz w:val="16"/>
                <w:szCs w:val="16"/>
                <w:lang w:val="ro-MD"/>
              </w:rPr>
              <w:t>ui</w:t>
            </w:r>
            <w:r w:rsidRPr="00D46DC2">
              <w:rPr>
                <w:rFonts w:asciiTheme="majorHAnsi" w:hAnsiTheme="majorHAnsi" w:cstheme="majorHAnsi"/>
                <w:sz w:val="16"/>
                <w:szCs w:val="16"/>
                <w:lang w:val="ro-MD"/>
              </w:rPr>
              <w:t xml:space="preserve"> sau instanț</w:t>
            </w:r>
            <w:r>
              <w:rPr>
                <w:rFonts w:asciiTheme="majorHAnsi" w:hAnsiTheme="majorHAnsi" w:cstheme="majorHAnsi"/>
                <w:sz w:val="16"/>
                <w:szCs w:val="16"/>
                <w:lang w:val="ro-MD"/>
              </w:rPr>
              <w:t>ei</w:t>
            </w:r>
            <w:r w:rsidRPr="00D46DC2">
              <w:rPr>
                <w:rFonts w:asciiTheme="majorHAnsi" w:hAnsiTheme="majorHAnsi" w:cstheme="majorHAnsi"/>
                <w:sz w:val="16"/>
                <w:szCs w:val="16"/>
                <w:lang w:val="ro-MD"/>
              </w:rPr>
              <w:t xml:space="preserve"> de judecată</w:t>
            </w:r>
            <w:r>
              <w:rPr>
                <w:rFonts w:asciiTheme="majorHAnsi" w:hAnsiTheme="majorHAnsi" w:cstheme="majorHAnsi"/>
                <w:sz w:val="16"/>
                <w:szCs w:val="16"/>
                <w:lang w:val="ro-MD"/>
              </w:rPr>
              <w:t>;</w:t>
            </w:r>
          </w:p>
          <w:p w14:paraId="4FD72B55" w14:textId="77777777" w:rsidR="00D46DC2" w:rsidRPr="00D46DC2" w:rsidRDefault="00D46DC2" w:rsidP="00D46DC2">
            <w:pPr>
              <w:pStyle w:val="ListParagraph"/>
              <w:numPr>
                <w:ilvl w:val="0"/>
                <w:numId w:val="37"/>
              </w:numPr>
              <w:tabs>
                <w:tab w:val="left" w:pos="66"/>
              </w:tabs>
              <w:ind w:left="0" w:right="-102" w:hanging="2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lang w:val="ro-MD"/>
              </w:rPr>
              <w:t xml:space="preserve">Acordarea AJGS doar </w:t>
            </w:r>
            <w:proofErr w:type="spellStart"/>
            <w:r>
              <w:rPr>
                <w:rFonts w:asciiTheme="majorHAnsi" w:hAnsiTheme="majorHAnsi" w:cstheme="majorHAnsi"/>
                <w:sz w:val="16"/>
                <w:szCs w:val="16"/>
                <w:lang w:val="ro-MD"/>
              </w:rPr>
              <w:t>p.j</w:t>
            </w:r>
            <w:proofErr w:type="spellEnd"/>
            <w:r>
              <w:rPr>
                <w:rFonts w:asciiTheme="majorHAnsi" w:hAnsiTheme="majorHAnsi" w:cstheme="majorHAnsi"/>
                <w:sz w:val="16"/>
                <w:szCs w:val="16"/>
                <w:lang w:val="ro-MD"/>
              </w:rPr>
              <w:t>. care nu au desemnat reprezentant legal;</w:t>
            </w:r>
          </w:p>
        </w:tc>
        <w:tc>
          <w:tcPr>
            <w:tcW w:w="4764" w:type="dxa"/>
            <w:shd w:val="clear" w:color="auto" w:fill="F2F2F2" w:themeFill="background1" w:themeFillShade="F2"/>
            <w:vAlign w:val="center"/>
          </w:tcPr>
          <w:p w14:paraId="0CA6460E" w14:textId="77777777" w:rsidR="00392E4B" w:rsidRPr="00381DA2" w:rsidRDefault="00392E4B" w:rsidP="00D46DC2">
            <w:pPr>
              <w:numPr>
                <w:ilvl w:val="0"/>
                <w:numId w:val="36"/>
              </w:numPr>
              <w:tabs>
                <w:tab w:val="left" w:pos="174"/>
              </w:tabs>
              <w:ind w:left="72" w:hanging="72"/>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US"/>
              </w:rPr>
            </w:pPr>
            <w:r w:rsidRPr="00381DA2">
              <w:rPr>
                <w:rFonts w:asciiTheme="majorHAnsi" w:hAnsiTheme="majorHAnsi" w:cstheme="majorHAnsi"/>
                <w:sz w:val="16"/>
                <w:szCs w:val="16"/>
              </w:rPr>
              <w:t>art. 20 lit. (a</w:t>
            </w:r>
            <w:r w:rsidRPr="00381DA2">
              <w:rPr>
                <w:rFonts w:asciiTheme="majorHAnsi" w:hAnsiTheme="majorHAnsi" w:cstheme="majorHAnsi"/>
                <w:sz w:val="16"/>
                <w:szCs w:val="16"/>
                <w:vertAlign w:val="superscript"/>
              </w:rPr>
              <w:t>1</w:t>
            </w:r>
            <w:r w:rsidRPr="00381DA2">
              <w:rPr>
                <w:rFonts w:asciiTheme="majorHAnsi" w:hAnsiTheme="majorHAnsi" w:cstheme="majorHAnsi"/>
                <w:sz w:val="16"/>
                <w:szCs w:val="16"/>
              </w:rPr>
              <w:t>) din Legea 198/2007;</w:t>
            </w:r>
          </w:p>
          <w:p w14:paraId="61DA4952" w14:textId="77777777" w:rsidR="00392E4B" w:rsidRPr="00381DA2" w:rsidRDefault="00392E4B" w:rsidP="00D46DC2">
            <w:pPr>
              <w:numPr>
                <w:ilvl w:val="0"/>
                <w:numId w:val="36"/>
              </w:numPr>
              <w:tabs>
                <w:tab w:val="left" w:pos="174"/>
              </w:tabs>
              <w:ind w:left="72" w:hanging="72"/>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art. 521 din CPP;</w:t>
            </w:r>
          </w:p>
        </w:tc>
      </w:tr>
      <w:tr w:rsidR="00392E4B" w:rsidRPr="00381DA2" w14:paraId="1A60ADC9" w14:textId="77777777" w:rsidTr="00D46DC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25085466" w14:textId="77777777" w:rsidR="00392E4B" w:rsidRPr="00381DA2" w:rsidRDefault="00392E4B" w:rsidP="00D07357">
            <w:pPr>
              <w:tabs>
                <w:tab w:val="left" w:pos="160"/>
                <w:tab w:val="left" w:pos="336"/>
              </w:tabs>
              <w:contextualSpacing/>
              <w:jc w:val="both"/>
              <w:rPr>
                <w:rFonts w:cstheme="majorHAnsi"/>
                <w:b/>
                <w:sz w:val="16"/>
                <w:szCs w:val="16"/>
              </w:rPr>
            </w:pPr>
            <w:r w:rsidRPr="00381DA2">
              <w:rPr>
                <w:rFonts w:cstheme="majorHAnsi"/>
                <w:b/>
                <w:sz w:val="16"/>
                <w:szCs w:val="16"/>
              </w:rPr>
              <w:t>Acordarea AJGS beneficiarilor în funcție de nivelul veniturilor acestora</w:t>
            </w:r>
          </w:p>
        </w:tc>
        <w:tc>
          <w:tcPr>
            <w:tcW w:w="1215" w:type="dxa"/>
            <w:gridSpan w:val="2"/>
            <w:shd w:val="clear" w:color="auto" w:fill="FFFFFF" w:themeFill="background1"/>
            <w:vAlign w:val="center"/>
          </w:tcPr>
          <w:p w14:paraId="4B9A985B"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10521 decizii de AJGS în baza testului la venit</w:t>
            </w:r>
          </w:p>
        </w:tc>
        <w:tc>
          <w:tcPr>
            <w:tcW w:w="1043" w:type="dxa"/>
            <w:shd w:val="clear" w:color="auto" w:fill="FFFFFF" w:themeFill="background1"/>
            <w:vAlign w:val="center"/>
          </w:tcPr>
          <w:p w14:paraId="04D3C9F5"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4%,</w:t>
            </w:r>
          </w:p>
          <w:p w14:paraId="4BF768E3"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6D7F9EBC"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318 de decizii de ASJGS</w:t>
            </w:r>
          </w:p>
        </w:tc>
        <w:tc>
          <w:tcPr>
            <w:tcW w:w="1793" w:type="dxa"/>
            <w:shd w:val="clear" w:color="auto" w:fill="FFFFFF" w:themeFill="background1"/>
          </w:tcPr>
          <w:p w14:paraId="53F97D12" w14:textId="77777777" w:rsidR="00BF4784" w:rsidRDefault="00136702" w:rsidP="00BF4784">
            <w:pPr>
              <w:pStyle w:val="ListParagraph"/>
              <w:numPr>
                <w:ilvl w:val="0"/>
                <w:numId w:val="37"/>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 xml:space="preserve">Examinarea atașării la </w:t>
            </w:r>
            <w:r w:rsidR="00BF4784">
              <w:rPr>
                <w:rFonts w:asciiTheme="majorHAnsi" w:eastAsia="Calibri" w:hAnsiTheme="majorHAnsi" w:cstheme="majorHAnsi"/>
                <w:sz w:val="16"/>
                <w:szCs w:val="16"/>
              </w:rPr>
              <w:t>solicitare</w:t>
            </w:r>
            <w:r>
              <w:rPr>
                <w:rFonts w:asciiTheme="majorHAnsi" w:eastAsia="Calibri" w:hAnsiTheme="majorHAnsi" w:cstheme="majorHAnsi"/>
                <w:sz w:val="16"/>
                <w:szCs w:val="16"/>
              </w:rPr>
              <w:t xml:space="preserve"> a tuturor</w:t>
            </w:r>
            <w:r w:rsidR="005A5C17">
              <w:rPr>
                <w:rFonts w:asciiTheme="majorHAnsi" w:eastAsia="Calibri" w:hAnsiTheme="majorHAnsi" w:cstheme="majorHAnsi"/>
                <w:sz w:val="16"/>
                <w:szCs w:val="16"/>
              </w:rPr>
              <w:t xml:space="preserve"> cererilor prestabilite precum și declarației pe venit;</w:t>
            </w:r>
          </w:p>
          <w:p w14:paraId="253FEF3C" w14:textId="77777777" w:rsidR="005A5C17" w:rsidRPr="00BF4784" w:rsidRDefault="00BF4784" w:rsidP="00BF4784">
            <w:pPr>
              <w:pStyle w:val="ListParagraph"/>
              <w:numPr>
                <w:ilvl w:val="0"/>
                <w:numId w:val="37"/>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BF4784">
              <w:rPr>
                <w:rFonts w:asciiTheme="majorHAnsi" w:eastAsia="Calibri" w:hAnsiTheme="majorHAnsi" w:cstheme="majorHAnsi"/>
                <w:sz w:val="16"/>
                <w:szCs w:val="16"/>
              </w:rPr>
              <w:t xml:space="preserve">Examinarea </w:t>
            </w:r>
            <w:r>
              <w:rPr>
                <w:rFonts w:asciiTheme="majorHAnsi" w:eastAsia="Calibri" w:hAnsiTheme="majorHAnsi" w:cstheme="majorHAnsi"/>
                <w:sz w:val="16"/>
                <w:szCs w:val="16"/>
              </w:rPr>
              <w:t>modalității de identificare a veniturilor obținute în natură și din gospodăriile</w:t>
            </w:r>
            <w:r w:rsidRPr="00BF4784">
              <w:rPr>
                <w:rFonts w:asciiTheme="majorHAnsi" w:eastAsia="Calibri" w:hAnsiTheme="majorHAnsi" w:cstheme="majorHAnsi"/>
                <w:sz w:val="16"/>
                <w:szCs w:val="16"/>
              </w:rPr>
              <w:t xml:space="preserve"> casnice auxiliare</w:t>
            </w:r>
            <w:r>
              <w:rPr>
                <w:rFonts w:asciiTheme="majorHAnsi" w:eastAsia="Calibri" w:hAnsiTheme="majorHAnsi" w:cstheme="majorHAnsi"/>
                <w:sz w:val="16"/>
                <w:szCs w:val="16"/>
              </w:rPr>
              <w:t>;</w:t>
            </w:r>
          </w:p>
        </w:tc>
        <w:tc>
          <w:tcPr>
            <w:tcW w:w="4764" w:type="dxa"/>
            <w:shd w:val="clear" w:color="auto" w:fill="FFFFFF" w:themeFill="background1"/>
            <w:vAlign w:val="center"/>
          </w:tcPr>
          <w:p w14:paraId="20C9A684"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art.19 alin.(1) lit.</w:t>
            </w:r>
            <w:r w:rsidR="00D46DC2">
              <w:rPr>
                <w:rFonts w:asciiTheme="majorHAnsi" w:eastAsia="Calibri" w:hAnsiTheme="majorHAnsi" w:cstheme="majorHAnsi"/>
                <w:sz w:val="16"/>
                <w:szCs w:val="16"/>
              </w:rPr>
              <w:t xml:space="preserve"> </w:t>
            </w:r>
            <w:r w:rsidRPr="00381DA2">
              <w:rPr>
                <w:rFonts w:asciiTheme="majorHAnsi" w:eastAsia="Calibri" w:hAnsiTheme="majorHAnsi" w:cstheme="majorHAnsi"/>
                <w:sz w:val="16"/>
                <w:szCs w:val="16"/>
              </w:rPr>
              <w:t>a), lit.</w:t>
            </w:r>
            <w:r w:rsidR="00D46DC2">
              <w:rPr>
                <w:rFonts w:asciiTheme="majorHAnsi" w:eastAsia="Calibri" w:hAnsiTheme="majorHAnsi" w:cstheme="majorHAnsi"/>
                <w:sz w:val="16"/>
                <w:szCs w:val="16"/>
              </w:rPr>
              <w:t xml:space="preserve"> </w:t>
            </w:r>
            <w:r w:rsidRPr="00381DA2">
              <w:rPr>
                <w:rFonts w:asciiTheme="majorHAnsi" w:eastAsia="Calibri" w:hAnsiTheme="majorHAnsi" w:cstheme="majorHAnsi"/>
                <w:sz w:val="16"/>
                <w:szCs w:val="16"/>
              </w:rPr>
              <w:t>e) și art.21 alin.(1)  din Legea 198/2007;</w:t>
            </w:r>
          </w:p>
          <w:p w14:paraId="7305E7FF"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HG nr.1016/2008 a fost aprobat Regulamentul privind metodologia de calcul al venitului în scopul acordării asistenței juridice calificate garantate de stat;</w:t>
            </w:r>
          </w:p>
          <w:p w14:paraId="44A21DDE" w14:textId="77777777" w:rsidR="00392E4B" w:rsidRPr="00381DA2" w:rsidRDefault="00392E4B" w:rsidP="00D07357">
            <w:pPr>
              <w:numPr>
                <w:ilvl w:val="0"/>
                <w:numId w:val="36"/>
              </w:numPr>
              <w:spacing w:after="80"/>
              <w:ind w:left="164" w:hanging="18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Regulamentul cu privire la modul de calculare a mărimii minimului de existență aprobat prin Hotărârea Guvernului nr. 285 din 30.04.2013.</w:t>
            </w:r>
          </w:p>
        </w:tc>
      </w:tr>
      <w:tr w:rsidR="00392E4B" w:rsidRPr="00381DA2" w14:paraId="3C323B33" w14:textId="77777777" w:rsidTr="00D46DC2">
        <w:trPr>
          <w:trHeight w:val="642"/>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vAlign w:val="center"/>
          </w:tcPr>
          <w:p w14:paraId="09F7AD39" w14:textId="77777777" w:rsidR="00392E4B" w:rsidRPr="00381DA2" w:rsidRDefault="00392E4B" w:rsidP="00D07357">
            <w:pPr>
              <w:tabs>
                <w:tab w:val="left" w:pos="160"/>
                <w:tab w:val="left" w:pos="336"/>
              </w:tabs>
              <w:contextualSpacing/>
              <w:jc w:val="both"/>
              <w:rPr>
                <w:rFonts w:cstheme="majorHAnsi"/>
                <w:sz w:val="16"/>
                <w:szCs w:val="16"/>
              </w:rPr>
            </w:pPr>
            <w:r w:rsidRPr="00381DA2">
              <w:rPr>
                <w:rFonts w:cstheme="majorHAnsi"/>
                <w:b/>
                <w:sz w:val="16"/>
                <w:szCs w:val="16"/>
              </w:rPr>
              <w:t>Unele prevederi ale Regulamentului de funcționare a OT a CNAJGS nu sunt subordonate prevederilor legale</w:t>
            </w:r>
          </w:p>
        </w:tc>
        <w:tc>
          <w:tcPr>
            <w:tcW w:w="1215" w:type="dxa"/>
            <w:gridSpan w:val="2"/>
            <w:shd w:val="clear" w:color="auto" w:fill="F2F2F2" w:themeFill="background1" w:themeFillShade="F2"/>
            <w:vAlign w:val="center"/>
          </w:tcPr>
          <w:p w14:paraId="7DBD15D5"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70 de cazuri</w:t>
            </w:r>
            <w:r w:rsidRPr="00381DA2">
              <w:rPr>
                <w:rFonts w:asciiTheme="majorHAnsi" w:hAnsiTheme="majorHAnsi" w:cstheme="majorHAnsi"/>
                <w:sz w:val="16"/>
                <w:szCs w:val="16"/>
              </w:rPr>
              <w:t xml:space="preserve"> </w:t>
            </w:r>
          </w:p>
        </w:tc>
        <w:tc>
          <w:tcPr>
            <w:tcW w:w="1043" w:type="dxa"/>
            <w:shd w:val="clear" w:color="auto" w:fill="F2F2F2" w:themeFill="background1" w:themeFillShade="F2"/>
            <w:vAlign w:val="center"/>
          </w:tcPr>
          <w:p w14:paraId="59FB7A13"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100 %</w:t>
            </w:r>
          </w:p>
        </w:tc>
        <w:tc>
          <w:tcPr>
            <w:tcW w:w="1793" w:type="dxa"/>
            <w:shd w:val="clear" w:color="auto" w:fill="F2F2F2" w:themeFill="background1" w:themeFillShade="F2"/>
          </w:tcPr>
          <w:p w14:paraId="1F8701BF" w14:textId="77777777" w:rsidR="00392E4B" w:rsidRPr="00D728A4" w:rsidRDefault="00392E4B" w:rsidP="00D728A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c>
          <w:tcPr>
            <w:tcW w:w="4764" w:type="dxa"/>
            <w:shd w:val="clear" w:color="auto" w:fill="F2F2F2" w:themeFill="background1" w:themeFillShade="F2"/>
            <w:vAlign w:val="center"/>
          </w:tcPr>
          <w:p w14:paraId="195AC3DF"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art.20 și art.22 din Legea 198/2007;</w:t>
            </w:r>
          </w:p>
          <w:p w14:paraId="4A19006D"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pct.31 din Regulamentului funcționării OT ale CNAJGS, aprobat prin Hotărârea CNAJGS nr.15 din 30.07.2008</w:t>
            </w:r>
          </w:p>
        </w:tc>
      </w:tr>
      <w:tr w:rsidR="00392E4B" w:rsidRPr="00381DA2" w14:paraId="0B5CFF97" w14:textId="77777777" w:rsidTr="00D46DC2">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6E15F90D" w14:textId="77777777" w:rsidR="00392E4B" w:rsidRPr="00381DA2" w:rsidRDefault="00392E4B" w:rsidP="00D07357">
            <w:pPr>
              <w:tabs>
                <w:tab w:val="left" w:pos="160"/>
                <w:tab w:val="left" w:pos="336"/>
              </w:tabs>
              <w:contextualSpacing/>
              <w:jc w:val="both"/>
              <w:rPr>
                <w:rFonts w:cstheme="majorHAnsi"/>
                <w:sz w:val="16"/>
                <w:szCs w:val="16"/>
              </w:rPr>
            </w:pPr>
            <w:r w:rsidRPr="00381DA2">
              <w:rPr>
                <w:rFonts w:cstheme="majorHAnsi"/>
                <w:b/>
                <w:sz w:val="16"/>
                <w:szCs w:val="16"/>
              </w:rPr>
              <w:t>Volumului de lucru repartizat avocaților contractați la cerere</w:t>
            </w:r>
          </w:p>
        </w:tc>
        <w:tc>
          <w:tcPr>
            <w:tcW w:w="1215" w:type="dxa"/>
            <w:gridSpan w:val="2"/>
            <w:shd w:val="clear" w:color="auto" w:fill="FFFFFF" w:themeFill="background1"/>
            <w:vAlign w:val="center"/>
          </w:tcPr>
          <w:p w14:paraId="5C006CA5"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549 de avocați</w:t>
            </w:r>
          </w:p>
        </w:tc>
        <w:tc>
          <w:tcPr>
            <w:tcW w:w="1043" w:type="dxa"/>
            <w:shd w:val="clear" w:color="auto" w:fill="FFFFFF" w:themeFill="background1"/>
            <w:vAlign w:val="center"/>
          </w:tcPr>
          <w:p w14:paraId="1754D8C6"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w:t>
            </w:r>
          </w:p>
        </w:tc>
        <w:tc>
          <w:tcPr>
            <w:tcW w:w="1793" w:type="dxa"/>
            <w:shd w:val="clear" w:color="auto" w:fill="FFFFFF" w:themeFill="background1"/>
          </w:tcPr>
          <w:p w14:paraId="2D0CEDCF" w14:textId="77777777" w:rsidR="00392E4B" w:rsidRDefault="00BF4784" w:rsidP="00BF4784">
            <w:pPr>
              <w:pStyle w:val="ListParagraph"/>
              <w:numPr>
                <w:ilvl w:val="0"/>
                <w:numId w:val="37"/>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 xml:space="preserve">Analiza </w:t>
            </w:r>
            <w:r w:rsidR="00D728A4">
              <w:rPr>
                <w:rFonts w:asciiTheme="majorHAnsi" w:eastAsia="Calibri" w:hAnsiTheme="majorHAnsi" w:cstheme="majorHAnsi"/>
                <w:sz w:val="16"/>
                <w:szCs w:val="16"/>
              </w:rPr>
              <w:t>SI al CNAJGS;</w:t>
            </w:r>
          </w:p>
          <w:p w14:paraId="640BFBC8" w14:textId="77777777" w:rsidR="00D728A4" w:rsidRDefault="00D728A4" w:rsidP="00D728A4">
            <w:pPr>
              <w:pStyle w:val="ListParagraph"/>
              <w:numPr>
                <w:ilvl w:val="0"/>
                <w:numId w:val="37"/>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Solicitări de informații de la Aparatul administrativ al CNAJGS și a prestatorului de servicii IT;</w:t>
            </w:r>
          </w:p>
          <w:p w14:paraId="3AC722D7" w14:textId="77777777" w:rsidR="00D728A4" w:rsidRPr="00BF4784" w:rsidRDefault="00D728A4" w:rsidP="00D728A4">
            <w:pPr>
              <w:pStyle w:val="ListParagraph"/>
              <w:numPr>
                <w:ilvl w:val="0"/>
                <w:numId w:val="37"/>
              </w:numPr>
              <w:tabs>
                <w:tab w:val="left" w:pos="66"/>
              </w:tabs>
              <w:ind w:left="-2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Intervievarea coordonatorilor OT.</w:t>
            </w:r>
          </w:p>
        </w:tc>
        <w:tc>
          <w:tcPr>
            <w:tcW w:w="4764" w:type="dxa"/>
            <w:shd w:val="clear" w:color="auto" w:fill="FFFFFF" w:themeFill="background1"/>
            <w:vAlign w:val="center"/>
          </w:tcPr>
          <w:p w14:paraId="04905D43"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27, alin. (2) și art. 29, alin. (7) din Legea 198/2007;</w:t>
            </w:r>
          </w:p>
          <w:p w14:paraId="31568DEF"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Hotărârea CNAJGS nr. 33 din 27.12.2017 cu privire Ia stabilirea volumului de lucru atribuit avocaților publici, cu modificările ulterioare;</w:t>
            </w:r>
          </w:p>
          <w:p w14:paraId="608FE54F"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pct. 8, lit. a) din Regulamentul funcționării OT ale CNAJGS aprobat prin Hotărârea CNAJGS nr. 15/2008.</w:t>
            </w:r>
          </w:p>
        </w:tc>
      </w:tr>
      <w:tr w:rsidR="00D46DC2" w:rsidRPr="00381DA2" w14:paraId="08866263" w14:textId="77777777" w:rsidTr="00BF4784">
        <w:trPr>
          <w:trHeight w:val="297"/>
        </w:trPr>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EEAF6" w:themeFill="accent1" w:themeFillTint="33"/>
          </w:tcPr>
          <w:p w14:paraId="09C5E8F3" w14:textId="77777777" w:rsidR="00D46DC2" w:rsidRPr="00381DA2" w:rsidRDefault="00D46DC2" w:rsidP="00392E4B">
            <w:pPr>
              <w:pStyle w:val="ListParagraph"/>
              <w:numPr>
                <w:ilvl w:val="0"/>
                <w:numId w:val="42"/>
              </w:numPr>
              <w:ind w:left="354" w:hanging="295"/>
              <w:jc w:val="center"/>
              <w:rPr>
                <w:rFonts w:asciiTheme="majorHAnsi" w:hAnsiTheme="majorHAnsi" w:cstheme="majorHAnsi"/>
                <w:sz w:val="18"/>
                <w:szCs w:val="18"/>
                <w:lang w:val="ro-MD"/>
              </w:rPr>
            </w:pPr>
            <w:r w:rsidRPr="00381DA2">
              <w:rPr>
                <w:rFonts w:asciiTheme="majorHAnsi" w:hAnsiTheme="majorHAnsi" w:cstheme="majorHAnsi"/>
                <w:sz w:val="20"/>
                <w:szCs w:val="20"/>
                <w:lang w:val="ro-MD"/>
              </w:rPr>
              <w:t>Factorii responsabili au asigurat conformitate procesului de valorificare a resurselor pentru serviciile de asistență juridică garantată de stat?</w:t>
            </w:r>
          </w:p>
        </w:tc>
      </w:tr>
      <w:tr w:rsidR="00082470" w:rsidRPr="00381DA2" w14:paraId="6BEA94B8" w14:textId="77777777" w:rsidTr="00082470">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974" w:type="dxa"/>
          </w:tcPr>
          <w:p w14:paraId="2679149B" w14:textId="77777777" w:rsidR="00082470" w:rsidRPr="00381DA2" w:rsidRDefault="00082470" w:rsidP="00D07357">
            <w:pPr>
              <w:spacing w:after="120"/>
              <w:jc w:val="both"/>
              <w:rPr>
                <w:rFonts w:cstheme="majorHAnsi"/>
                <w:sz w:val="16"/>
                <w:szCs w:val="16"/>
              </w:rPr>
            </w:pPr>
            <w:r w:rsidRPr="00381DA2">
              <w:rPr>
                <w:rFonts w:cstheme="majorHAnsi"/>
                <w:b/>
                <w:bCs/>
                <w:sz w:val="16"/>
                <w:szCs w:val="16"/>
              </w:rPr>
              <w:lastRenderedPageBreak/>
              <w:t>Procesul de remunerare a asistenței juridice calificate de stat necesită a fi îmbunătățit</w:t>
            </w:r>
          </w:p>
        </w:tc>
        <w:tc>
          <w:tcPr>
            <w:tcW w:w="1215" w:type="dxa"/>
            <w:gridSpan w:val="2"/>
            <w:vMerge w:val="restart"/>
            <w:shd w:val="clear" w:color="auto" w:fill="FFFFFF" w:themeFill="background1"/>
          </w:tcPr>
          <w:p w14:paraId="0E185155" w14:textId="77777777" w:rsidR="00082470" w:rsidRPr="00381DA2" w:rsidRDefault="00082470"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SI al CNAJGS nu are funcții de a selecta achitarea mijloacelor bugetare per-acțiune raportată de avocați</w:t>
            </w:r>
          </w:p>
        </w:tc>
        <w:tc>
          <w:tcPr>
            <w:tcW w:w="1043" w:type="dxa"/>
            <w:vMerge w:val="restart"/>
            <w:shd w:val="clear" w:color="auto" w:fill="FFFFFF" w:themeFill="background1"/>
          </w:tcPr>
          <w:p w14:paraId="55F4E73F" w14:textId="77777777" w:rsidR="00082470" w:rsidRPr="00381DA2" w:rsidRDefault="00082470" w:rsidP="00D0735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117 de cazuri testate în sumă de 162,5 mii lei</w:t>
            </w:r>
          </w:p>
        </w:tc>
        <w:tc>
          <w:tcPr>
            <w:tcW w:w="1793" w:type="dxa"/>
            <w:vMerge w:val="restart"/>
            <w:shd w:val="clear" w:color="auto" w:fill="FFFFFF" w:themeFill="background1"/>
          </w:tcPr>
          <w:p w14:paraId="2F582CA9" w14:textId="77777777" w:rsidR="00082470" w:rsidRPr="00381DA2" w:rsidRDefault="00082470" w:rsidP="00D728A4">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16"/>
                <w:szCs w:val="16"/>
              </w:rPr>
            </w:pPr>
            <w:r w:rsidRPr="00D728A4">
              <w:rPr>
                <w:rFonts w:asciiTheme="majorHAnsi" w:eastAsia="Calibri" w:hAnsiTheme="majorHAnsi" w:cstheme="majorHAnsi"/>
                <w:sz w:val="16"/>
                <w:szCs w:val="16"/>
              </w:rPr>
              <w:t xml:space="preserve">Verificarea </w:t>
            </w:r>
            <w:r>
              <w:rPr>
                <w:rFonts w:asciiTheme="majorHAnsi" w:eastAsia="Calibri" w:hAnsiTheme="majorHAnsi" w:cstheme="majorHAnsi"/>
                <w:sz w:val="16"/>
                <w:szCs w:val="16"/>
              </w:rPr>
              <w:t xml:space="preserve">atașării în SI al CNAJGS a  documentelor justificative pentru </w:t>
            </w:r>
            <w:r w:rsidRPr="00D728A4">
              <w:rPr>
                <w:rFonts w:asciiTheme="majorHAnsi" w:eastAsia="Calibri" w:hAnsiTheme="majorHAnsi" w:cstheme="majorHAnsi"/>
                <w:sz w:val="16"/>
                <w:szCs w:val="16"/>
              </w:rPr>
              <w:t>acțiuni</w:t>
            </w:r>
            <w:r>
              <w:rPr>
                <w:rFonts w:asciiTheme="majorHAnsi" w:eastAsia="Calibri" w:hAnsiTheme="majorHAnsi" w:cstheme="majorHAnsi"/>
                <w:sz w:val="16"/>
                <w:szCs w:val="16"/>
              </w:rPr>
              <w:t>le</w:t>
            </w:r>
            <w:r w:rsidRPr="00D728A4">
              <w:rPr>
                <w:rFonts w:asciiTheme="majorHAnsi" w:eastAsia="Calibri" w:hAnsiTheme="majorHAnsi" w:cstheme="majorHAnsi"/>
                <w:sz w:val="16"/>
                <w:szCs w:val="16"/>
              </w:rPr>
              <w:t xml:space="preserve"> indicate în Rapo</w:t>
            </w:r>
            <w:r>
              <w:rPr>
                <w:rFonts w:asciiTheme="majorHAnsi" w:eastAsia="Calibri" w:hAnsiTheme="majorHAnsi" w:cstheme="majorHAnsi"/>
                <w:sz w:val="16"/>
                <w:szCs w:val="16"/>
              </w:rPr>
              <w:t>arte</w:t>
            </w:r>
            <w:r w:rsidRPr="00D728A4">
              <w:rPr>
                <w:rFonts w:asciiTheme="majorHAnsi" w:eastAsia="Calibri" w:hAnsiTheme="majorHAnsi" w:cstheme="majorHAnsi"/>
                <w:sz w:val="16"/>
                <w:szCs w:val="16"/>
              </w:rPr>
              <w:t xml:space="preserve"> de </w:t>
            </w:r>
            <w:r>
              <w:rPr>
                <w:rFonts w:asciiTheme="majorHAnsi" w:eastAsia="Calibri" w:hAnsiTheme="majorHAnsi" w:cstheme="majorHAnsi"/>
                <w:sz w:val="16"/>
                <w:szCs w:val="16"/>
              </w:rPr>
              <w:t>către avocați, remunerarea cărora</w:t>
            </w:r>
            <w:r w:rsidRPr="00D728A4">
              <w:rPr>
                <w:rFonts w:asciiTheme="majorHAnsi" w:eastAsia="Calibri" w:hAnsiTheme="majorHAnsi" w:cstheme="majorHAnsi"/>
                <w:sz w:val="16"/>
                <w:szCs w:val="16"/>
              </w:rPr>
              <w:t xml:space="preserve"> se efectuează din surse bugetare</w:t>
            </w:r>
            <w:r>
              <w:rPr>
                <w:rFonts w:asciiTheme="majorHAnsi" w:eastAsia="Calibri" w:hAnsiTheme="majorHAnsi" w:cstheme="majorHAnsi"/>
                <w:sz w:val="16"/>
                <w:szCs w:val="16"/>
              </w:rPr>
              <w:t>.</w:t>
            </w:r>
          </w:p>
        </w:tc>
        <w:tc>
          <w:tcPr>
            <w:tcW w:w="4764" w:type="dxa"/>
            <w:vMerge w:val="restart"/>
            <w:shd w:val="clear" w:color="auto" w:fill="FFFFFF" w:themeFill="background1"/>
          </w:tcPr>
          <w:p w14:paraId="64B621E3" w14:textId="77777777" w:rsidR="00082470" w:rsidRPr="00381DA2" w:rsidRDefault="00082470"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bCs/>
                <w:sz w:val="16"/>
                <w:szCs w:val="16"/>
              </w:rPr>
              <w:t>art. 29 alin (4) și art. 32 din Legea 198/2007;</w:t>
            </w:r>
          </w:p>
          <w:p w14:paraId="3A3F0125" w14:textId="77777777" w:rsidR="00082470" w:rsidRPr="00381DA2" w:rsidRDefault="00082470"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bCs/>
                <w:sz w:val="16"/>
                <w:szCs w:val="16"/>
              </w:rPr>
              <w:t>pct. 20, pct.21 din Regulamentul cu privire la mărimea și modul de remunerare a avocaților pentru acordarea asistenței juridice calificate garantate de stat, aprobat prin Hotărârea CNAJGS nr. 22 din 29.12.2008;</w:t>
            </w:r>
          </w:p>
          <w:p w14:paraId="1E1BAFB3" w14:textId="77777777" w:rsidR="00082470" w:rsidRPr="00381DA2" w:rsidRDefault="00082470"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bCs/>
                <w:sz w:val="16"/>
                <w:szCs w:val="16"/>
              </w:rPr>
              <w:t>Hotărârea nr. 18 din 15.11.2010 cu privire la interpretarea pct. 3(1) din Regulamentul cu privire la mărimea și modul de remunerare a avocaților pentru acordarea asistenței juridice calificate garantate de stat , aprobat prin Hotărârea CNAJGS nr. 22 din 19.12.2008,</w:t>
            </w:r>
          </w:p>
          <w:p w14:paraId="273035E7" w14:textId="77777777" w:rsidR="00082470" w:rsidRPr="00381DA2" w:rsidRDefault="00082470"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bCs/>
                <w:sz w:val="16"/>
                <w:szCs w:val="16"/>
              </w:rPr>
              <w:t>Hotărârea CNAJGS nr.9 din 29.03.2019 Cu privire la raportarea online obligatorie a avocaților care acordă asistență juridică garantată de stat;</w:t>
            </w:r>
          </w:p>
          <w:p w14:paraId="7F90AA84" w14:textId="77777777" w:rsidR="00082470" w:rsidRPr="00381DA2" w:rsidRDefault="00082470"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Hotărârea CNAJGS nr.40 din 16.12.2013 Cu privire la aprobarea modelului dosarului în apărare pe cauză, ținut de către avocați care acordă asistență juridică garantată de stat.</w:t>
            </w:r>
          </w:p>
        </w:tc>
      </w:tr>
      <w:tr w:rsidR="00082470" w:rsidRPr="00381DA2" w14:paraId="3DD1B34D" w14:textId="77777777" w:rsidTr="00082470">
        <w:trPr>
          <w:trHeight w:val="1143"/>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14:paraId="21583FF8" w14:textId="77777777" w:rsidR="00082470" w:rsidRPr="00381DA2" w:rsidRDefault="00082470" w:rsidP="00D07357">
            <w:pPr>
              <w:numPr>
                <w:ilvl w:val="0"/>
                <w:numId w:val="37"/>
              </w:numPr>
              <w:tabs>
                <w:tab w:val="left" w:pos="336"/>
              </w:tabs>
              <w:ind w:left="70" w:firstLine="0"/>
              <w:contextualSpacing/>
              <w:jc w:val="both"/>
              <w:rPr>
                <w:rFonts w:cstheme="majorHAnsi"/>
                <w:sz w:val="16"/>
                <w:szCs w:val="16"/>
              </w:rPr>
            </w:pPr>
            <w:r w:rsidRPr="00381DA2">
              <w:rPr>
                <w:rFonts w:cstheme="majorHAnsi"/>
                <w:sz w:val="16"/>
                <w:szCs w:val="16"/>
              </w:rPr>
              <w:t>Deficiențe în confirmarea documentară a acțiunilor întreprinse de avocați</w:t>
            </w:r>
          </w:p>
        </w:tc>
        <w:tc>
          <w:tcPr>
            <w:tcW w:w="1215" w:type="dxa"/>
            <w:gridSpan w:val="2"/>
            <w:vMerge/>
            <w:shd w:val="clear" w:color="auto" w:fill="F2F2F2" w:themeFill="background1" w:themeFillShade="F2"/>
          </w:tcPr>
          <w:p w14:paraId="519AE0F0" w14:textId="77777777" w:rsidR="00082470" w:rsidRPr="00381DA2" w:rsidRDefault="00082470"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043" w:type="dxa"/>
            <w:vMerge/>
            <w:shd w:val="clear" w:color="auto" w:fill="auto"/>
          </w:tcPr>
          <w:p w14:paraId="3DB43AD8" w14:textId="77777777" w:rsidR="00082470" w:rsidRPr="00381DA2" w:rsidRDefault="00082470" w:rsidP="00D0735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793" w:type="dxa"/>
            <w:vMerge/>
          </w:tcPr>
          <w:p w14:paraId="46423A46" w14:textId="77777777" w:rsidR="00082470" w:rsidRPr="00381DA2" w:rsidRDefault="00082470" w:rsidP="00D728A4">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c>
          <w:tcPr>
            <w:tcW w:w="4764" w:type="dxa"/>
            <w:vMerge/>
            <w:shd w:val="clear" w:color="auto" w:fill="auto"/>
          </w:tcPr>
          <w:p w14:paraId="75C2660B" w14:textId="77777777" w:rsidR="00082470" w:rsidRPr="00381DA2" w:rsidRDefault="00082470" w:rsidP="00D07357">
            <w:pPr>
              <w:numPr>
                <w:ilvl w:val="0"/>
                <w:numId w:val="36"/>
              </w:numPr>
              <w:spacing w:after="120"/>
              <w:ind w:left="173" w:hanging="18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p>
        </w:tc>
      </w:tr>
      <w:tr w:rsidR="00082470" w:rsidRPr="00381DA2" w14:paraId="3F08DF38" w14:textId="77777777" w:rsidTr="00D4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14:paraId="30D85BD4" w14:textId="77777777" w:rsidR="00082470" w:rsidRPr="00381DA2" w:rsidRDefault="00082470" w:rsidP="00D07357">
            <w:pPr>
              <w:numPr>
                <w:ilvl w:val="0"/>
                <w:numId w:val="37"/>
              </w:numPr>
              <w:tabs>
                <w:tab w:val="left" w:pos="160"/>
                <w:tab w:val="left" w:pos="336"/>
              </w:tabs>
              <w:ind w:left="156" w:firstLine="0"/>
              <w:contextualSpacing/>
              <w:jc w:val="both"/>
              <w:rPr>
                <w:rFonts w:cstheme="majorHAnsi"/>
                <w:sz w:val="16"/>
                <w:szCs w:val="16"/>
              </w:rPr>
            </w:pPr>
            <w:r w:rsidRPr="00381DA2">
              <w:rPr>
                <w:rFonts w:cstheme="majorHAnsi"/>
                <w:sz w:val="16"/>
                <w:szCs w:val="16"/>
              </w:rPr>
              <w:t>Achitare nejustificată a unor acțiuni raportate de către avocați</w:t>
            </w:r>
          </w:p>
        </w:tc>
        <w:tc>
          <w:tcPr>
            <w:tcW w:w="1215" w:type="dxa"/>
            <w:gridSpan w:val="2"/>
            <w:vMerge/>
          </w:tcPr>
          <w:p w14:paraId="77479919" w14:textId="77777777" w:rsidR="00082470" w:rsidRPr="00381DA2" w:rsidRDefault="00082470"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1043" w:type="dxa"/>
          </w:tcPr>
          <w:p w14:paraId="10C9400F" w14:textId="77777777" w:rsidR="00082470" w:rsidRPr="00381DA2" w:rsidRDefault="00082470"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63 de acțiuni/vizite raportate de către avocați achitate în sumă de 10,7 mii lei</w:t>
            </w:r>
          </w:p>
        </w:tc>
        <w:tc>
          <w:tcPr>
            <w:tcW w:w="1793" w:type="dxa"/>
          </w:tcPr>
          <w:p w14:paraId="13AB2930" w14:textId="77777777" w:rsidR="00082470" w:rsidRPr="00D728A4" w:rsidRDefault="00082470" w:rsidP="00D728A4">
            <w:pPr>
              <w:pStyle w:val="ListParagraph"/>
              <w:numPr>
                <w:ilvl w:val="0"/>
                <w:numId w:val="37"/>
              </w:numPr>
              <w:tabs>
                <w:tab w:val="left" w:pos="153"/>
              </w:tabs>
              <w:ind w:left="0" w:hanging="27"/>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D728A4">
              <w:rPr>
                <w:rFonts w:asciiTheme="majorHAnsi" w:eastAsia="Calibri" w:hAnsiTheme="majorHAnsi" w:cstheme="majorHAnsi"/>
                <w:sz w:val="16"/>
                <w:szCs w:val="16"/>
                <w:lang w:val="ro-MD"/>
              </w:rPr>
              <w:t>Rec</w:t>
            </w:r>
            <w:r>
              <w:rPr>
                <w:rFonts w:asciiTheme="majorHAnsi" w:eastAsia="Calibri" w:hAnsiTheme="majorHAnsi" w:cstheme="majorHAnsi"/>
                <w:sz w:val="16"/>
                <w:szCs w:val="16"/>
                <w:lang w:val="ro-MD"/>
              </w:rPr>
              <w:t xml:space="preserve">oncilierea datelor din </w:t>
            </w:r>
            <w:r w:rsidRPr="00D728A4">
              <w:rPr>
                <w:rFonts w:asciiTheme="majorHAnsi" w:eastAsia="Calibri" w:hAnsiTheme="majorHAnsi" w:cstheme="majorHAnsi"/>
                <w:sz w:val="16"/>
                <w:szCs w:val="16"/>
                <w:lang w:val="ro-MD"/>
              </w:rPr>
              <w:t>Rapoartele de activitate al avocaților cu informația din Registrele de evidență a Penitenciarului nr. 13 – Chișinău</w:t>
            </w:r>
            <w:r>
              <w:rPr>
                <w:rFonts w:asciiTheme="majorHAnsi" w:eastAsia="Calibri" w:hAnsiTheme="majorHAnsi" w:cstheme="majorHAnsi"/>
                <w:sz w:val="16"/>
                <w:szCs w:val="16"/>
                <w:lang w:val="ro-MD"/>
              </w:rPr>
              <w:t>.</w:t>
            </w:r>
          </w:p>
        </w:tc>
        <w:tc>
          <w:tcPr>
            <w:tcW w:w="4764" w:type="dxa"/>
          </w:tcPr>
          <w:p w14:paraId="2857D095" w14:textId="77777777" w:rsidR="00082470" w:rsidRPr="00381DA2" w:rsidRDefault="00082470" w:rsidP="00D07357">
            <w:pPr>
              <w:numPr>
                <w:ilvl w:val="0"/>
                <w:numId w:val="36"/>
              </w:numPr>
              <w:ind w:left="173" w:hanging="18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Pct. 3, alin.(2) lit. b) din Regulamentul privind remunerarea avocaților;</w:t>
            </w:r>
          </w:p>
          <w:p w14:paraId="4BE9BC2B" w14:textId="77777777" w:rsidR="00082470" w:rsidRPr="00381DA2" w:rsidRDefault="00082470" w:rsidP="00D07357">
            <w:pPr>
              <w:numPr>
                <w:ilvl w:val="0"/>
                <w:numId w:val="36"/>
              </w:numPr>
              <w:ind w:left="173" w:hanging="18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Ordinul MJ nr. 68 din 13.02.2019 cu privire la documentația de serviciu aplicabilă în activitatea de pază și escortare din cadrul sistemului administrației penitenciare;</w:t>
            </w:r>
          </w:p>
          <w:p w14:paraId="60E4A7DE" w14:textId="77777777" w:rsidR="00082470" w:rsidRPr="00381DA2" w:rsidRDefault="00082470" w:rsidP="00D07357">
            <w:pPr>
              <w:numPr>
                <w:ilvl w:val="0"/>
                <w:numId w:val="36"/>
              </w:numPr>
              <w:spacing w:after="120"/>
              <w:ind w:left="176" w:hanging="18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Ordinul MJ nr.336 din 01.07.2021 privind aprobarea procedurilor operaționale standard pe domeniul pază și escortare în sistemul administrației penitenciare.</w:t>
            </w:r>
          </w:p>
        </w:tc>
      </w:tr>
      <w:tr w:rsidR="00392E4B" w:rsidRPr="00381DA2" w14:paraId="264F39A5" w14:textId="77777777" w:rsidTr="00D46DC2">
        <w:trPr>
          <w:trHeight w:val="784"/>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14:paraId="52682C94" w14:textId="77777777" w:rsidR="00392E4B" w:rsidRPr="00381DA2" w:rsidRDefault="00392E4B" w:rsidP="00D07357">
            <w:pPr>
              <w:spacing w:after="120"/>
              <w:jc w:val="both"/>
              <w:rPr>
                <w:rFonts w:cstheme="majorHAnsi"/>
                <w:b/>
                <w:bCs/>
                <w:sz w:val="16"/>
                <w:szCs w:val="16"/>
              </w:rPr>
            </w:pPr>
            <w:r w:rsidRPr="00381DA2">
              <w:rPr>
                <w:rFonts w:cstheme="majorHAnsi"/>
                <w:b/>
                <w:bCs/>
                <w:sz w:val="16"/>
                <w:szCs w:val="16"/>
              </w:rPr>
              <w:t>Gestionarea cauzelor de acordare a AJGS pentru care avocații nu au prezentat rapoarte de activitate</w:t>
            </w:r>
          </w:p>
        </w:tc>
        <w:tc>
          <w:tcPr>
            <w:tcW w:w="1215" w:type="dxa"/>
            <w:gridSpan w:val="2"/>
            <w:shd w:val="clear" w:color="auto" w:fill="auto"/>
          </w:tcPr>
          <w:p w14:paraId="0182FD51"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85617 decizii de AJGS ordinare în anii 2020-2021</w:t>
            </w:r>
          </w:p>
        </w:tc>
        <w:tc>
          <w:tcPr>
            <w:tcW w:w="1043" w:type="dxa"/>
            <w:shd w:val="clear" w:color="auto" w:fill="auto"/>
          </w:tcPr>
          <w:p w14:paraId="193CADD9"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w:t>
            </w:r>
          </w:p>
        </w:tc>
        <w:tc>
          <w:tcPr>
            <w:tcW w:w="1793" w:type="dxa"/>
            <w:shd w:val="clear" w:color="auto" w:fill="auto"/>
          </w:tcPr>
          <w:p w14:paraId="47E611C2" w14:textId="77777777" w:rsidR="00392E4B" w:rsidRPr="00D728A4" w:rsidRDefault="00392E4B" w:rsidP="00D728A4">
            <w:pPr>
              <w:tabs>
                <w:tab w:val="left" w:pos="-27"/>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4764" w:type="dxa"/>
            <w:shd w:val="clear" w:color="auto" w:fill="auto"/>
          </w:tcPr>
          <w:p w14:paraId="60442018"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lang w:val="en-US"/>
              </w:rPr>
            </w:pPr>
            <w:r w:rsidRPr="00381DA2">
              <w:rPr>
                <w:rFonts w:asciiTheme="majorHAnsi" w:eastAsia="Calibri" w:hAnsiTheme="majorHAnsi" w:cstheme="majorHAnsi"/>
                <w:sz w:val="16"/>
                <w:szCs w:val="16"/>
              </w:rPr>
              <w:t>pct. 18 și 19 din Regulamentul privind remunerarea avocaților;</w:t>
            </w:r>
          </w:p>
          <w:p w14:paraId="30902E5C"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Registrului național al persoanelor care acordă AJGS, aprobat prin Hotărârea CNAJGS nr. 17/1 din 06.10.08.</w:t>
            </w:r>
          </w:p>
        </w:tc>
      </w:tr>
      <w:tr w:rsidR="00392E4B" w:rsidRPr="00381DA2" w14:paraId="756D80BF" w14:textId="77777777" w:rsidTr="00D4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14:paraId="48632796" w14:textId="77777777" w:rsidR="00392E4B" w:rsidRPr="00381DA2" w:rsidRDefault="00392E4B" w:rsidP="00D07357">
            <w:pPr>
              <w:spacing w:after="120"/>
              <w:jc w:val="both"/>
              <w:rPr>
                <w:rFonts w:cstheme="majorHAnsi"/>
                <w:b/>
                <w:bCs/>
                <w:sz w:val="16"/>
                <w:szCs w:val="16"/>
              </w:rPr>
            </w:pPr>
            <w:r w:rsidRPr="00381DA2">
              <w:rPr>
                <w:rFonts w:cstheme="majorHAnsi"/>
                <w:b/>
                <w:bCs/>
                <w:sz w:val="16"/>
                <w:szCs w:val="16"/>
              </w:rPr>
              <w:t>Achitarea în avans a remunerării avocaților pentru serviciile juridice oferite</w:t>
            </w:r>
          </w:p>
        </w:tc>
        <w:tc>
          <w:tcPr>
            <w:tcW w:w="1215" w:type="dxa"/>
            <w:gridSpan w:val="2"/>
          </w:tcPr>
          <w:p w14:paraId="1EF28B9F" w14:textId="77777777" w:rsidR="00392E4B" w:rsidRPr="00381DA2" w:rsidRDefault="00392E4B" w:rsidP="00D07357">
            <w:pPr>
              <w:spacing w:before="80" w:after="80"/>
              <w:ind w:left="-91" w:right="-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381DA2">
              <w:rPr>
                <w:rFonts w:asciiTheme="majorHAnsi" w:hAnsiTheme="majorHAnsi" w:cstheme="majorHAnsi"/>
                <w:sz w:val="15"/>
                <w:szCs w:val="15"/>
              </w:rPr>
              <w:t xml:space="preserve">SI al CNAJGS nu are funcții de a selecta achitarea în avans mijloacelor bugetare </w:t>
            </w:r>
          </w:p>
        </w:tc>
        <w:tc>
          <w:tcPr>
            <w:tcW w:w="1043" w:type="dxa"/>
          </w:tcPr>
          <w:p w14:paraId="59E31C57" w14:textId="77777777" w:rsidR="00392E4B" w:rsidRPr="00381DA2" w:rsidRDefault="00392E4B" w:rsidP="00D07357">
            <w:pPr>
              <w:spacing w:before="8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 de cazuri de achitare sumă de 398,4 mii lei</w:t>
            </w:r>
          </w:p>
        </w:tc>
        <w:tc>
          <w:tcPr>
            <w:tcW w:w="1793" w:type="dxa"/>
          </w:tcPr>
          <w:p w14:paraId="78C31DAD" w14:textId="77777777" w:rsidR="00392E4B" w:rsidRPr="00BF4784" w:rsidRDefault="00D728A4" w:rsidP="00D728A4">
            <w:pPr>
              <w:pStyle w:val="ListParagraph"/>
              <w:tabs>
                <w:tab w:val="left" w:pos="66"/>
              </w:tabs>
              <w:ind w:left="0" w:right="-102"/>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Identificarea</w:t>
            </w:r>
            <w:r w:rsidR="00BF4784">
              <w:rPr>
                <w:rFonts w:asciiTheme="majorHAnsi" w:eastAsia="Calibri" w:hAnsiTheme="majorHAnsi" w:cstheme="majorHAnsi"/>
                <w:sz w:val="16"/>
                <w:szCs w:val="16"/>
              </w:rPr>
              <w:t xml:space="preserve"> </w:t>
            </w:r>
            <w:r>
              <w:rPr>
                <w:rFonts w:asciiTheme="majorHAnsi" w:eastAsia="Calibri" w:hAnsiTheme="majorHAnsi" w:cstheme="majorHAnsi"/>
                <w:sz w:val="16"/>
                <w:szCs w:val="16"/>
              </w:rPr>
              <w:t>situațiilor</w:t>
            </w:r>
            <w:r w:rsidR="00BF4784">
              <w:rPr>
                <w:rFonts w:asciiTheme="majorHAnsi" w:eastAsia="Calibri" w:hAnsiTheme="majorHAnsi" w:cstheme="majorHAnsi"/>
                <w:sz w:val="16"/>
                <w:szCs w:val="16"/>
              </w:rPr>
              <w:t xml:space="preserve"> de achitare în avans pentru cauzele </w:t>
            </w:r>
            <w:r w:rsidR="007312D1" w:rsidRPr="007312D1">
              <w:rPr>
                <w:rFonts w:asciiTheme="majorHAnsi" w:eastAsia="Calibri" w:hAnsiTheme="majorHAnsi" w:cstheme="majorHAnsi"/>
                <w:bCs/>
                <w:sz w:val="16"/>
                <w:szCs w:val="16"/>
                <w:lang w:val="ro-MD"/>
              </w:rPr>
              <w:t xml:space="preserve">examinarea cărora </w:t>
            </w:r>
            <w:r w:rsidR="007312D1">
              <w:rPr>
                <w:rFonts w:asciiTheme="majorHAnsi" w:eastAsia="Calibri" w:hAnsiTheme="majorHAnsi" w:cstheme="majorHAnsi"/>
                <w:bCs/>
                <w:sz w:val="16"/>
                <w:szCs w:val="16"/>
                <w:lang w:val="ro-MD"/>
              </w:rPr>
              <w:t>încă nu a u durat</w:t>
            </w:r>
            <w:r w:rsidR="007312D1" w:rsidRPr="007312D1">
              <w:rPr>
                <w:rFonts w:asciiTheme="majorHAnsi" w:eastAsia="Calibri" w:hAnsiTheme="majorHAnsi" w:cstheme="majorHAnsi"/>
                <w:bCs/>
                <w:sz w:val="16"/>
                <w:szCs w:val="16"/>
                <w:lang w:val="ro-MD"/>
              </w:rPr>
              <w:t xml:space="preserve"> mai mult de trei luni</w:t>
            </w:r>
            <w:r w:rsidR="007312D1">
              <w:rPr>
                <w:rFonts w:asciiTheme="majorHAnsi" w:eastAsia="Calibri" w:hAnsiTheme="majorHAnsi" w:cstheme="majorHAnsi"/>
                <w:bCs/>
                <w:sz w:val="16"/>
                <w:szCs w:val="16"/>
                <w:lang w:val="ro-MD"/>
              </w:rPr>
              <w:t>.</w:t>
            </w:r>
          </w:p>
        </w:tc>
        <w:tc>
          <w:tcPr>
            <w:tcW w:w="4764" w:type="dxa"/>
          </w:tcPr>
          <w:p w14:paraId="70568183" w14:textId="77777777" w:rsidR="00392E4B" w:rsidRPr="00381DA2" w:rsidRDefault="00392E4B" w:rsidP="00D07357">
            <w:pPr>
              <w:ind w:left="162"/>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p>
          <w:p w14:paraId="41B36E9C"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pct. 24 din Regulamentul privind remunerarea avocaților;</w:t>
            </w:r>
          </w:p>
          <w:p w14:paraId="1BA71F6E"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art.80 din LP 181/2014 finanțelor publice și responsabilității bugetar-fiscale.</w:t>
            </w:r>
          </w:p>
        </w:tc>
      </w:tr>
      <w:tr w:rsidR="00392E4B" w:rsidRPr="00381DA2" w14:paraId="0C0B0249" w14:textId="77777777" w:rsidTr="00D46DC2">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14:paraId="04F10BA9" w14:textId="77777777" w:rsidR="00392E4B" w:rsidRPr="00381DA2" w:rsidRDefault="00392E4B" w:rsidP="00D07357">
            <w:pPr>
              <w:tabs>
                <w:tab w:val="left" w:pos="160"/>
                <w:tab w:val="left" w:pos="336"/>
              </w:tabs>
              <w:jc w:val="both"/>
              <w:rPr>
                <w:rFonts w:cstheme="majorHAnsi"/>
                <w:sz w:val="16"/>
                <w:szCs w:val="16"/>
              </w:rPr>
            </w:pPr>
            <w:r w:rsidRPr="00381DA2">
              <w:rPr>
                <w:rFonts w:cstheme="majorHAnsi"/>
                <w:b/>
                <w:sz w:val="16"/>
                <w:szCs w:val="16"/>
              </w:rPr>
              <w:t>Monitorizare a calității serviciilor de asistență juridică garantată de stat</w:t>
            </w:r>
          </w:p>
        </w:tc>
        <w:tc>
          <w:tcPr>
            <w:tcW w:w="1215" w:type="dxa"/>
            <w:gridSpan w:val="2"/>
            <w:shd w:val="clear" w:color="auto" w:fill="auto"/>
          </w:tcPr>
          <w:p w14:paraId="2E591801" w14:textId="77777777" w:rsidR="00392E4B" w:rsidRPr="00381DA2" w:rsidRDefault="00392E4B" w:rsidP="00D07357">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-69 avocați admiși în sistem în anul 2021.</w:t>
            </w:r>
          </w:p>
          <w:p w14:paraId="2AFAAE63"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-11 avocați cu calificativul „insuficient”.</w:t>
            </w:r>
          </w:p>
        </w:tc>
        <w:tc>
          <w:tcPr>
            <w:tcW w:w="1043" w:type="dxa"/>
            <w:shd w:val="clear" w:color="auto" w:fill="auto"/>
          </w:tcPr>
          <w:p w14:paraId="6E00E580"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100 %</w:t>
            </w:r>
          </w:p>
          <w:p w14:paraId="33716207"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1FCA6A35"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3359278E"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7E4F442E"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41F7917F" w14:textId="77777777" w:rsidR="00392E4B" w:rsidRPr="00381DA2" w:rsidRDefault="00392E4B" w:rsidP="00D0735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100%</w:t>
            </w:r>
          </w:p>
        </w:tc>
        <w:tc>
          <w:tcPr>
            <w:tcW w:w="1793" w:type="dxa"/>
            <w:shd w:val="clear" w:color="auto" w:fill="auto"/>
          </w:tcPr>
          <w:p w14:paraId="5195877B" w14:textId="77777777" w:rsidR="00BF4784" w:rsidRPr="00D728A4" w:rsidRDefault="00D728A4" w:rsidP="00D728A4">
            <w:pPr>
              <w:tabs>
                <w:tab w:val="left" w:pos="66"/>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D728A4">
              <w:rPr>
                <w:rFonts w:asciiTheme="majorHAnsi" w:hAnsiTheme="majorHAnsi"/>
                <w:sz w:val="16"/>
                <w:szCs w:val="16"/>
              </w:rPr>
              <w:t>Se va verifica</w:t>
            </w:r>
            <w:r w:rsidR="00BF4784" w:rsidRPr="00D728A4">
              <w:rPr>
                <w:rFonts w:asciiTheme="majorHAnsi" w:hAnsiTheme="majorHAnsi"/>
                <w:sz w:val="16"/>
                <w:szCs w:val="16"/>
              </w:rPr>
              <w:t xml:space="preserve"> dacă toți avocații noi admiși în sistem și care au primit calificativ nesatisfăcător au fost supuși monitorizării în termen.</w:t>
            </w:r>
          </w:p>
        </w:tc>
        <w:tc>
          <w:tcPr>
            <w:tcW w:w="4764" w:type="dxa"/>
            <w:shd w:val="clear" w:color="auto" w:fill="auto"/>
          </w:tcPr>
          <w:p w14:paraId="707B6B6C"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81DA2">
              <w:rPr>
                <w:rFonts w:asciiTheme="majorHAnsi" w:hAnsiTheme="majorHAnsi"/>
                <w:sz w:val="16"/>
                <w:szCs w:val="16"/>
              </w:rPr>
              <w:t xml:space="preserve">Pct.13 și pct. 23 al </w:t>
            </w:r>
            <w:r w:rsidRPr="00381DA2">
              <w:rPr>
                <w:rFonts w:asciiTheme="majorHAnsi" w:hAnsiTheme="majorHAnsi" w:cstheme="minorHAnsi"/>
                <w:color w:val="333333"/>
                <w:sz w:val="16"/>
                <w:szCs w:val="16"/>
                <w:shd w:val="clear" w:color="auto" w:fill="FFFFFF"/>
              </w:rPr>
              <w:t xml:space="preserve">Regulamentului privind monitorizarea calității asistenței juridice calificate garantate de stat acordată de către avocați aprobat prin Hotărârea </w:t>
            </w:r>
            <w:r w:rsidRPr="00381DA2">
              <w:rPr>
                <w:rFonts w:asciiTheme="majorHAnsi" w:eastAsia="Calibri" w:hAnsiTheme="majorHAnsi" w:cstheme="majorHAnsi"/>
                <w:sz w:val="16"/>
                <w:szCs w:val="16"/>
              </w:rPr>
              <w:t>CNAJGS</w:t>
            </w:r>
            <w:r w:rsidRPr="00381DA2">
              <w:rPr>
                <w:rFonts w:asciiTheme="majorHAnsi" w:hAnsiTheme="majorHAnsi" w:cstheme="minorHAnsi"/>
                <w:sz w:val="16"/>
                <w:szCs w:val="16"/>
              </w:rPr>
              <w:t xml:space="preserve"> t </w:t>
            </w:r>
            <w:r w:rsidRPr="00381DA2">
              <w:rPr>
                <w:rFonts w:asciiTheme="majorHAnsi" w:hAnsiTheme="majorHAnsi" w:cstheme="minorHAnsi"/>
                <w:color w:val="333333"/>
                <w:sz w:val="16"/>
                <w:szCs w:val="16"/>
                <w:shd w:val="clear" w:color="auto" w:fill="FFFFFF"/>
              </w:rPr>
              <w:t>nr.20 din 25.06.2015;</w:t>
            </w:r>
          </w:p>
          <w:p w14:paraId="49D50419" w14:textId="77777777" w:rsidR="00392E4B" w:rsidRPr="00381DA2" w:rsidRDefault="00392E4B" w:rsidP="00D07357">
            <w:pPr>
              <w:numPr>
                <w:ilvl w:val="0"/>
                <w:numId w:val="36"/>
              </w:numPr>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Hotărârea CNAJGS nr. 10 din 12.07.2021 cu privire la aprobarea Deciziilor Comisiilor de concurs privind selectarea avocaților pentru acordarea AJGS.</w:t>
            </w:r>
          </w:p>
        </w:tc>
      </w:tr>
      <w:tr w:rsidR="00392E4B" w:rsidRPr="00381DA2" w14:paraId="62698D8D" w14:textId="77777777" w:rsidTr="00D4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14:paraId="1D635DC6" w14:textId="77777777" w:rsidR="00392E4B" w:rsidRPr="00381DA2" w:rsidRDefault="00392E4B" w:rsidP="00D07357">
            <w:pPr>
              <w:tabs>
                <w:tab w:val="left" w:pos="160"/>
                <w:tab w:val="left" w:pos="360"/>
              </w:tabs>
              <w:jc w:val="both"/>
              <w:rPr>
                <w:rFonts w:cstheme="majorHAnsi"/>
                <w:b/>
                <w:sz w:val="16"/>
                <w:szCs w:val="16"/>
              </w:rPr>
            </w:pPr>
            <w:r w:rsidRPr="00381DA2">
              <w:rPr>
                <w:rFonts w:cstheme="majorHAnsi"/>
                <w:b/>
                <w:sz w:val="16"/>
                <w:szCs w:val="16"/>
              </w:rPr>
              <w:t xml:space="preserve">Mecanismului de restituire a cheltuielilor de acordare a asistenței juridice calificate </w:t>
            </w:r>
          </w:p>
          <w:p w14:paraId="081131B3" w14:textId="77777777" w:rsidR="00392E4B" w:rsidRPr="00381DA2" w:rsidRDefault="00392E4B" w:rsidP="00D07357">
            <w:pPr>
              <w:tabs>
                <w:tab w:val="left" w:pos="160"/>
                <w:tab w:val="left" w:pos="336"/>
              </w:tabs>
              <w:jc w:val="both"/>
              <w:rPr>
                <w:rFonts w:cstheme="majorHAnsi"/>
                <w:sz w:val="16"/>
                <w:szCs w:val="16"/>
              </w:rPr>
            </w:pPr>
          </w:p>
        </w:tc>
        <w:tc>
          <w:tcPr>
            <w:tcW w:w="1215" w:type="dxa"/>
            <w:gridSpan w:val="2"/>
          </w:tcPr>
          <w:p w14:paraId="16AC5F6B"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544 de decizii de recuperarea cheltuielilor în sumă de 841,2 mii lei</w:t>
            </w:r>
          </w:p>
        </w:tc>
        <w:tc>
          <w:tcPr>
            <w:tcW w:w="1043" w:type="dxa"/>
          </w:tcPr>
          <w:p w14:paraId="6DD558F8"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4%,</w:t>
            </w:r>
          </w:p>
          <w:p w14:paraId="2CC31EC7" w14:textId="77777777" w:rsidR="00392E4B" w:rsidRPr="00381DA2" w:rsidRDefault="00392E4B" w:rsidP="00D073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81DA2">
              <w:rPr>
                <w:rFonts w:asciiTheme="majorHAnsi" w:hAnsiTheme="majorHAnsi" w:cstheme="majorHAnsi"/>
                <w:sz w:val="16"/>
                <w:szCs w:val="16"/>
              </w:rPr>
              <w:t>24 cazuri în sumă de 32,0 mii lei</w:t>
            </w:r>
          </w:p>
        </w:tc>
        <w:tc>
          <w:tcPr>
            <w:tcW w:w="1793" w:type="dxa"/>
          </w:tcPr>
          <w:p w14:paraId="5480755C" w14:textId="77777777" w:rsidR="00392E4B" w:rsidRPr="00BF4784" w:rsidRDefault="00BF4784" w:rsidP="00D728A4">
            <w:pPr>
              <w:pStyle w:val="ListParagraph"/>
              <w:tabs>
                <w:tab w:val="left" w:pos="66"/>
              </w:tabs>
              <w:ind w:left="0" w:right="-102"/>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Pr>
                <w:rFonts w:asciiTheme="majorHAnsi" w:eastAsia="Calibri" w:hAnsiTheme="majorHAnsi" w:cstheme="majorHAnsi"/>
                <w:sz w:val="16"/>
                <w:szCs w:val="16"/>
              </w:rPr>
              <w:t>Verificarea identificării de către OT a cazurilor pasibile recuperării.</w:t>
            </w:r>
          </w:p>
        </w:tc>
        <w:tc>
          <w:tcPr>
            <w:tcW w:w="4764" w:type="dxa"/>
          </w:tcPr>
          <w:p w14:paraId="5F2325AF" w14:textId="77777777" w:rsidR="00392E4B" w:rsidRPr="00381DA2" w:rsidRDefault="00392E4B" w:rsidP="00D07357">
            <w:pPr>
              <w:numPr>
                <w:ilvl w:val="0"/>
                <w:numId w:val="36"/>
              </w:numPr>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art. 23 și 23</w:t>
            </w:r>
            <w:r w:rsidRPr="00381DA2">
              <w:rPr>
                <w:rFonts w:asciiTheme="majorHAnsi" w:eastAsia="Calibri" w:hAnsiTheme="majorHAnsi" w:cstheme="majorHAnsi"/>
                <w:sz w:val="16"/>
                <w:szCs w:val="16"/>
                <w:vertAlign w:val="superscript"/>
              </w:rPr>
              <w:t>1</w:t>
            </w:r>
            <w:r w:rsidRPr="00381DA2">
              <w:rPr>
                <w:rFonts w:asciiTheme="majorHAnsi" w:eastAsia="Calibri" w:hAnsiTheme="majorHAnsi" w:cstheme="majorHAnsi"/>
                <w:sz w:val="16"/>
                <w:szCs w:val="16"/>
              </w:rPr>
              <w:t xml:space="preserve"> din Legea 198/2007;</w:t>
            </w:r>
          </w:p>
        </w:tc>
      </w:tr>
      <w:tr w:rsidR="00BF4784" w:rsidRPr="00381DA2" w14:paraId="6C143CC2" w14:textId="77777777" w:rsidTr="00915A15">
        <w:tc>
          <w:tcPr>
            <w:cnfStyle w:val="001000000000" w:firstRow="0" w:lastRow="0" w:firstColumn="1" w:lastColumn="0" w:oddVBand="0" w:evenVBand="0" w:oddHBand="0" w:evenHBand="0" w:firstRowFirstColumn="0" w:firstRowLastColumn="0" w:lastRowFirstColumn="0" w:lastRowLastColumn="0"/>
            <w:tcW w:w="10789" w:type="dxa"/>
            <w:gridSpan w:val="6"/>
            <w:shd w:val="clear" w:color="auto" w:fill="DEEAF6" w:themeFill="accent1" w:themeFillTint="33"/>
          </w:tcPr>
          <w:p w14:paraId="06685868" w14:textId="77777777" w:rsidR="00BF4784" w:rsidRPr="00381DA2" w:rsidRDefault="00BF4784" w:rsidP="00392E4B">
            <w:pPr>
              <w:pStyle w:val="ListParagraph"/>
              <w:numPr>
                <w:ilvl w:val="0"/>
                <w:numId w:val="42"/>
              </w:numPr>
              <w:ind w:left="354" w:hanging="295"/>
              <w:jc w:val="center"/>
              <w:rPr>
                <w:rFonts w:asciiTheme="majorHAnsi" w:hAnsiTheme="majorHAnsi" w:cstheme="majorHAnsi"/>
                <w:sz w:val="20"/>
                <w:szCs w:val="20"/>
                <w:lang w:val="ro-MD"/>
              </w:rPr>
            </w:pPr>
            <w:r w:rsidRPr="00381DA2">
              <w:rPr>
                <w:rFonts w:asciiTheme="majorHAnsi" w:hAnsiTheme="majorHAnsi" w:cstheme="majorHAnsi"/>
                <w:sz w:val="20"/>
                <w:szCs w:val="20"/>
                <w:lang w:val="ro-MD"/>
              </w:rPr>
              <w:t>Organele de administrare a</w:t>
            </w:r>
            <w:r>
              <w:rPr>
                <w:rFonts w:asciiTheme="majorHAnsi" w:hAnsiTheme="majorHAnsi" w:cstheme="majorHAnsi"/>
                <w:sz w:val="20"/>
                <w:szCs w:val="20"/>
                <w:lang w:val="ro-MD"/>
              </w:rPr>
              <w:t>le</w:t>
            </w:r>
            <w:r w:rsidRPr="00381DA2">
              <w:rPr>
                <w:rFonts w:asciiTheme="majorHAnsi" w:hAnsiTheme="majorHAnsi" w:cstheme="majorHAnsi"/>
                <w:sz w:val="20"/>
                <w:szCs w:val="20"/>
                <w:lang w:val="ro-MD"/>
              </w:rPr>
              <w:t xml:space="preserve"> sistemului de AJGS sânt organizate și funcționează conform principiilor bunei guvernări?</w:t>
            </w:r>
          </w:p>
        </w:tc>
      </w:tr>
      <w:tr w:rsidR="00BF4784" w:rsidRPr="00381DA2" w14:paraId="117D490C" w14:textId="77777777" w:rsidTr="00915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shd w:val="clear" w:color="auto" w:fill="auto"/>
          </w:tcPr>
          <w:p w14:paraId="5F6BDA68" w14:textId="77777777" w:rsidR="00BF4784" w:rsidRPr="00381DA2" w:rsidRDefault="00BF4784" w:rsidP="00D07357">
            <w:pPr>
              <w:spacing w:before="120"/>
              <w:jc w:val="both"/>
              <w:rPr>
                <w:rFonts w:cstheme="majorHAnsi"/>
                <w:sz w:val="16"/>
                <w:szCs w:val="16"/>
              </w:rPr>
            </w:pPr>
            <w:r w:rsidRPr="00381DA2">
              <w:rPr>
                <w:rFonts w:cstheme="majorHAnsi"/>
                <w:b/>
                <w:sz w:val="16"/>
                <w:szCs w:val="16"/>
              </w:rPr>
              <w:t>Instituționalizarea organelor responsabile de administrarea procesului de  AJGS</w:t>
            </w:r>
          </w:p>
        </w:tc>
        <w:tc>
          <w:tcPr>
            <w:tcW w:w="4051" w:type="dxa"/>
            <w:gridSpan w:val="4"/>
            <w:shd w:val="clear" w:color="auto" w:fill="auto"/>
          </w:tcPr>
          <w:p w14:paraId="47A6B267" w14:textId="77777777" w:rsidR="00BF4784" w:rsidRPr="00381DA2" w:rsidRDefault="00BF4784" w:rsidP="00392E4B">
            <w:pPr>
              <w:numPr>
                <w:ilvl w:val="0"/>
                <w:numId w:val="36"/>
              </w:numPr>
              <w:spacing w:before="120"/>
              <w:ind w:left="164" w:hanging="18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hAnsiTheme="majorHAnsi" w:cstheme="majorHAnsi"/>
                <w:sz w:val="16"/>
                <w:szCs w:val="16"/>
              </w:rPr>
              <w:t>Analiza cadrului legal privind instituționalizarea organelor responsabile de administrarea AJGS precum și a cadrului de raportare bugetară pe care acestea îl aplică.</w:t>
            </w:r>
          </w:p>
        </w:tc>
        <w:tc>
          <w:tcPr>
            <w:tcW w:w="4764" w:type="dxa"/>
            <w:shd w:val="clear" w:color="auto" w:fill="auto"/>
          </w:tcPr>
          <w:p w14:paraId="61170576" w14:textId="77777777" w:rsidR="00BF4784" w:rsidRPr="00381DA2" w:rsidRDefault="00BF4784" w:rsidP="00D07357">
            <w:pPr>
              <w:numPr>
                <w:ilvl w:val="0"/>
                <w:numId w:val="36"/>
              </w:numPr>
              <w:spacing w:before="120"/>
              <w:ind w:left="164" w:hanging="18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art. 11 alin. (7), alin. (8) și art. 14 alin. (8) din Legea 198/2007;</w:t>
            </w:r>
          </w:p>
          <w:p w14:paraId="4B397D39"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Ordinul MJ nr. 18 din 24.01.2008 cu privire la aprobarea Regulamentului CNAJGS;</w:t>
            </w:r>
          </w:p>
          <w:p w14:paraId="7785C91F"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Hotărârea CNAJGS nr. 15 din 30.07.2008 cu privire la aprobarea Regulamentului funcționării OT ale CNAJGS;</w:t>
            </w:r>
          </w:p>
          <w:p w14:paraId="6281AD29"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Legea nr. 112 din 18.05.2012 pentru modificarea și completarea unor acte legislative;</w:t>
            </w:r>
          </w:p>
          <w:p w14:paraId="23DCE453"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Hotărârea CNAJGS nr. 15 din 24.12.2012 cu privire la aprobarea Regulamentului de activitate al aparatului administrativ CNAJGS;</w:t>
            </w:r>
          </w:p>
          <w:p w14:paraId="6C30033D"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Hotărârea CNAJGS nr. 9/2012 privind stabilirea efectivului-limită de personal al Aparatului administrativ;</w:t>
            </w:r>
          </w:p>
          <w:p w14:paraId="08F9391E"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Legea finanțelor publice și responsabilității bugetar-fiscale nr. 181 din 25.07.2014;</w:t>
            </w:r>
          </w:p>
          <w:p w14:paraId="5C10F469" w14:textId="77777777" w:rsidR="00BF4784" w:rsidRPr="00381DA2" w:rsidRDefault="00BF4784" w:rsidP="00D07357">
            <w:pPr>
              <w:numPr>
                <w:ilvl w:val="0"/>
                <w:numId w:val="36"/>
              </w:numPr>
              <w:ind w:left="161" w:hanging="18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Ordinul MF nr. 208 din 24.12.2015 privind Clasificația bugetară, în speță Anexa nr.4 Norme metodologice privind aplicarea Clasificației organizaționale;</w:t>
            </w:r>
          </w:p>
        </w:tc>
      </w:tr>
      <w:tr w:rsidR="00BF4784" w:rsidRPr="00381DA2" w14:paraId="336150E7" w14:textId="77777777" w:rsidTr="00915A15">
        <w:tc>
          <w:tcPr>
            <w:cnfStyle w:val="001000000000" w:firstRow="0" w:lastRow="0" w:firstColumn="1" w:lastColumn="0" w:oddVBand="0" w:evenVBand="0" w:oddHBand="0" w:evenHBand="0" w:firstRowFirstColumn="0" w:firstRowLastColumn="0" w:lastRowFirstColumn="0" w:lastRowLastColumn="0"/>
            <w:tcW w:w="1974" w:type="dxa"/>
            <w:shd w:val="clear" w:color="auto" w:fill="F2F2F2" w:themeFill="background1" w:themeFillShade="F2"/>
          </w:tcPr>
          <w:p w14:paraId="0E68103A" w14:textId="77777777" w:rsidR="00BF4784" w:rsidRPr="00FC7850" w:rsidRDefault="00BF4784" w:rsidP="00D07357">
            <w:pPr>
              <w:jc w:val="both"/>
              <w:rPr>
                <w:rFonts w:cstheme="majorHAnsi"/>
                <w:b/>
                <w:sz w:val="16"/>
                <w:szCs w:val="16"/>
              </w:rPr>
            </w:pPr>
            <w:r w:rsidRPr="00FC7850">
              <w:rPr>
                <w:rFonts w:cstheme="majorHAnsi"/>
                <w:b/>
                <w:sz w:val="16"/>
                <w:szCs w:val="16"/>
              </w:rPr>
              <w:lastRenderedPageBreak/>
              <w:t xml:space="preserve">Neconcordanța în funcțiile deținute de  personalul din entitățile verificate </w:t>
            </w:r>
          </w:p>
        </w:tc>
        <w:tc>
          <w:tcPr>
            <w:tcW w:w="4051" w:type="dxa"/>
            <w:gridSpan w:val="4"/>
            <w:shd w:val="clear" w:color="auto" w:fill="F2F2F2" w:themeFill="background1" w:themeFillShade="F2"/>
          </w:tcPr>
          <w:p w14:paraId="494343C2" w14:textId="77777777" w:rsidR="00BF4784" w:rsidRPr="00381DA2" w:rsidRDefault="00BF4784" w:rsidP="00392E4B">
            <w:pPr>
              <w:numPr>
                <w:ilvl w:val="0"/>
                <w:numId w:val="36"/>
              </w:numPr>
              <w:ind w:left="161" w:hanging="18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hAnsiTheme="majorHAnsi" w:cstheme="majorHAnsi"/>
                <w:sz w:val="16"/>
                <w:szCs w:val="16"/>
              </w:rPr>
              <w:t>Analiza actelor juridice și administrative ale CNAJGS și OT privind funcțiilor deținute de  personalul de  conducere și de execuție.</w:t>
            </w:r>
          </w:p>
        </w:tc>
        <w:tc>
          <w:tcPr>
            <w:tcW w:w="4764" w:type="dxa"/>
            <w:shd w:val="clear" w:color="auto" w:fill="F2F2F2" w:themeFill="background1" w:themeFillShade="F2"/>
          </w:tcPr>
          <w:p w14:paraId="348B3647" w14:textId="77777777" w:rsidR="00BF4784" w:rsidRPr="00381DA2" w:rsidRDefault="00BF4784" w:rsidP="00D07357">
            <w:pPr>
              <w:numPr>
                <w:ilvl w:val="0"/>
                <w:numId w:val="36"/>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art. 14, alin. (4) din Legea 198/2007;</w:t>
            </w:r>
          </w:p>
          <w:p w14:paraId="5BAE2299" w14:textId="77777777" w:rsidR="00BF4784" w:rsidRPr="00381DA2" w:rsidRDefault="00BF4784" w:rsidP="00D07357">
            <w:pPr>
              <w:numPr>
                <w:ilvl w:val="0"/>
                <w:numId w:val="36"/>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lang w:val="en-US"/>
              </w:rPr>
            </w:pPr>
            <w:r w:rsidRPr="00381DA2">
              <w:rPr>
                <w:rFonts w:asciiTheme="majorHAnsi" w:eastAsia="Calibri" w:hAnsiTheme="majorHAnsi" w:cstheme="majorHAnsi"/>
                <w:sz w:val="16"/>
                <w:szCs w:val="16"/>
              </w:rPr>
              <w:t>Ordinul MMPS nr. 11 din 12.11.2021 cu privire la aprobarea Clasificatorului Ocupațiilor din Republica Moldova;</w:t>
            </w:r>
          </w:p>
          <w:p w14:paraId="42723B7F" w14:textId="77777777" w:rsidR="00BF4784" w:rsidRPr="00381DA2" w:rsidRDefault="00BF4784" w:rsidP="00D07357">
            <w:pPr>
              <w:numPr>
                <w:ilvl w:val="0"/>
                <w:numId w:val="36"/>
              </w:numPr>
              <w:ind w:left="161" w:hanging="18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6"/>
                <w:szCs w:val="16"/>
              </w:rPr>
            </w:pPr>
            <w:r w:rsidRPr="00381DA2">
              <w:rPr>
                <w:rFonts w:asciiTheme="majorHAnsi" w:eastAsia="Calibri" w:hAnsiTheme="majorHAnsi" w:cstheme="majorHAnsi"/>
                <w:sz w:val="16"/>
                <w:szCs w:val="16"/>
              </w:rPr>
              <w:t>Anexa nr.4 Grupul operațional „Justiție” din Legea 270 din 23.11.2018 privind sistemul unitar de salarizare în sector bugetar</w:t>
            </w:r>
          </w:p>
        </w:tc>
      </w:tr>
    </w:tbl>
    <w:p w14:paraId="3769789F" w14:textId="77777777" w:rsidR="00D07357" w:rsidRDefault="00D07357" w:rsidP="003A66EF">
      <w:pPr>
        <w:spacing w:before="240" w:after="0" w:line="276" w:lineRule="auto"/>
        <w:rPr>
          <w:rFonts w:asciiTheme="majorHAnsi" w:hAnsiTheme="majorHAnsi"/>
          <w:b/>
          <w:color w:val="0070C0"/>
          <w:sz w:val="24"/>
          <w:szCs w:val="24"/>
        </w:rPr>
      </w:pPr>
    </w:p>
    <w:p w14:paraId="64454945" w14:textId="77777777" w:rsidR="005B0855" w:rsidRPr="00597E4C" w:rsidRDefault="005B0855" w:rsidP="00597E4C">
      <w:pPr>
        <w:spacing w:line="276" w:lineRule="auto"/>
        <w:jc w:val="both"/>
        <w:rPr>
          <w:rFonts w:asciiTheme="majorHAnsi" w:hAnsiTheme="majorHAnsi"/>
          <w:b/>
          <w:color w:val="0070C0"/>
          <w:sz w:val="24"/>
          <w:szCs w:val="24"/>
        </w:rPr>
      </w:pPr>
      <w:r w:rsidRPr="00597E4C">
        <w:rPr>
          <w:rFonts w:asciiTheme="majorHAnsi" w:hAnsiTheme="majorHAnsi"/>
          <w:b/>
          <w:color w:val="0070C0"/>
          <w:sz w:val="24"/>
          <w:szCs w:val="24"/>
        </w:rPr>
        <w:t xml:space="preserve">Anexa nr.5. Informația generalizată privind monitorizarea internă avocaților conform circumscripțiilor de a activitate ale OT și evaluarea para juriștilor în perioada auditată </w:t>
      </w:r>
    </w:p>
    <w:tbl>
      <w:tblPr>
        <w:tblW w:w="9214" w:type="dxa"/>
        <w:tblInd w:w="-10" w:type="dxa"/>
        <w:tblLook w:val="04A0" w:firstRow="1" w:lastRow="0" w:firstColumn="1" w:lastColumn="0" w:noHBand="0" w:noVBand="1"/>
      </w:tblPr>
      <w:tblGrid>
        <w:gridCol w:w="2694"/>
        <w:gridCol w:w="1275"/>
        <w:gridCol w:w="1134"/>
        <w:gridCol w:w="1276"/>
        <w:gridCol w:w="1418"/>
        <w:gridCol w:w="1417"/>
      </w:tblGrid>
      <w:tr w:rsidR="005B0855" w:rsidRPr="00381DA2" w14:paraId="2171418C" w14:textId="77777777" w:rsidTr="007F338E">
        <w:trPr>
          <w:trHeight w:val="471"/>
        </w:trPr>
        <w:tc>
          <w:tcPr>
            <w:tcW w:w="2694" w:type="dxa"/>
            <w:vMerge w:val="restart"/>
            <w:tcBorders>
              <w:top w:val="single" w:sz="8" w:space="0" w:color="auto"/>
              <w:left w:val="single" w:sz="8" w:space="0" w:color="auto"/>
              <w:bottom w:val="single" w:sz="4" w:space="0" w:color="000000"/>
              <w:right w:val="single" w:sz="4" w:space="0" w:color="auto"/>
            </w:tcBorders>
            <w:shd w:val="clear" w:color="auto" w:fill="F2F2F2" w:themeFill="background1" w:themeFillShade="F2"/>
            <w:noWrap/>
            <w:vAlign w:val="center"/>
            <w:hideMark/>
          </w:tcPr>
          <w:p w14:paraId="5118D048" w14:textId="77777777" w:rsidR="005B0855" w:rsidRPr="00381DA2" w:rsidRDefault="005B0855" w:rsidP="003A66EF">
            <w:pPr>
              <w:spacing w:after="0" w:line="276" w:lineRule="auto"/>
              <w:jc w:val="center"/>
              <w:rPr>
                <w:rFonts w:asciiTheme="majorHAnsi" w:eastAsia="Times New Roman" w:hAnsiTheme="majorHAnsi" w:cstheme="minorHAnsi"/>
                <w:b/>
                <w:bCs/>
                <w:i/>
                <w:iCs/>
                <w:color w:val="000000"/>
                <w:sz w:val="20"/>
                <w:szCs w:val="16"/>
                <w:lang w:eastAsia="ru-RU"/>
              </w:rPr>
            </w:pPr>
            <w:r w:rsidRPr="00381DA2">
              <w:rPr>
                <w:rFonts w:asciiTheme="majorHAnsi" w:eastAsia="Times New Roman" w:hAnsiTheme="majorHAnsi" w:cstheme="minorHAnsi"/>
                <w:b/>
                <w:bCs/>
                <w:i/>
                <w:iCs/>
                <w:color w:val="000000"/>
                <w:sz w:val="20"/>
                <w:szCs w:val="16"/>
                <w:lang w:eastAsia="ru-RU"/>
              </w:rPr>
              <w:t>Denumire</w:t>
            </w:r>
          </w:p>
        </w:tc>
        <w:tc>
          <w:tcPr>
            <w:tcW w:w="6520" w:type="dxa"/>
            <w:gridSpan w:val="5"/>
            <w:tcBorders>
              <w:top w:val="single" w:sz="8" w:space="0" w:color="auto"/>
              <w:left w:val="nil"/>
              <w:bottom w:val="single" w:sz="4" w:space="0" w:color="auto"/>
              <w:right w:val="single" w:sz="8" w:space="0" w:color="000000"/>
            </w:tcBorders>
            <w:shd w:val="clear" w:color="auto" w:fill="F2F2F2" w:themeFill="background1" w:themeFillShade="F2"/>
            <w:noWrap/>
            <w:vAlign w:val="center"/>
            <w:hideMark/>
          </w:tcPr>
          <w:p w14:paraId="3FFB296E" w14:textId="77777777" w:rsidR="005B0855" w:rsidRPr="00381DA2" w:rsidRDefault="005B0855" w:rsidP="003A66EF">
            <w:pPr>
              <w:spacing w:after="0" w:line="276" w:lineRule="auto"/>
              <w:jc w:val="center"/>
              <w:rPr>
                <w:rFonts w:asciiTheme="majorHAnsi" w:eastAsia="Times New Roman" w:hAnsiTheme="majorHAnsi" w:cstheme="minorHAnsi"/>
                <w:b/>
                <w:bCs/>
                <w:color w:val="000000"/>
                <w:sz w:val="20"/>
                <w:szCs w:val="16"/>
                <w:lang w:eastAsia="ru-RU"/>
              </w:rPr>
            </w:pPr>
            <w:r w:rsidRPr="00381DA2">
              <w:rPr>
                <w:rFonts w:asciiTheme="majorHAnsi" w:eastAsia="Times New Roman" w:hAnsiTheme="majorHAnsi" w:cstheme="minorHAnsi"/>
                <w:b/>
                <w:bCs/>
                <w:color w:val="000000"/>
                <w:sz w:val="20"/>
                <w:szCs w:val="16"/>
                <w:lang w:eastAsia="ru-RU"/>
              </w:rPr>
              <w:t>Total 2020-2022</w:t>
            </w:r>
          </w:p>
        </w:tc>
      </w:tr>
      <w:tr w:rsidR="005B0855" w:rsidRPr="00381DA2" w14:paraId="28620E61" w14:textId="77777777" w:rsidTr="007F338E">
        <w:trPr>
          <w:trHeight w:val="745"/>
        </w:trPr>
        <w:tc>
          <w:tcPr>
            <w:tcW w:w="2694" w:type="dxa"/>
            <w:vMerge/>
            <w:tcBorders>
              <w:top w:val="single" w:sz="8" w:space="0" w:color="auto"/>
              <w:left w:val="single" w:sz="8" w:space="0" w:color="auto"/>
              <w:bottom w:val="single" w:sz="4" w:space="0" w:color="000000"/>
              <w:right w:val="single" w:sz="4" w:space="0" w:color="auto"/>
            </w:tcBorders>
            <w:shd w:val="clear" w:color="auto" w:fill="F2F2F2" w:themeFill="background1" w:themeFillShade="F2"/>
            <w:vAlign w:val="center"/>
            <w:hideMark/>
          </w:tcPr>
          <w:p w14:paraId="10EC5082" w14:textId="77777777" w:rsidR="005B0855" w:rsidRPr="00381DA2" w:rsidRDefault="005B0855" w:rsidP="003A66EF">
            <w:pPr>
              <w:spacing w:after="0" w:line="276" w:lineRule="auto"/>
              <w:rPr>
                <w:rFonts w:asciiTheme="majorHAnsi" w:eastAsia="Times New Roman" w:hAnsiTheme="majorHAnsi" w:cstheme="minorHAnsi"/>
                <w:b/>
                <w:bCs/>
                <w:i/>
                <w:iCs/>
                <w:color w:val="000000"/>
                <w:sz w:val="20"/>
                <w:szCs w:val="16"/>
                <w:lang w:eastAsia="ru-RU"/>
              </w:rPr>
            </w:pPr>
          </w:p>
        </w:tc>
        <w:tc>
          <w:tcPr>
            <w:tcW w:w="1275" w:type="dxa"/>
            <w:tcBorders>
              <w:top w:val="nil"/>
              <w:left w:val="nil"/>
              <w:bottom w:val="single" w:sz="4" w:space="0" w:color="auto"/>
              <w:right w:val="single" w:sz="4" w:space="0" w:color="auto"/>
            </w:tcBorders>
            <w:shd w:val="clear" w:color="000000" w:fill="DDEBF7"/>
            <w:vAlign w:val="center"/>
            <w:hideMark/>
          </w:tcPr>
          <w:p w14:paraId="54D94AFD" w14:textId="77777777" w:rsidR="005B0855" w:rsidRPr="00381DA2" w:rsidRDefault="005B0855" w:rsidP="003A66EF">
            <w:pPr>
              <w:spacing w:after="0" w:line="276" w:lineRule="auto"/>
              <w:jc w:val="center"/>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OT Chișinău</w:t>
            </w:r>
          </w:p>
        </w:tc>
        <w:tc>
          <w:tcPr>
            <w:tcW w:w="1134" w:type="dxa"/>
            <w:tcBorders>
              <w:top w:val="nil"/>
              <w:left w:val="nil"/>
              <w:bottom w:val="single" w:sz="4" w:space="0" w:color="auto"/>
              <w:right w:val="single" w:sz="4" w:space="0" w:color="auto"/>
            </w:tcBorders>
            <w:shd w:val="clear" w:color="000000" w:fill="DDEBF7"/>
            <w:vAlign w:val="center"/>
            <w:hideMark/>
          </w:tcPr>
          <w:p w14:paraId="2F1EBBDB" w14:textId="77777777" w:rsidR="005B0855" w:rsidRPr="00381DA2" w:rsidRDefault="005B0855" w:rsidP="003A66EF">
            <w:pPr>
              <w:spacing w:after="0" w:line="276" w:lineRule="auto"/>
              <w:jc w:val="center"/>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OT Bălți</w:t>
            </w:r>
          </w:p>
        </w:tc>
        <w:tc>
          <w:tcPr>
            <w:tcW w:w="1276" w:type="dxa"/>
            <w:tcBorders>
              <w:top w:val="nil"/>
              <w:left w:val="nil"/>
              <w:bottom w:val="single" w:sz="4" w:space="0" w:color="auto"/>
              <w:right w:val="single" w:sz="4" w:space="0" w:color="auto"/>
            </w:tcBorders>
            <w:shd w:val="clear" w:color="000000" w:fill="DDEBF7"/>
            <w:vAlign w:val="center"/>
            <w:hideMark/>
          </w:tcPr>
          <w:p w14:paraId="49198245" w14:textId="77777777" w:rsidR="005B0855" w:rsidRPr="00381DA2" w:rsidRDefault="005B0855" w:rsidP="003A66EF">
            <w:pPr>
              <w:spacing w:after="0" w:line="276" w:lineRule="auto"/>
              <w:jc w:val="center"/>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OT Cahul</w:t>
            </w:r>
          </w:p>
        </w:tc>
        <w:tc>
          <w:tcPr>
            <w:tcW w:w="1418" w:type="dxa"/>
            <w:tcBorders>
              <w:top w:val="nil"/>
              <w:left w:val="nil"/>
              <w:bottom w:val="single" w:sz="4" w:space="0" w:color="auto"/>
              <w:right w:val="single" w:sz="8" w:space="0" w:color="auto"/>
            </w:tcBorders>
            <w:shd w:val="clear" w:color="000000" w:fill="DDEBF7"/>
            <w:vAlign w:val="center"/>
            <w:hideMark/>
          </w:tcPr>
          <w:p w14:paraId="72A7765E" w14:textId="77777777" w:rsidR="005B0855" w:rsidRPr="00381DA2" w:rsidRDefault="005B0855" w:rsidP="003A66EF">
            <w:pPr>
              <w:spacing w:after="0" w:line="276" w:lineRule="auto"/>
              <w:jc w:val="center"/>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OT Comrat</w:t>
            </w:r>
          </w:p>
        </w:tc>
        <w:tc>
          <w:tcPr>
            <w:tcW w:w="1417" w:type="dxa"/>
            <w:tcBorders>
              <w:top w:val="nil"/>
              <w:left w:val="nil"/>
              <w:bottom w:val="single" w:sz="4" w:space="0" w:color="auto"/>
              <w:right w:val="single" w:sz="8" w:space="0" w:color="auto"/>
            </w:tcBorders>
            <w:shd w:val="clear" w:color="auto" w:fill="DEEAF6" w:themeFill="accent1" w:themeFillTint="33"/>
            <w:vAlign w:val="center"/>
          </w:tcPr>
          <w:p w14:paraId="1D74E42B" w14:textId="77777777" w:rsidR="005B0855" w:rsidRPr="00381DA2" w:rsidRDefault="005B0855" w:rsidP="003A66EF">
            <w:pPr>
              <w:spacing w:after="0" w:line="276" w:lineRule="auto"/>
              <w:jc w:val="center"/>
              <w:rPr>
                <w:rFonts w:asciiTheme="majorHAnsi" w:eastAsia="Times New Roman" w:hAnsiTheme="majorHAnsi" w:cstheme="minorHAnsi"/>
                <w:b/>
                <w:iCs/>
                <w:color w:val="000000"/>
                <w:sz w:val="20"/>
                <w:szCs w:val="16"/>
                <w:lang w:eastAsia="ru-RU"/>
              </w:rPr>
            </w:pPr>
            <w:r w:rsidRPr="00381DA2">
              <w:rPr>
                <w:rFonts w:asciiTheme="majorHAnsi" w:eastAsia="Times New Roman" w:hAnsiTheme="majorHAnsi" w:cstheme="minorHAnsi"/>
                <w:b/>
                <w:iCs/>
                <w:color w:val="000000"/>
                <w:sz w:val="20"/>
                <w:szCs w:val="16"/>
                <w:lang w:eastAsia="ru-RU"/>
              </w:rPr>
              <w:t>Total OT ale CNAJGS</w:t>
            </w:r>
          </w:p>
        </w:tc>
      </w:tr>
      <w:tr w:rsidR="005B0855" w:rsidRPr="00381DA2" w14:paraId="38BC299E" w14:textId="77777777" w:rsidTr="007F338E">
        <w:trPr>
          <w:trHeight w:val="220"/>
        </w:trPr>
        <w:tc>
          <w:tcPr>
            <w:tcW w:w="2694"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54CE6106" w14:textId="77777777" w:rsidR="005B0855" w:rsidRPr="00381DA2" w:rsidRDefault="005B0855" w:rsidP="003A66EF">
            <w:pPr>
              <w:spacing w:after="0" w:line="276" w:lineRule="auto"/>
              <w:rPr>
                <w:rFonts w:asciiTheme="majorHAnsi" w:eastAsia="Times New Roman" w:hAnsiTheme="majorHAnsi" w:cstheme="minorHAnsi"/>
                <w:b/>
                <w:bCs/>
                <w:i/>
                <w:iCs/>
                <w:color w:val="000000"/>
                <w:sz w:val="20"/>
                <w:szCs w:val="16"/>
                <w:lang w:eastAsia="ru-RU"/>
              </w:rPr>
            </w:pPr>
            <w:r w:rsidRPr="00381DA2">
              <w:rPr>
                <w:rFonts w:asciiTheme="majorHAnsi" w:eastAsia="Times New Roman" w:hAnsiTheme="majorHAnsi" w:cstheme="minorHAnsi"/>
                <w:b/>
                <w:bCs/>
                <w:i/>
                <w:iCs/>
                <w:color w:val="000000"/>
                <w:sz w:val="20"/>
                <w:szCs w:val="16"/>
                <w:lang w:eastAsia="ru-RU"/>
              </w:rPr>
              <w:t>Monitorizarea internă</w:t>
            </w:r>
          </w:p>
        </w:tc>
        <w:tc>
          <w:tcPr>
            <w:tcW w:w="1275" w:type="dxa"/>
            <w:tcBorders>
              <w:top w:val="nil"/>
              <w:left w:val="nil"/>
              <w:bottom w:val="single" w:sz="8" w:space="0" w:color="auto"/>
              <w:right w:val="single" w:sz="4" w:space="0" w:color="auto"/>
            </w:tcBorders>
            <w:shd w:val="clear" w:color="auto" w:fill="F2F2F2" w:themeFill="background1" w:themeFillShade="F2"/>
            <w:noWrap/>
            <w:vAlign w:val="bottom"/>
            <w:hideMark/>
          </w:tcPr>
          <w:p w14:paraId="0C6D0F74" w14:textId="77777777" w:rsidR="005B0855" w:rsidRPr="00381DA2" w:rsidRDefault="005B0855" w:rsidP="003A66EF">
            <w:pPr>
              <w:spacing w:after="0" w:line="276" w:lineRule="auto"/>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 </w:t>
            </w:r>
          </w:p>
        </w:tc>
        <w:tc>
          <w:tcPr>
            <w:tcW w:w="1134" w:type="dxa"/>
            <w:tcBorders>
              <w:top w:val="nil"/>
              <w:left w:val="nil"/>
              <w:bottom w:val="single" w:sz="8" w:space="0" w:color="auto"/>
              <w:right w:val="single" w:sz="4" w:space="0" w:color="auto"/>
            </w:tcBorders>
            <w:shd w:val="clear" w:color="auto" w:fill="F2F2F2" w:themeFill="background1" w:themeFillShade="F2"/>
            <w:noWrap/>
            <w:vAlign w:val="bottom"/>
            <w:hideMark/>
          </w:tcPr>
          <w:p w14:paraId="4EF69AAC" w14:textId="77777777" w:rsidR="005B0855" w:rsidRPr="00381DA2" w:rsidRDefault="005B0855" w:rsidP="003A66EF">
            <w:pPr>
              <w:spacing w:after="0" w:line="276" w:lineRule="auto"/>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 </w:t>
            </w:r>
          </w:p>
        </w:tc>
        <w:tc>
          <w:tcPr>
            <w:tcW w:w="1276" w:type="dxa"/>
            <w:tcBorders>
              <w:top w:val="nil"/>
              <w:left w:val="nil"/>
              <w:bottom w:val="single" w:sz="8" w:space="0" w:color="auto"/>
              <w:right w:val="single" w:sz="4" w:space="0" w:color="auto"/>
            </w:tcBorders>
            <w:shd w:val="clear" w:color="auto" w:fill="F2F2F2" w:themeFill="background1" w:themeFillShade="F2"/>
            <w:noWrap/>
            <w:vAlign w:val="bottom"/>
            <w:hideMark/>
          </w:tcPr>
          <w:p w14:paraId="6598A7E7" w14:textId="77777777" w:rsidR="005B0855" w:rsidRPr="00381DA2" w:rsidRDefault="005B0855" w:rsidP="003A66EF">
            <w:pPr>
              <w:spacing w:after="0" w:line="276" w:lineRule="auto"/>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 </w:t>
            </w:r>
          </w:p>
        </w:tc>
        <w:tc>
          <w:tcPr>
            <w:tcW w:w="1418" w:type="dxa"/>
            <w:tcBorders>
              <w:top w:val="nil"/>
              <w:left w:val="nil"/>
              <w:bottom w:val="single" w:sz="8" w:space="0" w:color="auto"/>
              <w:right w:val="single" w:sz="8" w:space="0" w:color="auto"/>
            </w:tcBorders>
            <w:shd w:val="clear" w:color="auto" w:fill="F2F2F2" w:themeFill="background1" w:themeFillShade="F2"/>
            <w:noWrap/>
            <w:vAlign w:val="bottom"/>
            <w:hideMark/>
          </w:tcPr>
          <w:p w14:paraId="2C6E2694" w14:textId="77777777" w:rsidR="005B0855" w:rsidRPr="00381DA2" w:rsidRDefault="005B0855" w:rsidP="003A66EF">
            <w:pPr>
              <w:spacing w:after="0" w:line="276" w:lineRule="auto"/>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 </w:t>
            </w:r>
          </w:p>
        </w:tc>
        <w:tc>
          <w:tcPr>
            <w:tcW w:w="1417" w:type="dxa"/>
            <w:tcBorders>
              <w:top w:val="nil"/>
              <w:left w:val="nil"/>
              <w:bottom w:val="single" w:sz="8" w:space="0" w:color="auto"/>
              <w:right w:val="single" w:sz="8" w:space="0" w:color="auto"/>
            </w:tcBorders>
            <w:shd w:val="clear" w:color="auto" w:fill="DEEAF6" w:themeFill="accent1" w:themeFillTint="33"/>
          </w:tcPr>
          <w:p w14:paraId="18CAD78E" w14:textId="77777777" w:rsidR="005B0855" w:rsidRPr="00381DA2" w:rsidRDefault="005B0855" w:rsidP="003A66EF">
            <w:pPr>
              <w:spacing w:after="0" w:line="276" w:lineRule="auto"/>
              <w:rPr>
                <w:rFonts w:asciiTheme="majorHAnsi" w:eastAsia="Times New Roman" w:hAnsiTheme="majorHAnsi" w:cstheme="minorHAnsi"/>
                <w:color w:val="000000"/>
                <w:sz w:val="20"/>
                <w:szCs w:val="16"/>
                <w:lang w:eastAsia="ru-RU"/>
              </w:rPr>
            </w:pPr>
          </w:p>
        </w:tc>
      </w:tr>
      <w:tr w:rsidR="005B0855" w:rsidRPr="00381DA2" w14:paraId="2E7489DA" w14:textId="77777777" w:rsidTr="007F338E">
        <w:trPr>
          <w:trHeight w:val="485"/>
        </w:trPr>
        <w:tc>
          <w:tcPr>
            <w:tcW w:w="2694" w:type="dxa"/>
            <w:tcBorders>
              <w:top w:val="nil"/>
              <w:left w:val="single" w:sz="8" w:space="0" w:color="auto"/>
              <w:bottom w:val="single" w:sz="4" w:space="0" w:color="auto"/>
              <w:right w:val="single" w:sz="4" w:space="0" w:color="auto"/>
            </w:tcBorders>
            <w:shd w:val="clear" w:color="auto" w:fill="auto"/>
            <w:hideMark/>
          </w:tcPr>
          <w:p w14:paraId="259573BB" w14:textId="77777777" w:rsidR="005B0855" w:rsidRPr="00381DA2" w:rsidRDefault="005B0855" w:rsidP="003A66EF">
            <w:pPr>
              <w:spacing w:after="0" w:line="276" w:lineRule="auto"/>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I. Avocați monitorizați, inclusiv care au primit calificativul:</w:t>
            </w:r>
          </w:p>
        </w:tc>
        <w:tc>
          <w:tcPr>
            <w:tcW w:w="1275" w:type="dxa"/>
            <w:tcBorders>
              <w:top w:val="nil"/>
              <w:left w:val="nil"/>
              <w:bottom w:val="single" w:sz="4" w:space="0" w:color="auto"/>
              <w:right w:val="single" w:sz="4" w:space="0" w:color="auto"/>
            </w:tcBorders>
            <w:shd w:val="clear" w:color="auto" w:fill="auto"/>
            <w:noWrap/>
            <w:hideMark/>
          </w:tcPr>
          <w:p w14:paraId="7185A4E6" w14:textId="77777777" w:rsidR="005B0855" w:rsidRPr="00381DA2" w:rsidRDefault="005B0855" w:rsidP="003A66EF">
            <w:pPr>
              <w:spacing w:after="0" w:line="276" w:lineRule="auto"/>
              <w:jc w:val="right"/>
              <w:rPr>
                <w:rFonts w:asciiTheme="majorHAnsi" w:eastAsia="Times New Roman" w:hAnsiTheme="majorHAnsi" w:cs="Calibri"/>
                <w:b/>
                <w:bCs/>
                <w:i/>
                <w:iCs/>
                <w:color w:val="000000"/>
                <w:sz w:val="16"/>
                <w:szCs w:val="16"/>
                <w:lang w:val="ru-RU" w:eastAsia="ru-RU"/>
              </w:rPr>
            </w:pPr>
            <w:r w:rsidRPr="00381DA2">
              <w:rPr>
                <w:rFonts w:asciiTheme="majorHAnsi" w:eastAsia="Times New Roman" w:hAnsiTheme="majorHAnsi" w:cs="Calibri"/>
                <w:b/>
                <w:bCs/>
                <w:i/>
                <w:iCs/>
                <w:color w:val="000000"/>
                <w:sz w:val="16"/>
                <w:szCs w:val="16"/>
                <w:lang w:val="ru-RU" w:eastAsia="ru-RU"/>
              </w:rPr>
              <w:t>74</w:t>
            </w:r>
          </w:p>
        </w:tc>
        <w:tc>
          <w:tcPr>
            <w:tcW w:w="1134" w:type="dxa"/>
            <w:tcBorders>
              <w:top w:val="nil"/>
              <w:left w:val="nil"/>
              <w:bottom w:val="single" w:sz="4" w:space="0" w:color="auto"/>
              <w:right w:val="single" w:sz="4" w:space="0" w:color="auto"/>
            </w:tcBorders>
            <w:shd w:val="clear" w:color="auto" w:fill="auto"/>
            <w:noWrap/>
            <w:hideMark/>
          </w:tcPr>
          <w:p w14:paraId="2F13EED6" w14:textId="77777777" w:rsidR="005B0855" w:rsidRPr="00381DA2" w:rsidRDefault="005B0855" w:rsidP="003A66EF">
            <w:pPr>
              <w:spacing w:after="0" w:line="276" w:lineRule="auto"/>
              <w:jc w:val="right"/>
              <w:rPr>
                <w:rFonts w:asciiTheme="majorHAnsi" w:eastAsia="Times New Roman" w:hAnsiTheme="majorHAnsi" w:cs="Calibri"/>
                <w:b/>
                <w:bCs/>
                <w:i/>
                <w:iCs/>
                <w:color w:val="000000"/>
                <w:sz w:val="16"/>
                <w:szCs w:val="16"/>
                <w:lang w:val="ru-RU" w:eastAsia="ru-RU"/>
              </w:rPr>
            </w:pPr>
            <w:r w:rsidRPr="00381DA2">
              <w:rPr>
                <w:rFonts w:asciiTheme="majorHAnsi" w:eastAsia="Times New Roman" w:hAnsiTheme="majorHAnsi" w:cs="Calibri"/>
                <w:b/>
                <w:bCs/>
                <w:i/>
                <w:iCs/>
                <w:color w:val="000000"/>
                <w:sz w:val="16"/>
                <w:szCs w:val="16"/>
                <w:lang w:val="ru-RU" w:eastAsia="ru-RU"/>
              </w:rPr>
              <w:t>134</w:t>
            </w:r>
          </w:p>
        </w:tc>
        <w:tc>
          <w:tcPr>
            <w:tcW w:w="1276" w:type="dxa"/>
            <w:tcBorders>
              <w:top w:val="nil"/>
              <w:left w:val="nil"/>
              <w:bottom w:val="single" w:sz="4" w:space="0" w:color="auto"/>
              <w:right w:val="single" w:sz="4" w:space="0" w:color="auto"/>
            </w:tcBorders>
            <w:shd w:val="clear" w:color="auto" w:fill="auto"/>
            <w:noWrap/>
            <w:hideMark/>
          </w:tcPr>
          <w:p w14:paraId="2ABE5525" w14:textId="77777777" w:rsidR="005B0855" w:rsidRPr="00381DA2" w:rsidRDefault="005B0855" w:rsidP="003A66EF">
            <w:pPr>
              <w:spacing w:after="0" w:line="276" w:lineRule="auto"/>
              <w:jc w:val="right"/>
              <w:rPr>
                <w:rFonts w:asciiTheme="majorHAnsi" w:eastAsia="Times New Roman" w:hAnsiTheme="majorHAnsi" w:cs="Calibri"/>
                <w:b/>
                <w:bCs/>
                <w:i/>
                <w:iCs/>
                <w:color w:val="000000"/>
                <w:sz w:val="16"/>
                <w:szCs w:val="16"/>
                <w:lang w:val="ru-RU" w:eastAsia="ru-RU"/>
              </w:rPr>
            </w:pPr>
            <w:r w:rsidRPr="00381DA2">
              <w:rPr>
                <w:rFonts w:asciiTheme="majorHAnsi" w:eastAsia="Times New Roman" w:hAnsiTheme="majorHAnsi" w:cs="Calibri"/>
                <w:b/>
                <w:bCs/>
                <w:i/>
                <w:iCs/>
                <w:color w:val="000000"/>
                <w:sz w:val="16"/>
                <w:szCs w:val="16"/>
                <w:lang w:val="ru-RU" w:eastAsia="ru-RU"/>
              </w:rPr>
              <w:t>35</w:t>
            </w:r>
          </w:p>
        </w:tc>
        <w:tc>
          <w:tcPr>
            <w:tcW w:w="1418" w:type="dxa"/>
            <w:tcBorders>
              <w:top w:val="nil"/>
              <w:left w:val="nil"/>
              <w:bottom w:val="single" w:sz="4" w:space="0" w:color="auto"/>
              <w:right w:val="single" w:sz="8" w:space="0" w:color="auto"/>
            </w:tcBorders>
            <w:shd w:val="clear" w:color="auto" w:fill="auto"/>
            <w:noWrap/>
            <w:hideMark/>
          </w:tcPr>
          <w:p w14:paraId="62D53844" w14:textId="77777777" w:rsidR="005B0855" w:rsidRPr="00381DA2" w:rsidRDefault="005B0855" w:rsidP="003A66EF">
            <w:pPr>
              <w:spacing w:after="0" w:line="276" w:lineRule="auto"/>
              <w:jc w:val="right"/>
              <w:rPr>
                <w:rFonts w:asciiTheme="majorHAnsi" w:eastAsia="Times New Roman" w:hAnsiTheme="majorHAnsi" w:cs="Calibri"/>
                <w:b/>
                <w:bCs/>
                <w:i/>
                <w:iCs/>
                <w:color w:val="000000"/>
                <w:sz w:val="16"/>
                <w:szCs w:val="16"/>
                <w:lang w:val="ru-RU" w:eastAsia="ru-RU"/>
              </w:rPr>
            </w:pPr>
            <w:r w:rsidRPr="00381DA2">
              <w:rPr>
                <w:rFonts w:asciiTheme="majorHAnsi" w:eastAsia="Times New Roman" w:hAnsiTheme="majorHAnsi" w:cs="Calibri"/>
                <w:b/>
                <w:bCs/>
                <w:i/>
                <w:iCs/>
                <w:color w:val="000000"/>
                <w:sz w:val="16"/>
                <w:szCs w:val="16"/>
                <w:lang w:val="ru-RU" w:eastAsia="ru-RU"/>
              </w:rPr>
              <w:t>52</w:t>
            </w:r>
          </w:p>
        </w:tc>
        <w:tc>
          <w:tcPr>
            <w:tcW w:w="1417" w:type="dxa"/>
            <w:tcBorders>
              <w:top w:val="nil"/>
              <w:left w:val="nil"/>
              <w:bottom w:val="single" w:sz="4" w:space="0" w:color="auto"/>
              <w:right w:val="single" w:sz="8" w:space="0" w:color="auto"/>
            </w:tcBorders>
            <w:shd w:val="clear" w:color="auto" w:fill="DEEAF6" w:themeFill="accent1" w:themeFillTint="33"/>
          </w:tcPr>
          <w:p w14:paraId="28DC8204" w14:textId="77777777" w:rsidR="005B0855" w:rsidRPr="00381DA2" w:rsidRDefault="005B0855" w:rsidP="003A66EF">
            <w:pPr>
              <w:spacing w:after="0" w:line="276" w:lineRule="auto"/>
              <w:jc w:val="right"/>
              <w:rPr>
                <w:rFonts w:asciiTheme="majorHAnsi" w:eastAsia="Times New Roman" w:hAnsiTheme="majorHAnsi" w:cstheme="minorHAnsi"/>
                <w:b/>
                <w:bCs/>
                <w:i/>
                <w:iCs/>
                <w:color w:val="000000"/>
                <w:sz w:val="20"/>
                <w:szCs w:val="16"/>
                <w:lang w:eastAsia="ru-RU"/>
              </w:rPr>
            </w:pPr>
            <w:r w:rsidRPr="00381DA2">
              <w:rPr>
                <w:rFonts w:asciiTheme="majorHAnsi" w:eastAsia="Times New Roman" w:hAnsiTheme="majorHAnsi" w:cstheme="minorHAnsi"/>
                <w:b/>
                <w:bCs/>
                <w:i/>
                <w:iCs/>
                <w:color w:val="000000"/>
                <w:sz w:val="20"/>
                <w:szCs w:val="16"/>
                <w:lang w:eastAsia="ru-RU"/>
              </w:rPr>
              <w:t>295</w:t>
            </w:r>
          </w:p>
        </w:tc>
      </w:tr>
      <w:tr w:rsidR="005B0855" w:rsidRPr="00381DA2" w14:paraId="26D25923" w14:textId="77777777" w:rsidTr="007F338E">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14:paraId="47D94517"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„foarte bine”</w:t>
            </w:r>
          </w:p>
        </w:tc>
        <w:tc>
          <w:tcPr>
            <w:tcW w:w="1275" w:type="dxa"/>
            <w:tcBorders>
              <w:top w:val="nil"/>
              <w:left w:val="nil"/>
              <w:bottom w:val="single" w:sz="4" w:space="0" w:color="auto"/>
              <w:right w:val="single" w:sz="4" w:space="0" w:color="auto"/>
            </w:tcBorders>
            <w:shd w:val="clear" w:color="auto" w:fill="auto"/>
            <w:noWrap/>
            <w:hideMark/>
          </w:tcPr>
          <w:p w14:paraId="753C5579"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3</w:t>
            </w:r>
          </w:p>
        </w:tc>
        <w:tc>
          <w:tcPr>
            <w:tcW w:w="1134" w:type="dxa"/>
            <w:tcBorders>
              <w:top w:val="nil"/>
              <w:left w:val="nil"/>
              <w:bottom w:val="single" w:sz="4" w:space="0" w:color="auto"/>
              <w:right w:val="single" w:sz="4" w:space="0" w:color="auto"/>
            </w:tcBorders>
            <w:shd w:val="clear" w:color="auto" w:fill="auto"/>
            <w:noWrap/>
            <w:hideMark/>
          </w:tcPr>
          <w:p w14:paraId="26A80629"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120</w:t>
            </w:r>
          </w:p>
        </w:tc>
        <w:tc>
          <w:tcPr>
            <w:tcW w:w="1276" w:type="dxa"/>
            <w:tcBorders>
              <w:top w:val="nil"/>
              <w:left w:val="nil"/>
              <w:bottom w:val="single" w:sz="4" w:space="0" w:color="auto"/>
              <w:right w:val="single" w:sz="4" w:space="0" w:color="auto"/>
            </w:tcBorders>
            <w:shd w:val="clear" w:color="auto" w:fill="auto"/>
            <w:noWrap/>
            <w:hideMark/>
          </w:tcPr>
          <w:p w14:paraId="17010879"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23</w:t>
            </w:r>
          </w:p>
        </w:tc>
        <w:tc>
          <w:tcPr>
            <w:tcW w:w="1418" w:type="dxa"/>
            <w:tcBorders>
              <w:top w:val="nil"/>
              <w:left w:val="nil"/>
              <w:bottom w:val="single" w:sz="4" w:space="0" w:color="auto"/>
              <w:right w:val="single" w:sz="8" w:space="0" w:color="auto"/>
            </w:tcBorders>
            <w:shd w:val="clear" w:color="auto" w:fill="auto"/>
            <w:noWrap/>
            <w:hideMark/>
          </w:tcPr>
          <w:p w14:paraId="1DAEB891"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9</w:t>
            </w:r>
          </w:p>
        </w:tc>
        <w:tc>
          <w:tcPr>
            <w:tcW w:w="1417" w:type="dxa"/>
            <w:tcBorders>
              <w:top w:val="nil"/>
              <w:left w:val="nil"/>
              <w:bottom w:val="single" w:sz="4" w:space="0" w:color="auto"/>
              <w:right w:val="single" w:sz="8" w:space="0" w:color="auto"/>
            </w:tcBorders>
            <w:shd w:val="clear" w:color="auto" w:fill="DEEAF6" w:themeFill="accent1" w:themeFillTint="33"/>
          </w:tcPr>
          <w:p w14:paraId="52EB4567" w14:textId="77777777" w:rsidR="005B0855" w:rsidRPr="00381DA2" w:rsidRDefault="005B0855" w:rsidP="003A66EF">
            <w:pPr>
              <w:spacing w:after="0" w:line="276" w:lineRule="auto"/>
              <w:jc w:val="right"/>
              <w:rPr>
                <w:rFonts w:asciiTheme="majorHAnsi" w:eastAsia="Times New Roman" w:hAnsiTheme="majorHAnsi" w:cstheme="minorHAnsi"/>
                <w:b/>
                <w:i/>
                <w:iCs/>
                <w:color w:val="000000"/>
                <w:sz w:val="20"/>
                <w:szCs w:val="16"/>
                <w:lang w:eastAsia="ru-RU"/>
              </w:rPr>
            </w:pPr>
            <w:r w:rsidRPr="00381DA2">
              <w:rPr>
                <w:rFonts w:asciiTheme="majorHAnsi" w:eastAsia="Times New Roman" w:hAnsiTheme="majorHAnsi" w:cstheme="minorHAnsi"/>
                <w:b/>
                <w:i/>
                <w:iCs/>
                <w:color w:val="000000"/>
                <w:sz w:val="20"/>
                <w:szCs w:val="16"/>
                <w:lang w:eastAsia="ru-RU"/>
              </w:rPr>
              <w:t>155</w:t>
            </w:r>
          </w:p>
        </w:tc>
      </w:tr>
      <w:tr w:rsidR="005B0855" w:rsidRPr="00381DA2" w14:paraId="4D627FB7" w14:textId="77777777" w:rsidTr="007F338E">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14:paraId="6EB24996"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„bine”</w:t>
            </w:r>
          </w:p>
        </w:tc>
        <w:tc>
          <w:tcPr>
            <w:tcW w:w="1275" w:type="dxa"/>
            <w:tcBorders>
              <w:top w:val="nil"/>
              <w:left w:val="nil"/>
              <w:bottom w:val="single" w:sz="4" w:space="0" w:color="auto"/>
              <w:right w:val="single" w:sz="4" w:space="0" w:color="auto"/>
            </w:tcBorders>
            <w:shd w:val="clear" w:color="auto" w:fill="auto"/>
            <w:noWrap/>
            <w:hideMark/>
          </w:tcPr>
          <w:p w14:paraId="48BDF056"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68</w:t>
            </w:r>
          </w:p>
        </w:tc>
        <w:tc>
          <w:tcPr>
            <w:tcW w:w="1134" w:type="dxa"/>
            <w:tcBorders>
              <w:top w:val="nil"/>
              <w:left w:val="nil"/>
              <w:bottom w:val="single" w:sz="4" w:space="0" w:color="auto"/>
              <w:right w:val="single" w:sz="4" w:space="0" w:color="auto"/>
            </w:tcBorders>
            <w:shd w:val="clear" w:color="auto" w:fill="auto"/>
            <w:noWrap/>
            <w:hideMark/>
          </w:tcPr>
          <w:p w14:paraId="39B9DC00"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14</w:t>
            </w:r>
          </w:p>
        </w:tc>
        <w:tc>
          <w:tcPr>
            <w:tcW w:w="1276" w:type="dxa"/>
            <w:tcBorders>
              <w:top w:val="nil"/>
              <w:left w:val="nil"/>
              <w:bottom w:val="single" w:sz="4" w:space="0" w:color="auto"/>
              <w:right w:val="single" w:sz="4" w:space="0" w:color="auto"/>
            </w:tcBorders>
            <w:shd w:val="clear" w:color="auto" w:fill="auto"/>
            <w:noWrap/>
            <w:hideMark/>
          </w:tcPr>
          <w:p w14:paraId="2A39ADCA"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12</w:t>
            </w:r>
          </w:p>
        </w:tc>
        <w:tc>
          <w:tcPr>
            <w:tcW w:w="1418" w:type="dxa"/>
            <w:tcBorders>
              <w:top w:val="nil"/>
              <w:left w:val="nil"/>
              <w:bottom w:val="single" w:sz="4" w:space="0" w:color="auto"/>
              <w:right w:val="single" w:sz="8" w:space="0" w:color="auto"/>
            </w:tcBorders>
            <w:shd w:val="clear" w:color="auto" w:fill="auto"/>
            <w:noWrap/>
            <w:hideMark/>
          </w:tcPr>
          <w:p w14:paraId="01CCE44C"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38</w:t>
            </w:r>
          </w:p>
        </w:tc>
        <w:tc>
          <w:tcPr>
            <w:tcW w:w="1417" w:type="dxa"/>
            <w:tcBorders>
              <w:top w:val="nil"/>
              <w:left w:val="nil"/>
              <w:bottom w:val="single" w:sz="4" w:space="0" w:color="auto"/>
              <w:right w:val="single" w:sz="8" w:space="0" w:color="auto"/>
            </w:tcBorders>
            <w:shd w:val="clear" w:color="auto" w:fill="DEEAF6" w:themeFill="accent1" w:themeFillTint="33"/>
          </w:tcPr>
          <w:p w14:paraId="2C5ED6C8" w14:textId="77777777" w:rsidR="005B0855" w:rsidRPr="00381DA2" w:rsidRDefault="005B0855" w:rsidP="003A66EF">
            <w:pPr>
              <w:spacing w:after="0" w:line="276" w:lineRule="auto"/>
              <w:jc w:val="right"/>
              <w:rPr>
                <w:rFonts w:asciiTheme="majorHAnsi" w:eastAsia="Times New Roman" w:hAnsiTheme="majorHAnsi" w:cstheme="minorHAnsi"/>
                <w:b/>
                <w:i/>
                <w:iCs/>
                <w:color w:val="000000"/>
                <w:sz w:val="20"/>
                <w:szCs w:val="16"/>
                <w:lang w:eastAsia="ru-RU"/>
              </w:rPr>
            </w:pPr>
            <w:r w:rsidRPr="00381DA2">
              <w:rPr>
                <w:rFonts w:asciiTheme="majorHAnsi" w:eastAsia="Times New Roman" w:hAnsiTheme="majorHAnsi" w:cstheme="minorHAnsi"/>
                <w:b/>
                <w:i/>
                <w:iCs/>
                <w:color w:val="000000"/>
                <w:sz w:val="20"/>
                <w:szCs w:val="16"/>
                <w:lang w:eastAsia="ru-RU"/>
              </w:rPr>
              <w:t>132</w:t>
            </w:r>
          </w:p>
        </w:tc>
      </w:tr>
      <w:tr w:rsidR="005B0855" w:rsidRPr="00381DA2" w14:paraId="20485978" w14:textId="77777777" w:rsidTr="007F338E">
        <w:trPr>
          <w:trHeight w:val="2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14:paraId="56CA5DC8"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„insuficient”</w:t>
            </w:r>
          </w:p>
        </w:tc>
        <w:tc>
          <w:tcPr>
            <w:tcW w:w="1275" w:type="dxa"/>
            <w:tcBorders>
              <w:top w:val="nil"/>
              <w:left w:val="nil"/>
              <w:bottom w:val="single" w:sz="8" w:space="0" w:color="auto"/>
              <w:right w:val="single" w:sz="4" w:space="0" w:color="auto"/>
            </w:tcBorders>
            <w:shd w:val="clear" w:color="auto" w:fill="auto"/>
            <w:noWrap/>
            <w:hideMark/>
          </w:tcPr>
          <w:p w14:paraId="2C7C9461"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3</w:t>
            </w:r>
          </w:p>
        </w:tc>
        <w:tc>
          <w:tcPr>
            <w:tcW w:w="1134" w:type="dxa"/>
            <w:tcBorders>
              <w:top w:val="nil"/>
              <w:left w:val="nil"/>
              <w:bottom w:val="single" w:sz="8" w:space="0" w:color="auto"/>
              <w:right w:val="single" w:sz="4" w:space="0" w:color="auto"/>
            </w:tcBorders>
            <w:shd w:val="clear" w:color="auto" w:fill="auto"/>
            <w:noWrap/>
            <w:hideMark/>
          </w:tcPr>
          <w:p w14:paraId="42551518"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0</w:t>
            </w:r>
          </w:p>
        </w:tc>
        <w:tc>
          <w:tcPr>
            <w:tcW w:w="1276" w:type="dxa"/>
            <w:tcBorders>
              <w:top w:val="nil"/>
              <w:left w:val="nil"/>
              <w:bottom w:val="single" w:sz="8" w:space="0" w:color="auto"/>
              <w:right w:val="single" w:sz="4" w:space="0" w:color="auto"/>
            </w:tcBorders>
            <w:shd w:val="clear" w:color="auto" w:fill="auto"/>
            <w:noWrap/>
            <w:hideMark/>
          </w:tcPr>
          <w:p w14:paraId="55171AFA"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ru-RU" w:eastAsia="ru-RU"/>
              </w:rPr>
            </w:pPr>
            <w:r w:rsidRPr="00381DA2">
              <w:rPr>
                <w:rFonts w:asciiTheme="majorHAnsi" w:eastAsia="Times New Roman" w:hAnsiTheme="majorHAnsi" w:cs="Calibri"/>
                <w:i/>
                <w:iCs/>
                <w:color w:val="000000"/>
                <w:sz w:val="16"/>
                <w:szCs w:val="16"/>
                <w:lang w:val="ru-RU" w:eastAsia="ru-RU"/>
              </w:rPr>
              <w:t>0</w:t>
            </w:r>
          </w:p>
        </w:tc>
        <w:tc>
          <w:tcPr>
            <w:tcW w:w="1418" w:type="dxa"/>
            <w:tcBorders>
              <w:top w:val="nil"/>
              <w:left w:val="nil"/>
              <w:bottom w:val="single" w:sz="8" w:space="0" w:color="auto"/>
              <w:right w:val="single" w:sz="8" w:space="0" w:color="auto"/>
            </w:tcBorders>
            <w:shd w:val="clear" w:color="auto" w:fill="auto"/>
            <w:noWrap/>
            <w:hideMark/>
          </w:tcPr>
          <w:p w14:paraId="7272B9D1" w14:textId="77777777" w:rsidR="005B0855" w:rsidRPr="00381DA2" w:rsidRDefault="005B0855" w:rsidP="003A66EF">
            <w:pPr>
              <w:spacing w:after="0" w:line="276" w:lineRule="auto"/>
              <w:jc w:val="right"/>
              <w:rPr>
                <w:rFonts w:asciiTheme="majorHAnsi" w:eastAsia="Times New Roman" w:hAnsiTheme="majorHAnsi" w:cs="Calibri"/>
                <w:i/>
                <w:iCs/>
                <w:color w:val="000000"/>
                <w:sz w:val="16"/>
                <w:szCs w:val="16"/>
                <w:lang w:val="en-US" w:eastAsia="ru-RU"/>
              </w:rPr>
            </w:pPr>
            <w:r w:rsidRPr="00381DA2">
              <w:rPr>
                <w:rFonts w:asciiTheme="majorHAnsi" w:eastAsia="Times New Roman" w:hAnsiTheme="majorHAnsi" w:cs="Calibri"/>
                <w:i/>
                <w:iCs/>
                <w:color w:val="000000"/>
                <w:sz w:val="16"/>
                <w:szCs w:val="16"/>
                <w:lang w:val="en-US" w:eastAsia="ru-RU"/>
              </w:rPr>
              <w:t>5</w:t>
            </w:r>
          </w:p>
        </w:tc>
        <w:tc>
          <w:tcPr>
            <w:tcW w:w="1417" w:type="dxa"/>
            <w:tcBorders>
              <w:top w:val="nil"/>
              <w:left w:val="nil"/>
              <w:bottom w:val="single" w:sz="8" w:space="0" w:color="auto"/>
              <w:right w:val="single" w:sz="8" w:space="0" w:color="auto"/>
            </w:tcBorders>
            <w:shd w:val="clear" w:color="auto" w:fill="DEEAF6" w:themeFill="accent1" w:themeFillTint="33"/>
          </w:tcPr>
          <w:p w14:paraId="364F6E54" w14:textId="77777777" w:rsidR="005B0855" w:rsidRPr="00381DA2" w:rsidRDefault="005B0855" w:rsidP="003A66EF">
            <w:pPr>
              <w:spacing w:after="0" w:line="276" w:lineRule="auto"/>
              <w:jc w:val="right"/>
              <w:rPr>
                <w:rFonts w:asciiTheme="majorHAnsi" w:eastAsia="Times New Roman" w:hAnsiTheme="majorHAnsi" w:cstheme="minorHAnsi"/>
                <w:b/>
                <w:i/>
                <w:iCs/>
                <w:color w:val="000000"/>
                <w:sz w:val="20"/>
                <w:szCs w:val="16"/>
                <w:lang w:eastAsia="ru-RU"/>
              </w:rPr>
            </w:pPr>
            <w:r w:rsidRPr="00381DA2">
              <w:rPr>
                <w:rFonts w:asciiTheme="majorHAnsi" w:eastAsia="Times New Roman" w:hAnsiTheme="majorHAnsi" w:cstheme="minorHAnsi"/>
                <w:b/>
                <w:i/>
                <w:iCs/>
                <w:color w:val="000000"/>
                <w:sz w:val="20"/>
                <w:szCs w:val="16"/>
                <w:lang w:eastAsia="ru-RU"/>
              </w:rPr>
              <w:t>8</w:t>
            </w:r>
          </w:p>
        </w:tc>
      </w:tr>
      <w:tr w:rsidR="005B0855" w:rsidRPr="00381DA2" w14:paraId="17B4E324" w14:textId="77777777" w:rsidTr="007F338E">
        <w:trPr>
          <w:trHeight w:val="445"/>
        </w:trPr>
        <w:tc>
          <w:tcPr>
            <w:tcW w:w="2694" w:type="dxa"/>
            <w:tcBorders>
              <w:top w:val="nil"/>
              <w:left w:val="single" w:sz="8" w:space="0" w:color="auto"/>
              <w:bottom w:val="single" w:sz="4" w:space="0" w:color="auto"/>
              <w:right w:val="single" w:sz="4" w:space="0" w:color="auto"/>
            </w:tcBorders>
            <w:shd w:val="clear" w:color="auto" w:fill="auto"/>
            <w:vAlign w:val="bottom"/>
            <w:hideMark/>
          </w:tcPr>
          <w:p w14:paraId="129D18FA" w14:textId="77777777" w:rsidR="005B0855" w:rsidRPr="00381DA2" w:rsidRDefault="005B0855" w:rsidP="003A66EF">
            <w:pPr>
              <w:spacing w:after="0" w:line="276" w:lineRule="auto"/>
              <w:rPr>
                <w:rFonts w:asciiTheme="majorHAnsi" w:eastAsia="Times New Roman" w:hAnsiTheme="majorHAnsi" w:cstheme="minorHAnsi"/>
                <w:i/>
                <w:iCs/>
                <w:color w:val="000000"/>
                <w:sz w:val="20"/>
                <w:szCs w:val="16"/>
                <w:lang w:eastAsia="ru-RU"/>
              </w:rPr>
            </w:pPr>
            <w:r w:rsidRPr="00381DA2">
              <w:rPr>
                <w:rFonts w:asciiTheme="majorHAnsi" w:eastAsia="Times New Roman" w:hAnsiTheme="majorHAnsi" w:cstheme="minorHAnsi"/>
                <w:i/>
                <w:iCs/>
                <w:color w:val="000000"/>
                <w:sz w:val="20"/>
                <w:szCs w:val="16"/>
                <w:lang w:eastAsia="ru-RU"/>
              </w:rPr>
              <w:t>II. Para-juriști, care au acumulat punctaj:</w:t>
            </w:r>
          </w:p>
        </w:tc>
        <w:tc>
          <w:tcPr>
            <w:tcW w:w="1275" w:type="dxa"/>
            <w:tcBorders>
              <w:top w:val="nil"/>
              <w:left w:val="nil"/>
              <w:bottom w:val="single" w:sz="4" w:space="0" w:color="auto"/>
              <w:right w:val="single" w:sz="4" w:space="0" w:color="auto"/>
            </w:tcBorders>
            <w:shd w:val="clear" w:color="auto" w:fill="auto"/>
            <w:noWrap/>
            <w:hideMark/>
          </w:tcPr>
          <w:p w14:paraId="2FD3F421" w14:textId="77777777" w:rsidR="005B0855" w:rsidRPr="00381DA2" w:rsidRDefault="005B0855" w:rsidP="003A66EF">
            <w:pPr>
              <w:spacing w:after="0" w:line="276" w:lineRule="auto"/>
              <w:jc w:val="right"/>
              <w:rPr>
                <w:rFonts w:asciiTheme="majorHAnsi" w:eastAsia="Times New Roman" w:hAnsiTheme="majorHAnsi" w:cs="Calibri"/>
                <w:b/>
                <w:bCs/>
                <w:iCs/>
                <w:color w:val="000000"/>
                <w:sz w:val="16"/>
                <w:szCs w:val="16"/>
                <w:lang w:val="ru-RU" w:eastAsia="ru-RU"/>
              </w:rPr>
            </w:pPr>
            <w:r w:rsidRPr="00381DA2">
              <w:rPr>
                <w:rFonts w:asciiTheme="majorHAnsi" w:eastAsia="Times New Roman" w:hAnsiTheme="majorHAnsi" w:cs="Calibri"/>
                <w:b/>
                <w:bCs/>
                <w:iCs/>
                <w:color w:val="000000"/>
                <w:sz w:val="16"/>
                <w:szCs w:val="16"/>
                <w:lang w:val="ru-RU" w:eastAsia="ru-RU"/>
              </w:rPr>
              <w:t>76</w:t>
            </w:r>
          </w:p>
        </w:tc>
        <w:tc>
          <w:tcPr>
            <w:tcW w:w="1134" w:type="dxa"/>
            <w:tcBorders>
              <w:top w:val="nil"/>
              <w:left w:val="nil"/>
              <w:bottom w:val="single" w:sz="4" w:space="0" w:color="auto"/>
              <w:right w:val="single" w:sz="4" w:space="0" w:color="auto"/>
            </w:tcBorders>
            <w:shd w:val="clear" w:color="auto" w:fill="auto"/>
            <w:noWrap/>
            <w:hideMark/>
          </w:tcPr>
          <w:p w14:paraId="71497080" w14:textId="77777777" w:rsidR="005B0855" w:rsidRPr="00381DA2" w:rsidRDefault="005B0855" w:rsidP="003A66EF">
            <w:pPr>
              <w:spacing w:after="0" w:line="276" w:lineRule="auto"/>
              <w:jc w:val="right"/>
              <w:rPr>
                <w:rFonts w:asciiTheme="majorHAnsi" w:eastAsia="Times New Roman" w:hAnsiTheme="majorHAnsi" w:cs="Calibri"/>
                <w:b/>
                <w:bCs/>
                <w:iCs/>
                <w:color w:val="000000"/>
                <w:sz w:val="16"/>
                <w:szCs w:val="16"/>
                <w:lang w:val="ru-RU" w:eastAsia="ru-RU"/>
              </w:rPr>
            </w:pPr>
            <w:r w:rsidRPr="00381DA2">
              <w:rPr>
                <w:rFonts w:asciiTheme="majorHAnsi" w:eastAsia="Times New Roman" w:hAnsiTheme="majorHAnsi" w:cs="Calibri"/>
                <w:b/>
                <w:bCs/>
                <w:iCs/>
                <w:color w:val="000000"/>
                <w:sz w:val="16"/>
                <w:szCs w:val="16"/>
                <w:lang w:val="ru-RU" w:eastAsia="ru-RU"/>
              </w:rPr>
              <w:t>129</w:t>
            </w:r>
          </w:p>
        </w:tc>
        <w:tc>
          <w:tcPr>
            <w:tcW w:w="1276" w:type="dxa"/>
            <w:tcBorders>
              <w:top w:val="nil"/>
              <w:left w:val="nil"/>
              <w:bottom w:val="single" w:sz="4" w:space="0" w:color="auto"/>
              <w:right w:val="single" w:sz="4" w:space="0" w:color="auto"/>
            </w:tcBorders>
            <w:shd w:val="clear" w:color="auto" w:fill="auto"/>
            <w:noWrap/>
            <w:hideMark/>
          </w:tcPr>
          <w:p w14:paraId="296DC886" w14:textId="77777777" w:rsidR="005B0855" w:rsidRPr="00381DA2" w:rsidRDefault="005B0855" w:rsidP="003A66EF">
            <w:pPr>
              <w:spacing w:after="0" w:line="276" w:lineRule="auto"/>
              <w:jc w:val="right"/>
              <w:rPr>
                <w:rFonts w:asciiTheme="majorHAnsi" w:eastAsia="Times New Roman" w:hAnsiTheme="majorHAnsi" w:cs="Calibri"/>
                <w:b/>
                <w:bCs/>
                <w:iCs/>
                <w:color w:val="000000"/>
                <w:sz w:val="16"/>
                <w:szCs w:val="16"/>
                <w:lang w:val="en-US" w:eastAsia="ru-RU"/>
              </w:rPr>
            </w:pPr>
            <w:r w:rsidRPr="00381DA2">
              <w:rPr>
                <w:rFonts w:asciiTheme="majorHAnsi" w:eastAsia="Times New Roman" w:hAnsiTheme="majorHAnsi" w:cs="Calibri"/>
                <w:b/>
                <w:bCs/>
                <w:iCs/>
                <w:color w:val="000000"/>
                <w:sz w:val="16"/>
                <w:szCs w:val="16"/>
                <w:lang w:val="en-US" w:eastAsia="ru-RU"/>
              </w:rPr>
              <w:t>42</w:t>
            </w:r>
          </w:p>
        </w:tc>
        <w:tc>
          <w:tcPr>
            <w:tcW w:w="1418" w:type="dxa"/>
            <w:tcBorders>
              <w:top w:val="nil"/>
              <w:left w:val="nil"/>
              <w:bottom w:val="single" w:sz="4" w:space="0" w:color="auto"/>
              <w:right w:val="single" w:sz="8" w:space="0" w:color="auto"/>
            </w:tcBorders>
            <w:shd w:val="clear" w:color="auto" w:fill="auto"/>
            <w:noWrap/>
            <w:hideMark/>
          </w:tcPr>
          <w:p w14:paraId="73B2976A" w14:textId="77777777" w:rsidR="005B0855" w:rsidRPr="00381DA2" w:rsidRDefault="005B0855" w:rsidP="003A66EF">
            <w:pPr>
              <w:spacing w:after="0" w:line="276" w:lineRule="auto"/>
              <w:jc w:val="right"/>
              <w:rPr>
                <w:rFonts w:asciiTheme="majorHAnsi" w:eastAsia="Times New Roman" w:hAnsiTheme="majorHAnsi" w:cs="Calibri"/>
                <w:b/>
                <w:bCs/>
                <w:iCs/>
                <w:color w:val="000000"/>
                <w:sz w:val="16"/>
                <w:szCs w:val="16"/>
                <w:lang w:val="ru-RU" w:eastAsia="ru-RU"/>
              </w:rPr>
            </w:pPr>
            <w:r w:rsidRPr="00381DA2">
              <w:rPr>
                <w:rFonts w:asciiTheme="majorHAnsi" w:eastAsia="Times New Roman" w:hAnsiTheme="majorHAnsi" w:cs="Calibri"/>
                <w:b/>
                <w:bCs/>
                <w:iCs/>
                <w:color w:val="000000"/>
                <w:sz w:val="16"/>
                <w:szCs w:val="16"/>
                <w:lang w:val="ru-RU" w:eastAsia="ru-RU"/>
              </w:rPr>
              <w:t>95</w:t>
            </w:r>
          </w:p>
        </w:tc>
        <w:tc>
          <w:tcPr>
            <w:tcW w:w="1417" w:type="dxa"/>
            <w:tcBorders>
              <w:top w:val="nil"/>
              <w:left w:val="nil"/>
              <w:bottom w:val="single" w:sz="4" w:space="0" w:color="auto"/>
              <w:right w:val="single" w:sz="8" w:space="0" w:color="auto"/>
            </w:tcBorders>
            <w:shd w:val="clear" w:color="auto" w:fill="DEEAF6" w:themeFill="accent1" w:themeFillTint="33"/>
          </w:tcPr>
          <w:p w14:paraId="2567BC70" w14:textId="77777777" w:rsidR="005B0855" w:rsidRPr="00381DA2" w:rsidRDefault="005B0855" w:rsidP="003A66EF">
            <w:pPr>
              <w:spacing w:after="0" w:line="276" w:lineRule="auto"/>
              <w:jc w:val="right"/>
              <w:rPr>
                <w:rFonts w:asciiTheme="majorHAnsi" w:eastAsia="Times New Roman" w:hAnsiTheme="majorHAnsi" w:cstheme="minorHAnsi"/>
                <w:b/>
                <w:bCs/>
                <w:i/>
                <w:iCs/>
                <w:color w:val="000000"/>
                <w:sz w:val="20"/>
                <w:szCs w:val="16"/>
                <w:lang w:eastAsia="ru-RU"/>
              </w:rPr>
            </w:pPr>
            <w:r w:rsidRPr="00381DA2">
              <w:rPr>
                <w:rFonts w:asciiTheme="majorHAnsi" w:eastAsia="Times New Roman" w:hAnsiTheme="majorHAnsi" w:cstheme="minorHAnsi"/>
                <w:b/>
                <w:bCs/>
                <w:i/>
                <w:iCs/>
                <w:color w:val="000000"/>
                <w:sz w:val="20"/>
                <w:szCs w:val="16"/>
                <w:lang w:eastAsia="ru-RU"/>
              </w:rPr>
              <w:t>342</w:t>
            </w:r>
          </w:p>
        </w:tc>
      </w:tr>
      <w:tr w:rsidR="005B0855" w:rsidRPr="00381DA2" w14:paraId="7294BB2A" w14:textId="77777777" w:rsidTr="007F338E">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14:paraId="117A9660"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de la 90 la 100</w:t>
            </w:r>
          </w:p>
        </w:tc>
        <w:tc>
          <w:tcPr>
            <w:tcW w:w="1275" w:type="dxa"/>
            <w:tcBorders>
              <w:top w:val="nil"/>
              <w:left w:val="nil"/>
              <w:bottom w:val="single" w:sz="4" w:space="0" w:color="auto"/>
              <w:right w:val="single" w:sz="4" w:space="0" w:color="auto"/>
            </w:tcBorders>
            <w:shd w:val="clear" w:color="auto" w:fill="auto"/>
            <w:noWrap/>
            <w:hideMark/>
          </w:tcPr>
          <w:p w14:paraId="26E7A07E"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7</w:t>
            </w:r>
          </w:p>
        </w:tc>
        <w:tc>
          <w:tcPr>
            <w:tcW w:w="1134" w:type="dxa"/>
            <w:tcBorders>
              <w:top w:val="nil"/>
              <w:left w:val="nil"/>
              <w:bottom w:val="single" w:sz="4" w:space="0" w:color="auto"/>
              <w:right w:val="single" w:sz="4" w:space="0" w:color="auto"/>
            </w:tcBorders>
            <w:shd w:val="clear" w:color="auto" w:fill="auto"/>
            <w:noWrap/>
            <w:hideMark/>
          </w:tcPr>
          <w:p w14:paraId="1F04BD6B"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0</w:t>
            </w:r>
          </w:p>
        </w:tc>
        <w:tc>
          <w:tcPr>
            <w:tcW w:w="1276" w:type="dxa"/>
            <w:tcBorders>
              <w:top w:val="nil"/>
              <w:left w:val="nil"/>
              <w:bottom w:val="single" w:sz="4" w:space="0" w:color="auto"/>
              <w:right w:val="single" w:sz="4" w:space="0" w:color="auto"/>
            </w:tcBorders>
            <w:shd w:val="clear" w:color="auto" w:fill="auto"/>
            <w:noWrap/>
            <w:hideMark/>
          </w:tcPr>
          <w:p w14:paraId="13E37BD4"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16</w:t>
            </w:r>
          </w:p>
        </w:tc>
        <w:tc>
          <w:tcPr>
            <w:tcW w:w="1418" w:type="dxa"/>
            <w:tcBorders>
              <w:top w:val="nil"/>
              <w:left w:val="nil"/>
              <w:bottom w:val="single" w:sz="4" w:space="0" w:color="auto"/>
              <w:right w:val="single" w:sz="8" w:space="0" w:color="auto"/>
            </w:tcBorders>
            <w:shd w:val="clear" w:color="auto" w:fill="auto"/>
            <w:noWrap/>
            <w:hideMark/>
          </w:tcPr>
          <w:p w14:paraId="19123235"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6</w:t>
            </w:r>
          </w:p>
        </w:tc>
        <w:tc>
          <w:tcPr>
            <w:tcW w:w="1417" w:type="dxa"/>
            <w:tcBorders>
              <w:top w:val="nil"/>
              <w:left w:val="nil"/>
              <w:bottom w:val="single" w:sz="4" w:space="0" w:color="auto"/>
              <w:right w:val="single" w:sz="8" w:space="0" w:color="auto"/>
            </w:tcBorders>
            <w:shd w:val="clear" w:color="auto" w:fill="DEEAF6" w:themeFill="accent1" w:themeFillTint="33"/>
          </w:tcPr>
          <w:p w14:paraId="6A1CEBF3" w14:textId="77777777" w:rsidR="005B0855" w:rsidRPr="00381DA2" w:rsidRDefault="005B0855" w:rsidP="003A66EF">
            <w:pPr>
              <w:spacing w:after="0" w:line="276" w:lineRule="auto"/>
              <w:jc w:val="right"/>
              <w:rPr>
                <w:rFonts w:asciiTheme="majorHAnsi" w:eastAsia="Times New Roman" w:hAnsiTheme="majorHAnsi" w:cstheme="minorHAnsi"/>
                <w:b/>
                <w:i/>
                <w:iCs/>
                <w:color w:val="000000"/>
                <w:sz w:val="20"/>
                <w:szCs w:val="16"/>
                <w:lang w:eastAsia="ru-RU"/>
              </w:rPr>
            </w:pPr>
            <w:r w:rsidRPr="00381DA2">
              <w:rPr>
                <w:rFonts w:asciiTheme="majorHAnsi" w:eastAsia="Times New Roman" w:hAnsiTheme="majorHAnsi" w:cstheme="minorHAnsi"/>
                <w:b/>
                <w:i/>
                <w:iCs/>
                <w:color w:val="000000"/>
                <w:sz w:val="20"/>
                <w:szCs w:val="16"/>
                <w:lang w:eastAsia="ru-RU"/>
              </w:rPr>
              <w:t>29</w:t>
            </w:r>
          </w:p>
        </w:tc>
      </w:tr>
      <w:tr w:rsidR="005B0855" w:rsidRPr="00381DA2" w14:paraId="6285E816" w14:textId="77777777" w:rsidTr="007F338E">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14:paraId="4EDD3E0E"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de la 75 la 89</w:t>
            </w:r>
          </w:p>
        </w:tc>
        <w:tc>
          <w:tcPr>
            <w:tcW w:w="1275" w:type="dxa"/>
            <w:tcBorders>
              <w:top w:val="nil"/>
              <w:left w:val="nil"/>
              <w:bottom w:val="single" w:sz="4" w:space="0" w:color="auto"/>
              <w:right w:val="single" w:sz="4" w:space="0" w:color="auto"/>
            </w:tcBorders>
            <w:shd w:val="clear" w:color="auto" w:fill="auto"/>
            <w:noWrap/>
            <w:hideMark/>
          </w:tcPr>
          <w:p w14:paraId="18A28C69"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62</w:t>
            </w:r>
          </w:p>
        </w:tc>
        <w:tc>
          <w:tcPr>
            <w:tcW w:w="1134" w:type="dxa"/>
            <w:tcBorders>
              <w:top w:val="nil"/>
              <w:left w:val="nil"/>
              <w:bottom w:val="single" w:sz="4" w:space="0" w:color="auto"/>
              <w:right w:val="single" w:sz="4" w:space="0" w:color="auto"/>
            </w:tcBorders>
            <w:shd w:val="clear" w:color="auto" w:fill="auto"/>
            <w:noWrap/>
            <w:hideMark/>
          </w:tcPr>
          <w:p w14:paraId="2EF14C25"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43</w:t>
            </w:r>
          </w:p>
        </w:tc>
        <w:tc>
          <w:tcPr>
            <w:tcW w:w="1276" w:type="dxa"/>
            <w:tcBorders>
              <w:top w:val="nil"/>
              <w:left w:val="nil"/>
              <w:bottom w:val="single" w:sz="4" w:space="0" w:color="auto"/>
              <w:right w:val="single" w:sz="4" w:space="0" w:color="auto"/>
            </w:tcBorders>
            <w:shd w:val="clear" w:color="auto" w:fill="auto"/>
            <w:noWrap/>
            <w:hideMark/>
          </w:tcPr>
          <w:p w14:paraId="7A030386"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11</w:t>
            </w:r>
          </w:p>
        </w:tc>
        <w:tc>
          <w:tcPr>
            <w:tcW w:w="1418" w:type="dxa"/>
            <w:tcBorders>
              <w:top w:val="nil"/>
              <w:left w:val="nil"/>
              <w:bottom w:val="single" w:sz="4" w:space="0" w:color="auto"/>
              <w:right w:val="single" w:sz="8" w:space="0" w:color="auto"/>
            </w:tcBorders>
            <w:shd w:val="clear" w:color="auto" w:fill="auto"/>
            <w:noWrap/>
            <w:hideMark/>
          </w:tcPr>
          <w:p w14:paraId="60AB34F2"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73</w:t>
            </w:r>
          </w:p>
        </w:tc>
        <w:tc>
          <w:tcPr>
            <w:tcW w:w="1417" w:type="dxa"/>
            <w:tcBorders>
              <w:top w:val="nil"/>
              <w:left w:val="nil"/>
              <w:bottom w:val="single" w:sz="4" w:space="0" w:color="auto"/>
              <w:right w:val="single" w:sz="8" w:space="0" w:color="auto"/>
            </w:tcBorders>
            <w:shd w:val="clear" w:color="auto" w:fill="DEEAF6" w:themeFill="accent1" w:themeFillTint="33"/>
          </w:tcPr>
          <w:p w14:paraId="231B1F21" w14:textId="77777777" w:rsidR="005B0855" w:rsidRPr="00381DA2" w:rsidRDefault="005B0855" w:rsidP="003A66EF">
            <w:pPr>
              <w:spacing w:after="0" w:line="276" w:lineRule="auto"/>
              <w:jc w:val="right"/>
              <w:rPr>
                <w:rFonts w:asciiTheme="majorHAnsi" w:eastAsia="Times New Roman" w:hAnsiTheme="majorHAnsi" w:cstheme="minorHAnsi"/>
                <w:b/>
                <w:i/>
                <w:iCs/>
                <w:color w:val="000000"/>
                <w:sz w:val="20"/>
                <w:szCs w:val="16"/>
                <w:lang w:eastAsia="ru-RU"/>
              </w:rPr>
            </w:pPr>
            <w:r w:rsidRPr="00381DA2">
              <w:rPr>
                <w:rFonts w:asciiTheme="majorHAnsi" w:eastAsia="Times New Roman" w:hAnsiTheme="majorHAnsi" w:cstheme="minorHAnsi"/>
                <w:b/>
                <w:i/>
                <w:iCs/>
                <w:color w:val="000000"/>
                <w:sz w:val="20"/>
                <w:szCs w:val="16"/>
                <w:lang w:eastAsia="ru-RU"/>
              </w:rPr>
              <w:t>189</w:t>
            </w:r>
          </w:p>
        </w:tc>
      </w:tr>
      <w:tr w:rsidR="005B0855" w:rsidRPr="00381DA2" w14:paraId="71676B55" w14:textId="77777777" w:rsidTr="007F338E">
        <w:trPr>
          <w:trHeight w:val="21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14:paraId="46258F8D"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de la 50 la 74</w:t>
            </w:r>
          </w:p>
        </w:tc>
        <w:tc>
          <w:tcPr>
            <w:tcW w:w="1275" w:type="dxa"/>
            <w:tcBorders>
              <w:top w:val="nil"/>
              <w:left w:val="nil"/>
              <w:bottom w:val="single" w:sz="4" w:space="0" w:color="auto"/>
              <w:right w:val="single" w:sz="4" w:space="0" w:color="auto"/>
            </w:tcBorders>
            <w:shd w:val="clear" w:color="auto" w:fill="auto"/>
            <w:noWrap/>
            <w:hideMark/>
          </w:tcPr>
          <w:p w14:paraId="2A00DBDB"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6</w:t>
            </w:r>
          </w:p>
        </w:tc>
        <w:tc>
          <w:tcPr>
            <w:tcW w:w="1134" w:type="dxa"/>
            <w:tcBorders>
              <w:top w:val="nil"/>
              <w:left w:val="nil"/>
              <w:bottom w:val="single" w:sz="4" w:space="0" w:color="auto"/>
              <w:right w:val="single" w:sz="4" w:space="0" w:color="auto"/>
            </w:tcBorders>
            <w:shd w:val="clear" w:color="auto" w:fill="auto"/>
            <w:noWrap/>
            <w:hideMark/>
          </w:tcPr>
          <w:p w14:paraId="7DFF2CE8"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86</w:t>
            </w:r>
          </w:p>
        </w:tc>
        <w:tc>
          <w:tcPr>
            <w:tcW w:w="1276" w:type="dxa"/>
            <w:tcBorders>
              <w:top w:val="nil"/>
              <w:left w:val="nil"/>
              <w:bottom w:val="single" w:sz="4" w:space="0" w:color="auto"/>
              <w:right w:val="single" w:sz="4" w:space="0" w:color="auto"/>
            </w:tcBorders>
            <w:shd w:val="clear" w:color="auto" w:fill="auto"/>
            <w:noWrap/>
            <w:hideMark/>
          </w:tcPr>
          <w:p w14:paraId="416AC401"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15</w:t>
            </w:r>
          </w:p>
        </w:tc>
        <w:tc>
          <w:tcPr>
            <w:tcW w:w="1418" w:type="dxa"/>
            <w:tcBorders>
              <w:top w:val="nil"/>
              <w:left w:val="nil"/>
              <w:bottom w:val="single" w:sz="4" w:space="0" w:color="auto"/>
              <w:right w:val="single" w:sz="8" w:space="0" w:color="auto"/>
            </w:tcBorders>
            <w:shd w:val="clear" w:color="auto" w:fill="auto"/>
            <w:noWrap/>
            <w:hideMark/>
          </w:tcPr>
          <w:p w14:paraId="37EE40CB"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16</w:t>
            </w:r>
          </w:p>
        </w:tc>
        <w:tc>
          <w:tcPr>
            <w:tcW w:w="1417" w:type="dxa"/>
            <w:tcBorders>
              <w:top w:val="nil"/>
              <w:left w:val="nil"/>
              <w:bottom w:val="single" w:sz="4" w:space="0" w:color="auto"/>
              <w:right w:val="single" w:sz="8" w:space="0" w:color="auto"/>
            </w:tcBorders>
            <w:shd w:val="clear" w:color="auto" w:fill="DEEAF6" w:themeFill="accent1" w:themeFillTint="33"/>
          </w:tcPr>
          <w:p w14:paraId="4A386AD6" w14:textId="77777777" w:rsidR="005B0855" w:rsidRPr="00381DA2" w:rsidRDefault="005B0855" w:rsidP="003A66EF">
            <w:pPr>
              <w:spacing w:after="0" w:line="276" w:lineRule="auto"/>
              <w:jc w:val="right"/>
              <w:rPr>
                <w:rFonts w:asciiTheme="majorHAnsi" w:eastAsia="Times New Roman" w:hAnsiTheme="majorHAnsi" w:cstheme="minorHAnsi"/>
                <w:b/>
                <w:i/>
                <w:color w:val="000000"/>
                <w:sz w:val="20"/>
                <w:szCs w:val="16"/>
                <w:lang w:eastAsia="ru-RU"/>
              </w:rPr>
            </w:pPr>
            <w:r w:rsidRPr="00381DA2">
              <w:rPr>
                <w:rFonts w:asciiTheme="majorHAnsi" w:eastAsia="Times New Roman" w:hAnsiTheme="majorHAnsi" w:cstheme="minorHAnsi"/>
                <w:b/>
                <w:i/>
                <w:color w:val="000000"/>
                <w:sz w:val="20"/>
                <w:szCs w:val="16"/>
                <w:lang w:eastAsia="ru-RU"/>
              </w:rPr>
              <w:t>123</w:t>
            </w:r>
          </w:p>
        </w:tc>
      </w:tr>
      <w:tr w:rsidR="005B0855" w:rsidRPr="00381DA2" w14:paraId="747F8DD7" w14:textId="77777777" w:rsidTr="007F338E">
        <w:trPr>
          <w:trHeight w:val="220"/>
        </w:trPr>
        <w:tc>
          <w:tcPr>
            <w:tcW w:w="2694" w:type="dxa"/>
            <w:tcBorders>
              <w:top w:val="nil"/>
              <w:left w:val="single" w:sz="8" w:space="0" w:color="auto"/>
              <w:bottom w:val="single" w:sz="8" w:space="0" w:color="auto"/>
              <w:right w:val="single" w:sz="4" w:space="0" w:color="auto"/>
            </w:tcBorders>
            <w:shd w:val="clear" w:color="auto" w:fill="auto"/>
            <w:noWrap/>
            <w:vAlign w:val="bottom"/>
            <w:hideMark/>
          </w:tcPr>
          <w:p w14:paraId="278D82AF" w14:textId="77777777" w:rsidR="005B0855" w:rsidRPr="00381DA2" w:rsidRDefault="005B0855" w:rsidP="003A66EF">
            <w:pPr>
              <w:spacing w:after="0" w:line="276" w:lineRule="auto"/>
              <w:jc w:val="right"/>
              <w:rPr>
                <w:rFonts w:asciiTheme="majorHAnsi" w:eastAsia="Times New Roman" w:hAnsiTheme="majorHAnsi" w:cstheme="minorHAnsi"/>
                <w:color w:val="000000"/>
                <w:sz w:val="20"/>
                <w:szCs w:val="16"/>
                <w:lang w:eastAsia="ru-RU"/>
              </w:rPr>
            </w:pPr>
            <w:r w:rsidRPr="00381DA2">
              <w:rPr>
                <w:rFonts w:asciiTheme="majorHAnsi" w:eastAsia="Times New Roman" w:hAnsiTheme="majorHAnsi" w:cstheme="minorHAnsi"/>
                <w:color w:val="000000"/>
                <w:sz w:val="20"/>
                <w:szCs w:val="16"/>
                <w:lang w:eastAsia="ru-RU"/>
              </w:rPr>
              <w:t>de la 0 la 49</w:t>
            </w:r>
          </w:p>
        </w:tc>
        <w:tc>
          <w:tcPr>
            <w:tcW w:w="1275" w:type="dxa"/>
            <w:tcBorders>
              <w:top w:val="nil"/>
              <w:left w:val="nil"/>
              <w:bottom w:val="single" w:sz="8" w:space="0" w:color="auto"/>
              <w:right w:val="single" w:sz="4" w:space="0" w:color="auto"/>
            </w:tcBorders>
            <w:shd w:val="clear" w:color="auto" w:fill="auto"/>
            <w:noWrap/>
            <w:hideMark/>
          </w:tcPr>
          <w:p w14:paraId="7ADB2F24" w14:textId="77777777" w:rsidR="005B0855" w:rsidRPr="00381DA2" w:rsidRDefault="005B0855" w:rsidP="003A66EF">
            <w:pPr>
              <w:spacing w:after="0" w:line="276" w:lineRule="auto"/>
              <w:jc w:val="right"/>
              <w:rPr>
                <w:rFonts w:asciiTheme="majorHAnsi" w:eastAsia="Times New Roman" w:hAnsiTheme="majorHAnsi" w:cs="Calibri"/>
                <w:iCs/>
                <w:color w:val="000000"/>
                <w:sz w:val="16"/>
                <w:szCs w:val="16"/>
                <w:lang w:val="ru-RU" w:eastAsia="ru-RU"/>
              </w:rPr>
            </w:pPr>
            <w:r w:rsidRPr="00381DA2">
              <w:rPr>
                <w:rFonts w:asciiTheme="majorHAnsi" w:eastAsia="Times New Roman" w:hAnsiTheme="majorHAnsi" w:cs="Calibri"/>
                <w:iCs/>
                <w:color w:val="000000"/>
                <w:sz w:val="16"/>
                <w:szCs w:val="16"/>
                <w:lang w:val="ru-RU" w:eastAsia="ru-RU"/>
              </w:rPr>
              <w:t>1</w:t>
            </w:r>
          </w:p>
        </w:tc>
        <w:tc>
          <w:tcPr>
            <w:tcW w:w="1134" w:type="dxa"/>
            <w:tcBorders>
              <w:top w:val="nil"/>
              <w:left w:val="nil"/>
              <w:bottom w:val="single" w:sz="8" w:space="0" w:color="auto"/>
              <w:right w:val="single" w:sz="4" w:space="0" w:color="auto"/>
            </w:tcBorders>
            <w:shd w:val="clear" w:color="auto" w:fill="auto"/>
            <w:noWrap/>
            <w:hideMark/>
          </w:tcPr>
          <w:p w14:paraId="45AC616D"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0</w:t>
            </w:r>
          </w:p>
        </w:tc>
        <w:tc>
          <w:tcPr>
            <w:tcW w:w="1276" w:type="dxa"/>
            <w:tcBorders>
              <w:top w:val="nil"/>
              <w:left w:val="nil"/>
              <w:bottom w:val="single" w:sz="8" w:space="0" w:color="auto"/>
              <w:right w:val="single" w:sz="4" w:space="0" w:color="auto"/>
            </w:tcBorders>
            <w:shd w:val="clear" w:color="auto" w:fill="auto"/>
            <w:noWrap/>
            <w:hideMark/>
          </w:tcPr>
          <w:p w14:paraId="01227B6D"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0</w:t>
            </w:r>
          </w:p>
        </w:tc>
        <w:tc>
          <w:tcPr>
            <w:tcW w:w="1418" w:type="dxa"/>
            <w:tcBorders>
              <w:top w:val="nil"/>
              <w:left w:val="nil"/>
              <w:bottom w:val="single" w:sz="8" w:space="0" w:color="auto"/>
              <w:right w:val="single" w:sz="8" w:space="0" w:color="auto"/>
            </w:tcBorders>
            <w:shd w:val="clear" w:color="auto" w:fill="auto"/>
            <w:noWrap/>
            <w:hideMark/>
          </w:tcPr>
          <w:p w14:paraId="22E5BC7F" w14:textId="77777777" w:rsidR="005B0855" w:rsidRPr="00381DA2" w:rsidRDefault="005B0855" w:rsidP="003A66EF">
            <w:pPr>
              <w:spacing w:after="0" w:line="276" w:lineRule="auto"/>
              <w:jc w:val="right"/>
              <w:rPr>
                <w:rFonts w:asciiTheme="majorHAnsi" w:eastAsia="Times New Roman" w:hAnsiTheme="majorHAnsi" w:cs="Calibri"/>
                <w:color w:val="000000"/>
                <w:sz w:val="16"/>
                <w:szCs w:val="16"/>
                <w:lang w:val="ru-RU" w:eastAsia="ru-RU"/>
              </w:rPr>
            </w:pPr>
            <w:r w:rsidRPr="00381DA2">
              <w:rPr>
                <w:rFonts w:asciiTheme="majorHAnsi" w:eastAsia="Times New Roman" w:hAnsiTheme="majorHAnsi" w:cs="Calibri"/>
                <w:color w:val="000000"/>
                <w:sz w:val="16"/>
                <w:szCs w:val="16"/>
                <w:lang w:val="ru-RU" w:eastAsia="ru-RU"/>
              </w:rPr>
              <w:t>0</w:t>
            </w:r>
          </w:p>
        </w:tc>
        <w:tc>
          <w:tcPr>
            <w:tcW w:w="1417" w:type="dxa"/>
            <w:tcBorders>
              <w:top w:val="nil"/>
              <w:left w:val="nil"/>
              <w:bottom w:val="single" w:sz="8" w:space="0" w:color="auto"/>
              <w:right w:val="single" w:sz="8" w:space="0" w:color="auto"/>
            </w:tcBorders>
            <w:shd w:val="clear" w:color="auto" w:fill="DEEAF6" w:themeFill="accent1" w:themeFillTint="33"/>
          </w:tcPr>
          <w:p w14:paraId="627D1AF1" w14:textId="77777777" w:rsidR="005B0855" w:rsidRPr="00381DA2" w:rsidRDefault="005B0855" w:rsidP="003A66EF">
            <w:pPr>
              <w:spacing w:after="0" w:line="276" w:lineRule="auto"/>
              <w:jc w:val="right"/>
              <w:rPr>
                <w:rFonts w:asciiTheme="majorHAnsi" w:eastAsia="Times New Roman" w:hAnsiTheme="majorHAnsi" w:cstheme="minorHAnsi"/>
                <w:b/>
                <w:i/>
                <w:color w:val="000000"/>
                <w:sz w:val="20"/>
                <w:szCs w:val="16"/>
                <w:lang w:eastAsia="ru-RU"/>
              </w:rPr>
            </w:pPr>
            <w:r w:rsidRPr="00381DA2">
              <w:rPr>
                <w:rFonts w:asciiTheme="majorHAnsi" w:eastAsia="Times New Roman" w:hAnsiTheme="majorHAnsi" w:cstheme="minorHAnsi"/>
                <w:b/>
                <w:i/>
                <w:color w:val="000000"/>
                <w:sz w:val="20"/>
                <w:szCs w:val="16"/>
                <w:lang w:eastAsia="ru-RU"/>
              </w:rPr>
              <w:t>1</w:t>
            </w:r>
          </w:p>
        </w:tc>
      </w:tr>
    </w:tbl>
    <w:p w14:paraId="5C71640B" w14:textId="77777777" w:rsidR="00FE4551" w:rsidRPr="00381DA2" w:rsidRDefault="00FE4551" w:rsidP="003A66EF">
      <w:pPr>
        <w:spacing w:line="276" w:lineRule="auto"/>
        <w:rPr>
          <w:rFonts w:asciiTheme="majorHAnsi" w:hAnsiTheme="majorHAnsi"/>
          <w:b/>
          <w:i/>
          <w:sz w:val="20"/>
          <w:szCs w:val="20"/>
        </w:rPr>
      </w:pPr>
      <w:r w:rsidRPr="00381DA2">
        <w:rPr>
          <w:rFonts w:asciiTheme="majorHAnsi" w:hAnsiTheme="majorHAnsi"/>
          <w:b/>
          <w:i/>
          <w:sz w:val="20"/>
          <w:szCs w:val="20"/>
        </w:rPr>
        <w:t xml:space="preserve">Sursa: </w:t>
      </w:r>
      <w:r w:rsidRPr="00381DA2">
        <w:rPr>
          <w:rFonts w:asciiTheme="majorHAnsi" w:hAnsiTheme="majorHAnsi"/>
          <w:i/>
          <w:sz w:val="20"/>
          <w:szCs w:val="20"/>
        </w:rPr>
        <w:t>Informațiile prezentate de OT ale CNAJGS</w:t>
      </w:r>
    </w:p>
    <w:p w14:paraId="0517EC6A" w14:textId="77777777" w:rsidR="00D07357" w:rsidRPr="00381DA2" w:rsidRDefault="00D07357" w:rsidP="003A66EF">
      <w:pPr>
        <w:spacing w:line="276" w:lineRule="auto"/>
        <w:rPr>
          <w:rFonts w:asciiTheme="majorHAnsi" w:hAnsiTheme="majorHAnsi"/>
          <w:color w:val="0070C0"/>
        </w:rPr>
      </w:pPr>
    </w:p>
    <w:p w14:paraId="01D56000" w14:textId="77777777" w:rsidR="00940844" w:rsidRPr="00597E4C" w:rsidRDefault="00856765" w:rsidP="003A66EF">
      <w:pPr>
        <w:spacing w:line="276" w:lineRule="auto"/>
        <w:rPr>
          <w:rFonts w:asciiTheme="majorHAnsi" w:hAnsiTheme="majorHAnsi"/>
          <w:b/>
          <w:noProof/>
          <w:sz w:val="24"/>
          <w:szCs w:val="24"/>
          <w:lang w:val="en-US"/>
        </w:rPr>
      </w:pPr>
      <w:r w:rsidRPr="00597E4C">
        <w:rPr>
          <w:rFonts w:asciiTheme="majorHAnsi" w:hAnsiTheme="majorHAnsi"/>
          <w:b/>
          <w:color w:val="0070C0"/>
          <w:sz w:val="24"/>
          <w:szCs w:val="24"/>
        </w:rPr>
        <w:t>Anexa nr.6</w:t>
      </w:r>
      <w:r w:rsidR="00940844" w:rsidRPr="00597E4C">
        <w:rPr>
          <w:rFonts w:asciiTheme="majorHAnsi" w:hAnsiTheme="majorHAnsi"/>
          <w:b/>
          <w:color w:val="0070C0"/>
          <w:sz w:val="24"/>
          <w:szCs w:val="24"/>
        </w:rPr>
        <w:t>. Descifrarea sumelor privind recuperarea cheltuielilor pentru acordarea asistenței juridice garantate de stat per-</w:t>
      </w:r>
      <w:r w:rsidR="005C752B" w:rsidRPr="00597E4C">
        <w:rPr>
          <w:rFonts w:asciiTheme="majorHAnsi" w:hAnsiTheme="majorHAnsi"/>
          <w:b/>
          <w:color w:val="0070C0"/>
          <w:sz w:val="24"/>
          <w:szCs w:val="24"/>
        </w:rPr>
        <w:t>OT  total în anii 2020-2022</w:t>
      </w:r>
    </w:p>
    <w:p w14:paraId="71D08A08" w14:textId="77777777" w:rsidR="005C752B" w:rsidRPr="00381DA2" w:rsidRDefault="00FD546B" w:rsidP="003A66EF">
      <w:pPr>
        <w:spacing w:after="0" w:line="276" w:lineRule="auto"/>
        <w:rPr>
          <w:rFonts w:asciiTheme="majorHAnsi" w:hAnsiTheme="majorHAnsi"/>
        </w:rPr>
      </w:pPr>
      <w:r w:rsidRPr="00381DA2">
        <w:rPr>
          <w:rFonts w:asciiTheme="majorHAnsi" w:hAnsiTheme="majorHAnsi"/>
          <w:noProof/>
          <w:lang w:val="en-US"/>
        </w:rPr>
        <w:drawing>
          <wp:inline distT="0" distB="0" distL="0" distR="0" wp14:anchorId="747CAA45" wp14:editId="6D9CFF1E">
            <wp:extent cx="6240780" cy="1501597"/>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1506" cy="1504178"/>
                    </a:xfrm>
                    <a:prstGeom prst="rect">
                      <a:avLst/>
                    </a:prstGeom>
                    <a:noFill/>
                    <a:ln>
                      <a:noFill/>
                    </a:ln>
                  </pic:spPr>
                </pic:pic>
              </a:graphicData>
            </a:graphic>
          </wp:inline>
        </w:drawing>
      </w:r>
    </w:p>
    <w:p w14:paraId="684C514A" w14:textId="77777777" w:rsidR="00940844" w:rsidRPr="00381DA2" w:rsidRDefault="00940844" w:rsidP="003A66EF">
      <w:pPr>
        <w:spacing w:line="276" w:lineRule="auto"/>
        <w:rPr>
          <w:rFonts w:asciiTheme="majorHAnsi" w:eastAsia="Times New Roman" w:hAnsiTheme="majorHAnsi" w:cstheme="majorHAnsi"/>
          <w:b/>
          <w:i/>
          <w:sz w:val="20"/>
          <w:szCs w:val="20"/>
          <w:lang w:eastAsia="ro-MD"/>
        </w:rPr>
      </w:pPr>
      <w:r w:rsidRPr="00381DA2">
        <w:rPr>
          <w:rFonts w:asciiTheme="majorHAnsi" w:eastAsia="Times New Roman" w:hAnsiTheme="majorHAnsi" w:cstheme="majorHAnsi"/>
          <w:b/>
          <w:i/>
          <w:sz w:val="20"/>
          <w:szCs w:val="20"/>
          <w:lang w:eastAsia="ro-MD"/>
        </w:rPr>
        <w:t xml:space="preserve">Sursa: </w:t>
      </w:r>
      <w:r w:rsidRPr="00381DA2">
        <w:rPr>
          <w:rFonts w:asciiTheme="majorHAnsi" w:eastAsia="Times New Roman" w:hAnsiTheme="majorHAnsi" w:cstheme="majorHAnsi"/>
          <w:i/>
          <w:sz w:val="20"/>
          <w:szCs w:val="20"/>
          <w:lang w:eastAsia="ro-MD"/>
        </w:rPr>
        <w:t>Informațiile prezentate de OT ale CNAJGS</w:t>
      </w:r>
    </w:p>
    <w:sectPr w:rsidR="00940844" w:rsidRPr="00381DA2" w:rsidSect="007455BC">
      <w:footerReference w:type="first" r:id="rId24"/>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4EE1" w14:textId="77777777" w:rsidR="002D6EAA" w:rsidRDefault="002D6EAA" w:rsidP="000823BD">
      <w:pPr>
        <w:spacing w:after="0" w:line="240" w:lineRule="auto"/>
      </w:pPr>
      <w:r>
        <w:separator/>
      </w:r>
    </w:p>
  </w:endnote>
  <w:endnote w:type="continuationSeparator" w:id="0">
    <w:p w14:paraId="03F4C813" w14:textId="77777777" w:rsidR="002D6EAA" w:rsidRDefault="002D6EAA" w:rsidP="0008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8053"/>
      <w:docPartObj>
        <w:docPartGallery w:val="Page Numbers (Bottom of Page)"/>
        <w:docPartUnique/>
      </w:docPartObj>
    </w:sdtPr>
    <w:sdtEndPr>
      <w:rPr>
        <w:noProof/>
      </w:rPr>
    </w:sdtEndPr>
    <w:sdtContent>
      <w:p w14:paraId="5D426DF4" w14:textId="4335CCEB" w:rsidR="003A2B47" w:rsidRDefault="003A2B47">
        <w:pPr>
          <w:pStyle w:val="Footer"/>
          <w:jc w:val="right"/>
        </w:pPr>
        <w:r>
          <w:fldChar w:fldCharType="begin"/>
        </w:r>
        <w:r>
          <w:instrText xml:space="preserve"> PAGE   \* MERGEFORMAT </w:instrText>
        </w:r>
        <w:r>
          <w:fldChar w:fldCharType="separate"/>
        </w:r>
        <w:r w:rsidR="00197432">
          <w:rPr>
            <w:noProof/>
          </w:rPr>
          <w:t>48</w:t>
        </w:r>
        <w:r>
          <w:rPr>
            <w:noProof/>
          </w:rPr>
          <w:fldChar w:fldCharType="end"/>
        </w:r>
      </w:p>
    </w:sdtContent>
  </w:sdt>
  <w:p w14:paraId="58812040" w14:textId="77777777" w:rsidR="003A2B47" w:rsidRDefault="003A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ED76" w14:textId="77777777" w:rsidR="003A2B47" w:rsidRDefault="003A2B47">
    <w:pPr>
      <w:pStyle w:val="Footer"/>
      <w:jc w:val="right"/>
    </w:pPr>
  </w:p>
  <w:p w14:paraId="7043B2F0" w14:textId="77777777" w:rsidR="003A2B47" w:rsidRDefault="003A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6199"/>
      <w:docPartObj>
        <w:docPartGallery w:val="Page Numbers (Bottom of Page)"/>
        <w:docPartUnique/>
      </w:docPartObj>
    </w:sdtPr>
    <w:sdtEndPr>
      <w:rPr>
        <w:noProof/>
      </w:rPr>
    </w:sdtEndPr>
    <w:sdtContent>
      <w:p w14:paraId="2BA227C9" w14:textId="77777777" w:rsidR="003A2B47" w:rsidRDefault="003A2B4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6DD249D" w14:textId="77777777" w:rsidR="003A2B47" w:rsidRDefault="003A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7A97" w14:textId="77777777" w:rsidR="002D6EAA" w:rsidRDefault="002D6EAA" w:rsidP="000823BD">
      <w:pPr>
        <w:spacing w:after="0" w:line="240" w:lineRule="auto"/>
      </w:pPr>
      <w:r>
        <w:separator/>
      </w:r>
    </w:p>
  </w:footnote>
  <w:footnote w:type="continuationSeparator" w:id="0">
    <w:p w14:paraId="261417C0" w14:textId="77777777" w:rsidR="002D6EAA" w:rsidRDefault="002D6EAA" w:rsidP="000823BD">
      <w:pPr>
        <w:spacing w:after="0" w:line="240" w:lineRule="auto"/>
      </w:pPr>
      <w:r>
        <w:continuationSeparator/>
      </w:r>
    </w:p>
  </w:footnote>
  <w:footnote w:id="1">
    <w:p w14:paraId="3BD1F100" w14:textId="77777777" w:rsidR="003A2B47" w:rsidRPr="0092783A" w:rsidRDefault="003A2B47" w:rsidP="00C5031A">
      <w:pPr>
        <w:pStyle w:val="FootnoteText"/>
        <w:ind w:left="90" w:hanging="90"/>
        <w:jc w:val="both"/>
        <w:rPr>
          <w:rFonts w:asciiTheme="majorHAnsi" w:hAnsiTheme="majorHAnsi" w:cstheme="majorHAnsi"/>
          <w:sz w:val="16"/>
          <w:szCs w:val="16"/>
        </w:rPr>
      </w:pPr>
      <w:r w:rsidRPr="0092783A">
        <w:rPr>
          <w:rStyle w:val="FootnoteReference"/>
          <w:rFonts w:asciiTheme="majorHAnsi" w:hAnsiTheme="majorHAnsi" w:cstheme="majorHAnsi"/>
          <w:sz w:val="16"/>
          <w:szCs w:val="16"/>
        </w:rPr>
        <w:footnoteRef/>
      </w:r>
      <w:r w:rsidRPr="0092783A">
        <w:rPr>
          <w:rFonts w:asciiTheme="majorHAnsi" w:hAnsiTheme="majorHAnsi" w:cstheme="majorHAnsi"/>
          <w:sz w:val="16"/>
          <w:szCs w:val="16"/>
        </w:rPr>
        <w:t xml:space="preserve"> Programul activității de audit al Curții de Conturi pe anul 2022, aprobat prin Hotărârea Curții de Conturi nr.75 din 28.12.2021, cu modificările ulterioare.</w:t>
      </w:r>
    </w:p>
  </w:footnote>
  <w:footnote w:id="2">
    <w:p w14:paraId="001762DF" w14:textId="77777777" w:rsidR="003A2B47" w:rsidRPr="0092783A" w:rsidRDefault="003A2B47" w:rsidP="00C5031A">
      <w:pPr>
        <w:pStyle w:val="FootnoteText"/>
        <w:jc w:val="both"/>
        <w:rPr>
          <w:rFonts w:asciiTheme="majorHAnsi" w:hAnsiTheme="majorHAnsi" w:cstheme="majorHAnsi"/>
        </w:rPr>
      </w:pPr>
      <w:r w:rsidRPr="0092783A">
        <w:rPr>
          <w:rStyle w:val="FootnoteReference"/>
          <w:rFonts w:asciiTheme="majorHAnsi" w:hAnsiTheme="majorHAnsi" w:cstheme="majorHAnsi"/>
          <w:sz w:val="16"/>
          <w:szCs w:val="16"/>
        </w:rPr>
        <w:footnoteRef/>
      </w:r>
      <w:r w:rsidRPr="0092783A">
        <w:rPr>
          <w:rFonts w:asciiTheme="majorHAnsi" w:hAnsiTheme="majorHAnsi" w:cstheme="majorHAnsi"/>
          <w:sz w:val="16"/>
          <w:szCs w:val="16"/>
        </w:rPr>
        <w:t xml:space="preserve"> </w:t>
      </w:r>
      <w:r w:rsidRPr="0092783A">
        <w:rPr>
          <w:rFonts w:asciiTheme="majorHAnsi" w:hAnsiTheme="majorHAnsi" w:cstheme="majorHAnsi"/>
          <w:sz w:val="16"/>
          <w:szCs w:val="16"/>
        </w:rPr>
        <w:t>Programul activității de audit al Curții de Conturi pe anul 2023, aprobat prin Hotărârea Curții de Conturi nr.65 din 22.12.2022.</w:t>
      </w:r>
    </w:p>
  </w:footnote>
  <w:footnote w:id="3">
    <w:p w14:paraId="1C38BEA2" w14:textId="77777777" w:rsidR="003A2B47" w:rsidRPr="0092783A" w:rsidRDefault="003A2B47" w:rsidP="004E6EE3">
      <w:pPr>
        <w:pStyle w:val="FootnoteText"/>
        <w:rPr>
          <w:rFonts w:asciiTheme="majorHAnsi" w:hAnsiTheme="majorHAnsi" w:cstheme="majorHAnsi"/>
          <w:sz w:val="16"/>
          <w:szCs w:val="16"/>
        </w:rPr>
      </w:pPr>
      <w:r w:rsidRPr="0092783A">
        <w:rPr>
          <w:rStyle w:val="FootnoteReference"/>
          <w:rFonts w:asciiTheme="majorHAnsi" w:hAnsiTheme="majorHAnsi" w:cstheme="majorHAnsi"/>
          <w:sz w:val="16"/>
          <w:szCs w:val="16"/>
        </w:rPr>
        <w:footnoteRef/>
      </w:r>
      <w:r w:rsidRPr="0092783A">
        <w:rPr>
          <w:rFonts w:asciiTheme="majorHAnsi" w:hAnsiTheme="majorHAnsi" w:cstheme="majorHAnsi"/>
          <w:sz w:val="16"/>
          <w:szCs w:val="16"/>
        </w:rPr>
        <w:t xml:space="preserve"> </w:t>
      </w:r>
      <w:r w:rsidRPr="0092783A">
        <w:rPr>
          <w:rFonts w:asciiTheme="majorHAnsi" w:hAnsiTheme="majorHAnsi" w:cstheme="majorHAnsi"/>
          <w:sz w:val="16"/>
          <w:szCs w:val="16"/>
        </w:rPr>
        <w:t>Cauzele non-penale, în contextul menționat, reprezintă cauzele civile, contravenționale și de contencios administrativ.</w:t>
      </w:r>
    </w:p>
  </w:footnote>
  <w:footnote w:id="4">
    <w:p w14:paraId="47F61A7A" w14:textId="77777777" w:rsidR="003A2B47" w:rsidRPr="0092783A" w:rsidRDefault="003A2B47" w:rsidP="004E6EE3">
      <w:pPr>
        <w:pStyle w:val="FootnoteText"/>
        <w:jc w:val="both"/>
        <w:rPr>
          <w:rFonts w:asciiTheme="majorHAnsi" w:hAnsiTheme="majorHAnsi" w:cstheme="majorHAnsi"/>
          <w:sz w:val="16"/>
          <w:szCs w:val="16"/>
        </w:rPr>
      </w:pPr>
      <w:r w:rsidRPr="0092783A">
        <w:rPr>
          <w:rStyle w:val="FootnoteReference"/>
          <w:rFonts w:asciiTheme="majorHAnsi" w:hAnsiTheme="majorHAnsi" w:cstheme="majorHAnsi"/>
          <w:sz w:val="16"/>
          <w:szCs w:val="16"/>
        </w:rPr>
        <w:footnoteRef/>
      </w:r>
      <w:r w:rsidRPr="0092783A">
        <w:rPr>
          <w:rFonts w:asciiTheme="majorHAnsi" w:hAnsiTheme="majorHAnsi" w:cstheme="majorHAnsi"/>
          <w:sz w:val="16"/>
          <w:szCs w:val="16"/>
        </w:rPr>
        <w:t xml:space="preserve"> </w:t>
      </w:r>
      <w:r w:rsidRPr="0092783A">
        <w:rPr>
          <w:rFonts w:asciiTheme="majorHAnsi" w:hAnsiTheme="majorHAnsi" w:cstheme="majorHAnsi"/>
          <w:sz w:val="16"/>
          <w:szCs w:val="16"/>
        </w:rPr>
        <w:t xml:space="preserve">CNAJGS este un organ colegial cu statut de persoană juridică de drept public, format din 7 membri, inclusiv: 2 membri desemnați de Ministerul Justiției, 2 membri desemnați de Uniunea Avocaților din Republica Moldova și Barourile, un membru desemnat de Ministerul Finanțelor, un membru desemnat de Consiliul Superior al Magistraturii </w:t>
      </w:r>
      <w:proofErr w:type="spellStart"/>
      <w:r w:rsidRPr="0092783A">
        <w:rPr>
          <w:rFonts w:asciiTheme="majorHAnsi" w:hAnsiTheme="majorHAnsi" w:cstheme="majorHAnsi"/>
          <w:sz w:val="16"/>
          <w:szCs w:val="16"/>
        </w:rPr>
        <w:t>şi</w:t>
      </w:r>
      <w:proofErr w:type="spellEnd"/>
      <w:r w:rsidRPr="0092783A">
        <w:rPr>
          <w:rFonts w:asciiTheme="majorHAnsi" w:hAnsiTheme="majorHAnsi" w:cstheme="majorHAnsi"/>
          <w:sz w:val="16"/>
          <w:szCs w:val="16"/>
        </w:rPr>
        <w:t xml:space="preserve"> un membru din partea asociațiilor obștești sau a mediului academic.</w:t>
      </w:r>
    </w:p>
  </w:footnote>
  <w:footnote w:id="5">
    <w:p w14:paraId="4762A8B1" w14:textId="77777777" w:rsidR="003A2B47" w:rsidRPr="0092783A" w:rsidRDefault="003A2B47" w:rsidP="003C54DC">
      <w:pPr>
        <w:pStyle w:val="FootnoteText"/>
        <w:jc w:val="both"/>
        <w:rPr>
          <w:rFonts w:asciiTheme="majorHAnsi" w:hAnsiTheme="majorHAnsi" w:cstheme="majorHAnsi"/>
          <w:sz w:val="16"/>
          <w:szCs w:val="16"/>
        </w:rPr>
      </w:pPr>
      <w:r w:rsidRPr="0092783A">
        <w:rPr>
          <w:rStyle w:val="FootnoteReference"/>
          <w:rFonts w:asciiTheme="majorHAnsi" w:hAnsiTheme="majorHAnsi" w:cstheme="majorHAnsi"/>
          <w:sz w:val="16"/>
          <w:szCs w:val="16"/>
        </w:rPr>
        <w:footnoteRef/>
      </w:r>
      <w:r w:rsidRPr="0092783A">
        <w:rPr>
          <w:rFonts w:asciiTheme="majorHAnsi" w:hAnsiTheme="majorHAnsi" w:cstheme="majorHAnsi"/>
          <w:sz w:val="16"/>
          <w:szCs w:val="16"/>
        </w:rPr>
        <w:t xml:space="preserve"> </w:t>
      </w:r>
      <w:r w:rsidRPr="0092783A">
        <w:rPr>
          <w:rFonts w:asciiTheme="majorHAnsi" w:hAnsiTheme="majorHAnsi" w:cstheme="majorHAnsi"/>
          <w:sz w:val="16"/>
          <w:szCs w:val="16"/>
        </w:rPr>
        <w:t>Hotărârea Curții de Conturi nr.2 din 24.01.2020 „Cu privire la Cadrul Declarațiilor Profesionale ale INTOSAI”.</w:t>
      </w:r>
    </w:p>
  </w:footnote>
  <w:footnote w:id="6">
    <w:p w14:paraId="2EEE5722" w14:textId="77777777" w:rsidR="003A2B47" w:rsidRPr="00731A58" w:rsidRDefault="003A2B47" w:rsidP="0082226F">
      <w:pPr>
        <w:pStyle w:val="FootnoteText"/>
        <w:jc w:val="both"/>
        <w:rPr>
          <w:rFonts w:asciiTheme="majorHAnsi" w:hAnsiTheme="majorHAnsi" w:cstheme="majorHAnsi"/>
          <w:sz w:val="18"/>
          <w:szCs w:val="18"/>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eastAsia="Times New Roman" w:hAnsiTheme="majorHAnsi" w:cstheme="majorHAnsi"/>
          <w:sz w:val="16"/>
          <w:szCs w:val="16"/>
        </w:rPr>
        <w:t>Hotărârea Curții de Conturi nr.19 din 05.04.2019 „Cu privire la aprobarea Codului etic al Curții de Conturi”.</w:t>
      </w:r>
      <w:r w:rsidRPr="003F7196">
        <w:rPr>
          <w:rFonts w:asciiTheme="majorHAnsi" w:eastAsia="Times New Roman" w:hAnsiTheme="majorHAnsi" w:cstheme="majorHAnsi"/>
          <w:sz w:val="18"/>
          <w:szCs w:val="18"/>
        </w:rPr>
        <w:t xml:space="preserve"> </w:t>
      </w:r>
    </w:p>
  </w:footnote>
  <w:footnote w:id="7">
    <w:p w14:paraId="08917C1C" w14:textId="15D993FF"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 xml:space="preserve">Prin </w:t>
      </w:r>
      <w:r w:rsidRPr="003F7196">
        <w:rPr>
          <w:rFonts w:asciiTheme="majorHAnsi" w:hAnsiTheme="majorHAnsi" w:cstheme="majorHAnsi"/>
          <w:sz w:val="16"/>
          <w:szCs w:val="16"/>
        </w:rPr>
        <w:t xml:space="preserve">Hotărârea CNAJGS nr.23 din 27.12.2018 s-a dispus majorarea unității convenționale de la 20 la 30 lei; </w:t>
      </w:r>
      <w:r>
        <w:rPr>
          <w:rFonts w:asciiTheme="majorHAnsi" w:hAnsiTheme="majorHAnsi" w:cstheme="majorHAnsi"/>
          <w:sz w:val="16"/>
          <w:szCs w:val="16"/>
        </w:rPr>
        <w:t xml:space="preserve">prin </w:t>
      </w:r>
      <w:r w:rsidRPr="003F7196">
        <w:rPr>
          <w:rFonts w:asciiTheme="majorHAnsi" w:hAnsiTheme="majorHAnsi" w:cstheme="majorHAnsi"/>
          <w:sz w:val="16"/>
          <w:szCs w:val="16"/>
        </w:rPr>
        <w:t>Hotărârea CNAJGS nr.7 din 17.01.2020 – s-a majorat de la 30 la 40 lei</w:t>
      </w:r>
      <w:r>
        <w:rPr>
          <w:rFonts w:asciiTheme="majorHAnsi" w:hAnsiTheme="majorHAnsi" w:cstheme="majorHAnsi"/>
          <w:sz w:val="16"/>
          <w:szCs w:val="16"/>
        </w:rPr>
        <w:t>,</w:t>
      </w:r>
      <w:r w:rsidRPr="003F7196">
        <w:rPr>
          <w:rFonts w:asciiTheme="majorHAnsi" w:hAnsiTheme="majorHAnsi" w:cstheme="majorHAnsi"/>
          <w:sz w:val="16"/>
          <w:szCs w:val="16"/>
        </w:rPr>
        <w:t xml:space="preserve"> și </w:t>
      </w:r>
      <w:r>
        <w:rPr>
          <w:rFonts w:asciiTheme="majorHAnsi" w:hAnsiTheme="majorHAnsi" w:cstheme="majorHAnsi"/>
          <w:sz w:val="16"/>
          <w:szCs w:val="16"/>
        </w:rPr>
        <w:t xml:space="preserve">prin </w:t>
      </w:r>
      <w:r w:rsidRPr="003F7196">
        <w:rPr>
          <w:rFonts w:asciiTheme="majorHAnsi" w:hAnsiTheme="majorHAnsi" w:cstheme="majorHAnsi"/>
          <w:sz w:val="16"/>
          <w:szCs w:val="16"/>
        </w:rPr>
        <w:t>Hotărârea CNAJGS nr.3 din 18.02.2021</w:t>
      </w:r>
      <w:r>
        <w:rPr>
          <w:rFonts w:asciiTheme="majorHAnsi" w:hAnsiTheme="majorHAnsi" w:cstheme="majorHAnsi"/>
          <w:sz w:val="16"/>
          <w:szCs w:val="16"/>
        </w:rPr>
        <w:t>,</w:t>
      </w:r>
      <w:r w:rsidRPr="003F7196">
        <w:rPr>
          <w:rFonts w:asciiTheme="majorHAnsi" w:hAnsiTheme="majorHAnsi" w:cstheme="majorHAnsi"/>
          <w:sz w:val="16"/>
          <w:szCs w:val="16"/>
        </w:rPr>
        <w:t xml:space="preserve"> s-a efectuat ultima majorare a unității convenționale achitate per activitate exercitată de către avocații, și anume de la 40 la 50 lei.</w:t>
      </w:r>
    </w:p>
  </w:footnote>
  <w:footnote w:id="8">
    <w:p w14:paraId="5052FFF5" w14:textId="570F68CA"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Hotărârea CNAJGS nr.6 din 27.04.2021</w:t>
      </w:r>
      <w:r>
        <w:rPr>
          <w:rFonts w:asciiTheme="majorHAnsi" w:hAnsiTheme="majorHAnsi" w:cstheme="majorHAnsi"/>
          <w:sz w:val="16"/>
          <w:szCs w:val="16"/>
        </w:rPr>
        <w:t>,</w:t>
      </w:r>
      <w:r w:rsidRPr="003F7196">
        <w:rPr>
          <w:rFonts w:asciiTheme="majorHAnsi" w:hAnsiTheme="majorHAnsi" w:cstheme="majorHAnsi"/>
          <w:sz w:val="16"/>
          <w:szCs w:val="16"/>
        </w:rPr>
        <w:t xml:space="preserve"> prin care s-a stabilit cuantumul remunerației fixe lunare a avocaților publici în valoare de 13</w:t>
      </w:r>
      <w:r>
        <w:rPr>
          <w:rFonts w:asciiTheme="majorHAnsi" w:hAnsiTheme="majorHAnsi" w:cstheme="majorHAnsi"/>
          <w:sz w:val="16"/>
          <w:szCs w:val="16"/>
        </w:rPr>
        <w:t>.</w:t>
      </w:r>
      <w:r w:rsidRPr="003F7196">
        <w:rPr>
          <w:rFonts w:asciiTheme="majorHAnsi" w:hAnsiTheme="majorHAnsi" w:cstheme="majorHAnsi"/>
          <w:sz w:val="16"/>
          <w:szCs w:val="16"/>
        </w:rPr>
        <w:t>570,0 lei.</w:t>
      </w:r>
    </w:p>
  </w:footnote>
  <w:footnote w:id="9">
    <w:p w14:paraId="1B324647" w14:textId="48372EE8"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P</w:t>
      </w:r>
      <w:r w:rsidRPr="003F7196">
        <w:rPr>
          <w:rFonts w:asciiTheme="majorHAnsi" w:hAnsiTheme="majorHAnsi" w:cstheme="majorHAnsi"/>
          <w:sz w:val="16"/>
          <w:szCs w:val="16"/>
        </w:rPr>
        <w:t>recum tineri, persoane în etate, copii, femei, persoane fără venituri sau cu venituri mici, familii sărace, familii cu mulți copii, șomeri, persoane cu dizabilități, victime ale violenței în familie, victime ale traficului de ființe umane, persoane care suferă de boli cronice, incurabile, persoane dependente de alcool, droguri, substanțe toxice, reprezentanți ai minorităților naționale, tineri post-instituționalizați etc.</w:t>
      </w:r>
    </w:p>
  </w:footnote>
  <w:footnote w:id="10">
    <w:p w14:paraId="72BED753" w14:textId="77777777" w:rsidR="003A2B47" w:rsidRPr="003F7196" w:rsidRDefault="003A2B47" w:rsidP="00FD339F">
      <w:pPr>
        <w:pStyle w:val="FootnoteText"/>
        <w:rPr>
          <w:rFonts w:asciiTheme="majorHAnsi" w:hAnsiTheme="majorHAnsi" w:cstheme="majorHAnsi"/>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Codul penal, Codul de procedură penală, Codul civil și Codul de procedură civilă.</w:t>
      </w:r>
    </w:p>
  </w:footnote>
  <w:footnote w:id="11">
    <w:p w14:paraId="1E577A93" w14:textId="635B8E5D"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9B2BA2">
        <w:rPr>
          <w:rFonts w:asciiTheme="majorHAnsi" w:hAnsiTheme="majorHAnsi" w:cstheme="majorHAnsi"/>
          <w:sz w:val="16"/>
          <w:szCs w:val="16"/>
        </w:rPr>
        <w:t>Planul de acțiuni pentru anul 2020 privind implementarea Strategiei de activitate în sistemul de acordare a asistenței juridice garantate de stat pentru anii 2018-2020, aprobat prin Hotărârea CNAJGS nr.8 din 26 februarie 2020; Planurile de acțiuni pentru anul 2021-2022 privind implementarea Strategiei de activitate în sistemul de acordare a asistenței juridice garantate de stat pentru anii 2021-2022, aprobate prin Hotărârea CNAJGS nr.2 din 18 februarie 2021, și respectiv Hotărârea CNAJGS nr.2 din 23 februarie 2022.</w:t>
      </w:r>
      <w:r w:rsidRPr="003F7196">
        <w:rPr>
          <w:rFonts w:asciiTheme="majorHAnsi" w:hAnsiTheme="majorHAnsi" w:cstheme="majorHAnsi"/>
          <w:sz w:val="16"/>
          <w:szCs w:val="16"/>
        </w:rPr>
        <w:t xml:space="preserve">    </w:t>
      </w:r>
    </w:p>
  </w:footnote>
  <w:footnote w:id="12">
    <w:p w14:paraId="1D0610C7" w14:textId="6002C36A"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Principiul limbii oficiale de procedură este consacrat în art. 118 din Constituția RM „Limba de procedură și dreptul la interpret”.</w:t>
      </w:r>
    </w:p>
  </w:footnote>
  <w:footnote w:id="13">
    <w:p w14:paraId="0CBE5EB0" w14:textId="650F92BF"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Art.16 din Codul penal prevede că</w:t>
      </w:r>
      <w:r>
        <w:rPr>
          <w:rFonts w:asciiTheme="majorHAnsi" w:hAnsiTheme="majorHAnsi" w:cstheme="majorHAnsi"/>
          <w:sz w:val="16"/>
          <w:szCs w:val="16"/>
        </w:rPr>
        <w:t>,</w:t>
      </w:r>
      <w:r w:rsidRPr="003F7196">
        <w:rPr>
          <w:rFonts w:asciiTheme="majorHAnsi" w:hAnsiTheme="majorHAnsi" w:cstheme="majorHAnsi"/>
          <w:sz w:val="16"/>
          <w:szCs w:val="16"/>
        </w:rPr>
        <w:t xml:space="preserve"> în funcție de caracterul și gradul prejudiciabil, infracțiunile prevăzute de prezentul cod sunt clasificate în următoarele categorii: </w:t>
      </w:r>
    </w:p>
    <w:p w14:paraId="7E4348D8" w14:textId="158E6DFC" w:rsidR="003A2B47" w:rsidRPr="003F7196" w:rsidRDefault="003A2B47" w:rsidP="00E47B06">
      <w:pPr>
        <w:pStyle w:val="FootnoteText"/>
        <w:numPr>
          <w:ilvl w:val="0"/>
          <w:numId w:val="30"/>
        </w:numPr>
        <w:ind w:left="180" w:hanging="90"/>
        <w:jc w:val="both"/>
        <w:rPr>
          <w:rFonts w:asciiTheme="majorHAnsi" w:hAnsiTheme="majorHAnsi" w:cstheme="majorHAnsi"/>
          <w:sz w:val="16"/>
          <w:szCs w:val="16"/>
        </w:rPr>
      </w:pPr>
      <w:r w:rsidRPr="003F7196">
        <w:rPr>
          <w:rFonts w:asciiTheme="majorHAnsi" w:hAnsiTheme="majorHAnsi" w:cstheme="majorHAnsi"/>
          <w:sz w:val="16"/>
          <w:szCs w:val="16"/>
        </w:rPr>
        <w:t>ușoare</w:t>
      </w:r>
      <w:r>
        <w:rPr>
          <w:rFonts w:asciiTheme="majorHAnsi" w:hAnsiTheme="majorHAnsi" w:cstheme="majorHAnsi"/>
          <w:sz w:val="16"/>
          <w:szCs w:val="16"/>
        </w:rPr>
        <w:t>,</w:t>
      </w:r>
      <w:r w:rsidRPr="003F7196">
        <w:rPr>
          <w:rFonts w:asciiTheme="majorHAnsi" w:hAnsiTheme="majorHAnsi" w:cstheme="majorHAnsi"/>
          <w:sz w:val="16"/>
          <w:szCs w:val="16"/>
        </w:rPr>
        <w:t xml:space="preserve"> se consideră faptele pentru care legea penală prevede în calitate de pedeapsă maximă pedeapsa închisorii pe un termen de până la 2 ani inclusiv; </w:t>
      </w:r>
    </w:p>
    <w:p w14:paraId="764E8E89" w14:textId="172E6B55" w:rsidR="003A2B47" w:rsidRPr="003F7196" w:rsidRDefault="003A2B47" w:rsidP="00E47B06">
      <w:pPr>
        <w:pStyle w:val="FootnoteText"/>
        <w:numPr>
          <w:ilvl w:val="0"/>
          <w:numId w:val="30"/>
        </w:numPr>
        <w:ind w:left="180" w:hanging="90"/>
        <w:jc w:val="both"/>
        <w:rPr>
          <w:rFonts w:asciiTheme="majorHAnsi" w:hAnsiTheme="majorHAnsi" w:cstheme="majorHAnsi"/>
          <w:sz w:val="16"/>
          <w:szCs w:val="16"/>
        </w:rPr>
      </w:pPr>
      <w:r w:rsidRPr="003F7196">
        <w:rPr>
          <w:rFonts w:asciiTheme="majorHAnsi" w:hAnsiTheme="majorHAnsi" w:cstheme="majorHAnsi"/>
          <w:sz w:val="16"/>
          <w:szCs w:val="16"/>
        </w:rPr>
        <w:t>mai puțin grave</w:t>
      </w:r>
      <w:r>
        <w:rPr>
          <w:rFonts w:asciiTheme="majorHAnsi" w:hAnsiTheme="majorHAnsi" w:cstheme="majorHAnsi"/>
          <w:sz w:val="16"/>
          <w:szCs w:val="16"/>
        </w:rPr>
        <w:t>,</w:t>
      </w:r>
      <w:r w:rsidRPr="003F7196">
        <w:rPr>
          <w:rFonts w:asciiTheme="majorHAnsi" w:hAnsiTheme="majorHAnsi" w:cstheme="majorHAnsi"/>
          <w:sz w:val="16"/>
          <w:szCs w:val="16"/>
        </w:rPr>
        <w:t xml:space="preserve"> se consideră faptele pentru care legea penală prevede pedeapsa maximă cu închisoare pe un termen de până la 5 ani inclusiv;</w:t>
      </w:r>
    </w:p>
    <w:p w14:paraId="3EBF1894" w14:textId="2F9983AA" w:rsidR="003A2B47" w:rsidRPr="003F7196" w:rsidRDefault="003A2B47" w:rsidP="00E47B06">
      <w:pPr>
        <w:pStyle w:val="FootnoteText"/>
        <w:numPr>
          <w:ilvl w:val="0"/>
          <w:numId w:val="30"/>
        </w:numPr>
        <w:ind w:left="180" w:hanging="90"/>
        <w:jc w:val="both"/>
        <w:rPr>
          <w:rFonts w:asciiTheme="majorHAnsi" w:hAnsiTheme="majorHAnsi" w:cstheme="majorHAnsi"/>
          <w:sz w:val="16"/>
          <w:szCs w:val="16"/>
        </w:rPr>
      </w:pPr>
      <w:r w:rsidRPr="003F7196">
        <w:rPr>
          <w:rFonts w:asciiTheme="majorHAnsi" w:hAnsiTheme="majorHAnsi" w:cstheme="majorHAnsi"/>
          <w:sz w:val="16"/>
          <w:szCs w:val="16"/>
        </w:rPr>
        <w:t>grave</w:t>
      </w:r>
      <w:r>
        <w:rPr>
          <w:rFonts w:asciiTheme="majorHAnsi" w:hAnsiTheme="majorHAnsi" w:cstheme="majorHAnsi"/>
          <w:sz w:val="16"/>
          <w:szCs w:val="16"/>
        </w:rPr>
        <w:t>,</w:t>
      </w:r>
      <w:r w:rsidRPr="003F7196">
        <w:rPr>
          <w:rFonts w:asciiTheme="majorHAnsi" w:hAnsiTheme="majorHAnsi" w:cstheme="majorHAnsi"/>
          <w:sz w:val="16"/>
          <w:szCs w:val="16"/>
        </w:rPr>
        <w:t xml:space="preserve"> se consideră faptele pentru care legea penală prevede pedeapsa maximă cu închisoare pe un termen de până la 12 ani inclusiv; </w:t>
      </w:r>
    </w:p>
    <w:p w14:paraId="441EB484" w14:textId="5DCE25A9" w:rsidR="003A2B47" w:rsidRPr="003F7196" w:rsidRDefault="003A2B47" w:rsidP="00E47B06">
      <w:pPr>
        <w:pStyle w:val="FootnoteText"/>
        <w:numPr>
          <w:ilvl w:val="0"/>
          <w:numId w:val="30"/>
        </w:numPr>
        <w:ind w:left="180" w:hanging="90"/>
        <w:jc w:val="both"/>
        <w:rPr>
          <w:rFonts w:asciiTheme="majorHAnsi" w:hAnsiTheme="majorHAnsi" w:cstheme="majorHAnsi"/>
          <w:sz w:val="16"/>
          <w:szCs w:val="16"/>
        </w:rPr>
      </w:pPr>
      <w:r w:rsidRPr="003F7196">
        <w:rPr>
          <w:rFonts w:asciiTheme="majorHAnsi" w:hAnsiTheme="majorHAnsi" w:cstheme="majorHAnsi"/>
          <w:sz w:val="16"/>
          <w:szCs w:val="16"/>
        </w:rPr>
        <w:t>deosebit de grave</w:t>
      </w:r>
      <w:r>
        <w:rPr>
          <w:rFonts w:asciiTheme="majorHAnsi" w:hAnsiTheme="majorHAnsi" w:cstheme="majorHAnsi"/>
          <w:sz w:val="16"/>
          <w:szCs w:val="16"/>
        </w:rPr>
        <w:t>,</w:t>
      </w:r>
      <w:r w:rsidRPr="003F7196">
        <w:rPr>
          <w:rFonts w:asciiTheme="majorHAnsi" w:hAnsiTheme="majorHAnsi" w:cstheme="majorHAnsi"/>
          <w:sz w:val="16"/>
          <w:szCs w:val="16"/>
        </w:rPr>
        <w:t xml:space="preserve"> se consideră infracțiunile săvârșite cu intenție pentru care legea penală prevede pedeapsa maximă cu închisoare pe un termen ce depășește 12 ani; </w:t>
      </w:r>
    </w:p>
    <w:p w14:paraId="6900021E" w14:textId="67E22647" w:rsidR="003A2B47" w:rsidRPr="003F7196" w:rsidRDefault="003A2B47" w:rsidP="00E47B06">
      <w:pPr>
        <w:pStyle w:val="FootnoteText"/>
        <w:numPr>
          <w:ilvl w:val="0"/>
          <w:numId w:val="30"/>
        </w:numPr>
        <w:ind w:left="180" w:hanging="90"/>
        <w:jc w:val="both"/>
        <w:rPr>
          <w:rFonts w:asciiTheme="majorHAnsi" w:hAnsiTheme="majorHAnsi" w:cstheme="majorHAnsi"/>
          <w:sz w:val="16"/>
          <w:szCs w:val="16"/>
        </w:rPr>
      </w:pPr>
      <w:r w:rsidRPr="003F7196">
        <w:rPr>
          <w:rFonts w:asciiTheme="majorHAnsi" w:hAnsiTheme="majorHAnsi" w:cstheme="majorHAnsi"/>
          <w:sz w:val="16"/>
          <w:szCs w:val="16"/>
        </w:rPr>
        <w:t>excepțional de grave</w:t>
      </w:r>
      <w:r>
        <w:rPr>
          <w:rFonts w:asciiTheme="majorHAnsi" w:hAnsiTheme="majorHAnsi" w:cstheme="majorHAnsi"/>
          <w:sz w:val="16"/>
          <w:szCs w:val="16"/>
        </w:rPr>
        <w:t>,</w:t>
      </w:r>
      <w:r w:rsidRPr="003F7196">
        <w:rPr>
          <w:rFonts w:asciiTheme="majorHAnsi" w:hAnsiTheme="majorHAnsi" w:cstheme="majorHAnsi"/>
          <w:sz w:val="16"/>
          <w:szCs w:val="16"/>
        </w:rPr>
        <w:t xml:space="preserve"> se consideră infracțiunile săvârșite cu intenție pentru care legea penală prevede detențiune pe viață.</w:t>
      </w:r>
    </w:p>
  </w:footnote>
  <w:footnote w:id="14">
    <w:p w14:paraId="405E34C1" w14:textId="7E9122B6"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E</w:t>
      </w:r>
      <w:r w:rsidRPr="003F7196">
        <w:rPr>
          <w:rFonts w:asciiTheme="majorHAnsi" w:hAnsiTheme="majorHAnsi" w:cstheme="majorHAnsi"/>
          <w:sz w:val="16"/>
          <w:szCs w:val="16"/>
        </w:rPr>
        <w:t>xcesul de putere sau depășirea atribuțiilor de serviciu, art. 328 din CP.</w:t>
      </w:r>
    </w:p>
  </w:footnote>
  <w:footnote w:id="15">
    <w:p w14:paraId="791AB39D" w14:textId="1F31BB3F"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Procesul-verbal de interogare din 03.08.2021, în care se menționează că limba de comunicare a fost stabilită limba rusă, av</w:t>
      </w:r>
      <w:r>
        <w:rPr>
          <w:rFonts w:asciiTheme="majorHAnsi" w:hAnsiTheme="majorHAnsi" w:cstheme="majorHAnsi"/>
          <w:sz w:val="16"/>
          <w:szCs w:val="16"/>
        </w:rPr>
        <w:t>â</w:t>
      </w:r>
      <w:r w:rsidRPr="003F7196">
        <w:rPr>
          <w:rFonts w:asciiTheme="majorHAnsi" w:hAnsiTheme="majorHAnsi" w:cstheme="majorHAnsi"/>
          <w:sz w:val="16"/>
          <w:szCs w:val="16"/>
        </w:rPr>
        <w:t>ndu-se în vedere că inculpatul este vorbitor de limbă rusă.</w:t>
      </w:r>
    </w:p>
  </w:footnote>
  <w:footnote w:id="16">
    <w:p w14:paraId="106996A2" w14:textId="77C92F3C"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 xml:space="preserve">Hotărârea Curții Supreme de Justiție nr.11 din 24.12.2020 </w:t>
      </w:r>
      <w:r>
        <w:rPr>
          <w:rFonts w:asciiTheme="majorHAnsi" w:hAnsiTheme="majorHAnsi" w:cstheme="majorHAnsi"/>
          <w:sz w:val="16"/>
          <w:szCs w:val="16"/>
        </w:rPr>
        <w:t>„</w:t>
      </w:r>
      <w:r w:rsidRPr="003F7196">
        <w:rPr>
          <w:rFonts w:asciiTheme="majorHAnsi" w:hAnsiTheme="majorHAnsi" w:cstheme="majorHAnsi"/>
          <w:sz w:val="16"/>
          <w:szCs w:val="16"/>
        </w:rPr>
        <w:t>Cu privire la practica aplicării legislației pentru asigurarea dreptului la apărare al bănuitului, învinuitului, inculpatului și condamnatului în procedură penală”.</w:t>
      </w:r>
    </w:p>
  </w:footnote>
  <w:footnote w:id="17">
    <w:p w14:paraId="3DC47D6C" w14:textId="49E42BFB"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Date aferente perioadei 2020-11.11.2022. Astfel</w:t>
      </w:r>
      <w:r>
        <w:rPr>
          <w:rFonts w:asciiTheme="majorHAnsi" w:hAnsiTheme="majorHAnsi" w:cstheme="majorHAnsi"/>
          <w:sz w:val="16"/>
          <w:szCs w:val="16"/>
        </w:rPr>
        <w:t>, în</w:t>
      </w:r>
      <w:r w:rsidRPr="003F7196">
        <w:rPr>
          <w:rFonts w:asciiTheme="majorHAnsi" w:hAnsiTheme="majorHAnsi" w:cstheme="majorHAnsi"/>
          <w:sz w:val="16"/>
          <w:szCs w:val="16"/>
        </w:rPr>
        <w:t xml:space="preserve"> total au fost înregistrate 935 de cazuri</w:t>
      </w:r>
      <w:r>
        <w:rPr>
          <w:rFonts w:asciiTheme="majorHAnsi" w:hAnsiTheme="majorHAnsi" w:cstheme="majorHAnsi"/>
          <w:sz w:val="16"/>
          <w:szCs w:val="16"/>
        </w:rPr>
        <w:t>,</w:t>
      </w:r>
      <w:r w:rsidRPr="003F7196">
        <w:rPr>
          <w:rFonts w:asciiTheme="majorHAnsi" w:hAnsiTheme="majorHAnsi" w:cstheme="majorHAnsi"/>
          <w:sz w:val="16"/>
          <w:szCs w:val="16"/>
        </w:rPr>
        <w:t xml:space="preserve"> dintre care: OT Chișinău – 124, OT Bălți – 651, OT Cahul – 104</w:t>
      </w:r>
      <w:r>
        <w:rPr>
          <w:rFonts w:asciiTheme="majorHAnsi" w:hAnsiTheme="majorHAnsi" w:cstheme="majorHAnsi"/>
          <w:sz w:val="16"/>
          <w:szCs w:val="16"/>
        </w:rPr>
        <w:t>,</w:t>
      </w:r>
      <w:r w:rsidRPr="003F7196">
        <w:rPr>
          <w:rFonts w:asciiTheme="majorHAnsi" w:hAnsiTheme="majorHAnsi" w:cstheme="majorHAnsi"/>
          <w:sz w:val="16"/>
          <w:szCs w:val="16"/>
        </w:rPr>
        <w:t xml:space="preserve"> și OT Comrat – 56.</w:t>
      </w:r>
    </w:p>
  </w:footnote>
  <w:footnote w:id="18">
    <w:p w14:paraId="360C7765" w14:textId="77777777" w:rsidR="003A2B47" w:rsidRPr="003F7196" w:rsidRDefault="003A2B47" w:rsidP="00FD339F">
      <w:pPr>
        <w:pStyle w:val="FootnoteText"/>
        <w:rPr>
          <w:rFonts w:asciiTheme="majorHAnsi" w:hAnsiTheme="majorHAnsi" w:cstheme="majorHAnsi"/>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Ofițeri de urmărire penală.</w:t>
      </w:r>
    </w:p>
  </w:footnote>
  <w:footnote w:id="19">
    <w:p w14:paraId="174D2B65" w14:textId="42CD2DE6"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 xml:space="preserve">S-a propus: „instanța de judecată apreciază că, în cazul </w:t>
      </w:r>
      <w:r w:rsidRPr="003F7196">
        <w:rPr>
          <w:rFonts w:asciiTheme="majorHAnsi" w:hAnsiTheme="majorHAnsi" w:cstheme="majorHAnsi"/>
          <w:sz w:val="16"/>
          <w:szCs w:val="16"/>
          <w:u w:val="single"/>
        </w:rPr>
        <w:t>inculpatului</w:t>
      </w:r>
      <w:r w:rsidRPr="003F7196">
        <w:rPr>
          <w:rFonts w:asciiTheme="majorHAnsi" w:hAnsiTheme="majorHAnsi" w:cstheme="majorHAnsi"/>
          <w:sz w:val="16"/>
          <w:szCs w:val="16"/>
        </w:rPr>
        <w:t>, interesele justiției cer participarea apărătorului în ședința de judecată în primă instanță, în apel sau în recurs ori la judecarea cauzei pe cale extraordinară de atac”.</w:t>
      </w:r>
    </w:p>
  </w:footnote>
  <w:footnote w:id="20">
    <w:p w14:paraId="06868308" w14:textId="5466B0D6" w:rsidR="003A2B47" w:rsidRPr="003F7196" w:rsidRDefault="003A2B47" w:rsidP="00FD339F">
      <w:pPr>
        <w:pStyle w:val="FootnoteText"/>
        <w:jc w:val="both"/>
        <w:rPr>
          <w:rFonts w:asciiTheme="majorHAnsi" w:hAnsiTheme="majorHAnsi" w:cstheme="majorHAnsi"/>
          <w:sz w:val="16"/>
          <w:szCs w:val="16"/>
          <w:lang w:val="ro-RO"/>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Ordinul MJ nr.71 din 14.03.2022 „Cu privire la crearea grupului de lucru pentru elaborarea unui proiect de lege consolidat pentru modificarea/ajustarea cadrului normativ penal și procesual”.</w:t>
      </w:r>
    </w:p>
  </w:footnote>
  <w:footnote w:id="21">
    <w:p w14:paraId="715D8C5D" w14:textId="092FBEE7"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Codul de procedură penală, aprobat prin Legea nr. 122 din 14.03.2003</w:t>
      </w:r>
      <w:r>
        <w:rPr>
          <w:rFonts w:asciiTheme="majorHAnsi" w:hAnsiTheme="majorHAnsi" w:cstheme="majorHAnsi"/>
          <w:sz w:val="16"/>
          <w:szCs w:val="16"/>
        </w:rPr>
        <w:t>.</w:t>
      </w:r>
      <w:r w:rsidRPr="003F7196">
        <w:rPr>
          <w:rFonts w:asciiTheme="majorHAnsi" w:hAnsiTheme="majorHAnsi" w:cstheme="majorHAnsi"/>
          <w:sz w:val="16"/>
          <w:szCs w:val="16"/>
        </w:rPr>
        <w:t xml:space="preserve"> </w:t>
      </w:r>
    </w:p>
  </w:footnote>
  <w:footnote w:id="22">
    <w:p w14:paraId="2CDED069" w14:textId="77777777" w:rsidR="003A2B47" w:rsidRPr="002A3F8D" w:rsidRDefault="003A2B47" w:rsidP="00FD339F">
      <w:pPr>
        <w:pStyle w:val="FootnoteText"/>
        <w:jc w:val="both"/>
        <w:rPr>
          <w:rFonts w:asciiTheme="majorHAnsi" w:hAnsiTheme="majorHAnsi" w:cstheme="majorHAnsi"/>
          <w:sz w:val="16"/>
          <w:szCs w:val="16"/>
          <w:lang w:val="ro-RO"/>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lang w:val="ro-RO"/>
        </w:rPr>
        <w:t>Pe un eșantion de 36 de cazuri.</w:t>
      </w:r>
    </w:p>
  </w:footnote>
  <w:footnote w:id="23">
    <w:p w14:paraId="7AEE1319" w14:textId="07BB4A49"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 xml:space="preserve">Datele de identitate ale persoanei fizice: IDNO, data nașterii, viza de reședință etc. </w:t>
      </w:r>
    </w:p>
  </w:footnote>
  <w:footnote w:id="24">
    <w:p w14:paraId="1A5FA6D0" w14:textId="5C310516"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A</w:t>
      </w:r>
      <w:r w:rsidRPr="003F7196">
        <w:rPr>
          <w:rFonts w:asciiTheme="majorHAnsi" w:hAnsiTheme="majorHAnsi" w:cstheme="majorHAnsi"/>
          <w:sz w:val="16"/>
          <w:szCs w:val="16"/>
        </w:rPr>
        <w:t>rt. 521 alin. (2) din CPP prevede că</w:t>
      </w:r>
      <w:r>
        <w:rPr>
          <w:rFonts w:asciiTheme="majorHAnsi" w:hAnsiTheme="majorHAnsi" w:cstheme="majorHAnsi"/>
          <w:sz w:val="16"/>
          <w:szCs w:val="16"/>
        </w:rPr>
        <w:t>:</w:t>
      </w:r>
      <w:r w:rsidRPr="003F7196">
        <w:rPr>
          <w:rFonts w:asciiTheme="majorHAnsi" w:hAnsiTheme="majorHAnsi" w:cstheme="majorHAnsi"/>
          <w:sz w:val="16"/>
          <w:szCs w:val="16"/>
        </w:rPr>
        <w:t xml:space="preserve"> </w:t>
      </w:r>
      <w:r>
        <w:rPr>
          <w:rFonts w:asciiTheme="majorHAnsi" w:hAnsiTheme="majorHAnsi" w:cstheme="majorHAnsi"/>
          <w:sz w:val="16"/>
          <w:szCs w:val="16"/>
        </w:rPr>
        <w:t>„</w:t>
      </w:r>
      <w:r w:rsidRPr="003F7196">
        <w:rPr>
          <w:rFonts w:asciiTheme="majorHAnsi" w:hAnsiTheme="majorHAnsi" w:cstheme="majorHAnsi"/>
          <w:sz w:val="16"/>
          <w:szCs w:val="16"/>
        </w:rPr>
        <w:t>în cazul în care urmărirea penală sau judecarea cauzei împotriva persoanei juridice se efectuează pentru aceeași faptă ori pentru fapte conexe și în privința reprezentantului legal al acesteia, persoana juridică își desemnează, în termen de 5 zile de la data aducerii la cunoștință a ordonanței de recunoaștere a persoanei în calitate de bănuit sau în termen de 48 de ore din momentul aducerii la cunoștință a ordonanței de punere sub învinuire, un alt reprezentant în privința căruia nu se desfășoară un proces penal”.</w:t>
      </w:r>
    </w:p>
  </w:footnote>
  <w:footnote w:id="25">
    <w:p w14:paraId="628F2F6F" w14:textId="77777777"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Administrator de insolvabilitate, lichidator sau avocat contractat de persoana juridică.</w:t>
      </w:r>
    </w:p>
  </w:footnote>
  <w:footnote w:id="26">
    <w:p w14:paraId="2A1BA62B" w14:textId="0400AD28" w:rsidR="003A2B47" w:rsidRPr="002A3F8D" w:rsidRDefault="003A2B47" w:rsidP="00FD339F">
      <w:pPr>
        <w:pStyle w:val="FootnoteText"/>
        <w:rPr>
          <w:rFonts w:asciiTheme="majorHAnsi" w:hAnsiTheme="majorHAnsi" w:cstheme="majorHAnsi"/>
          <w:sz w:val="16"/>
          <w:szCs w:val="16"/>
          <w:lang w:val="ro-RO"/>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Hotărârea Judecătoriei Strășeni din 17.09.2019.</w:t>
      </w:r>
    </w:p>
  </w:footnote>
  <w:footnote w:id="27">
    <w:p w14:paraId="01C2883B" w14:textId="28FF8FA7" w:rsidR="003A2B47" w:rsidRPr="003F7196" w:rsidRDefault="003A2B47">
      <w:pPr>
        <w:pStyle w:val="FootnoteText"/>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Nivelul minim de existență pe cap de locuitor din țară</w:t>
      </w:r>
      <w:r>
        <w:rPr>
          <w:rFonts w:asciiTheme="majorHAnsi" w:hAnsiTheme="majorHAnsi" w:cstheme="majorHAnsi"/>
          <w:sz w:val="16"/>
          <w:szCs w:val="16"/>
        </w:rPr>
        <w:t>,</w:t>
      </w:r>
      <w:r w:rsidRPr="003F7196">
        <w:rPr>
          <w:rFonts w:asciiTheme="majorHAnsi" w:hAnsiTheme="majorHAnsi" w:cstheme="majorHAnsi"/>
          <w:sz w:val="16"/>
          <w:szCs w:val="16"/>
        </w:rPr>
        <w:t xml:space="preserve"> stabilit de BNS</w:t>
      </w:r>
      <w:r>
        <w:rPr>
          <w:rFonts w:asciiTheme="majorHAnsi" w:hAnsiTheme="majorHAnsi" w:cstheme="majorHAnsi"/>
          <w:sz w:val="16"/>
          <w:szCs w:val="16"/>
        </w:rPr>
        <w:t>,</w:t>
      </w:r>
      <w:r w:rsidRPr="003F7196">
        <w:rPr>
          <w:rFonts w:asciiTheme="majorHAnsi" w:hAnsiTheme="majorHAnsi" w:cstheme="majorHAnsi"/>
          <w:sz w:val="16"/>
          <w:szCs w:val="16"/>
        </w:rPr>
        <w:t xml:space="preserve"> a constituit</w:t>
      </w:r>
      <w:r>
        <w:rPr>
          <w:rFonts w:asciiTheme="majorHAnsi" w:hAnsiTheme="majorHAnsi" w:cstheme="majorHAnsi"/>
          <w:sz w:val="16"/>
          <w:szCs w:val="16"/>
        </w:rPr>
        <w:t>,</w:t>
      </w:r>
      <w:r w:rsidRPr="003F7196">
        <w:rPr>
          <w:rFonts w:asciiTheme="majorHAnsi" w:hAnsiTheme="majorHAnsi" w:cstheme="majorHAnsi"/>
          <w:sz w:val="16"/>
          <w:szCs w:val="16"/>
        </w:rPr>
        <w:t xml:space="preserve"> respectiv: în anul 2020 – 2</w:t>
      </w:r>
      <w:r>
        <w:rPr>
          <w:rFonts w:asciiTheme="majorHAnsi" w:hAnsiTheme="majorHAnsi" w:cstheme="majorHAnsi"/>
          <w:sz w:val="16"/>
          <w:szCs w:val="16"/>
        </w:rPr>
        <w:t>.</w:t>
      </w:r>
      <w:r w:rsidRPr="003F7196">
        <w:rPr>
          <w:rFonts w:asciiTheme="majorHAnsi" w:hAnsiTheme="majorHAnsi" w:cstheme="majorHAnsi"/>
          <w:sz w:val="16"/>
          <w:szCs w:val="16"/>
        </w:rPr>
        <w:t>088,4 lei, anul 2021 – 2</w:t>
      </w:r>
      <w:r>
        <w:rPr>
          <w:rFonts w:asciiTheme="majorHAnsi" w:hAnsiTheme="majorHAnsi" w:cstheme="majorHAnsi"/>
          <w:sz w:val="16"/>
          <w:szCs w:val="16"/>
        </w:rPr>
        <w:t>.</w:t>
      </w:r>
      <w:r w:rsidRPr="003F7196">
        <w:rPr>
          <w:rFonts w:asciiTheme="majorHAnsi" w:hAnsiTheme="majorHAnsi" w:cstheme="majorHAnsi"/>
          <w:sz w:val="16"/>
          <w:szCs w:val="16"/>
        </w:rPr>
        <w:t>125,0 lei</w:t>
      </w:r>
      <w:r>
        <w:rPr>
          <w:rFonts w:asciiTheme="majorHAnsi" w:hAnsiTheme="majorHAnsi" w:cstheme="majorHAnsi"/>
          <w:sz w:val="16"/>
          <w:szCs w:val="16"/>
        </w:rPr>
        <w:t>,</w:t>
      </w:r>
      <w:r w:rsidRPr="003F7196">
        <w:rPr>
          <w:rFonts w:asciiTheme="majorHAnsi" w:hAnsiTheme="majorHAnsi" w:cstheme="majorHAnsi"/>
          <w:sz w:val="16"/>
          <w:szCs w:val="16"/>
        </w:rPr>
        <w:t xml:space="preserve"> și </w:t>
      </w:r>
      <w:r>
        <w:rPr>
          <w:rFonts w:asciiTheme="majorHAnsi" w:hAnsiTheme="majorHAnsi" w:cstheme="majorHAnsi"/>
          <w:sz w:val="16"/>
          <w:szCs w:val="16"/>
        </w:rPr>
        <w:t xml:space="preserve">în </w:t>
      </w:r>
      <w:r w:rsidRPr="003F7196">
        <w:rPr>
          <w:rFonts w:asciiTheme="majorHAnsi" w:hAnsiTheme="majorHAnsi" w:cstheme="majorHAnsi"/>
          <w:sz w:val="16"/>
          <w:szCs w:val="16"/>
        </w:rPr>
        <w:t>anul 2022 – 2</w:t>
      </w:r>
      <w:r>
        <w:rPr>
          <w:rFonts w:asciiTheme="majorHAnsi" w:hAnsiTheme="majorHAnsi" w:cstheme="majorHAnsi"/>
          <w:sz w:val="16"/>
          <w:szCs w:val="16"/>
        </w:rPr>
        <w:t>.</w:t>
      </w:r>
      <w:r w:rsidRPr="003F7196">
        <w:rPr>
          <w:rFonts w:asciiTheme="majorHAnsi" w:hAnsiTheme="majorHAnsi" w:cstheme="majorHAnsi"/>
          <w:sz w:val="16"/>
          <w:szCs w:val="16"/>
        </w:rPr>
        <w:t xml:space="preserve">485,0 lei.  </w:t>
      </w:r>
    </w:p>
  </w:footnote>
  <w:footnote w:id="28">
    <w:p w14:paraId="1EF0F349" w14:textId="30AE579B" w:rsidR="003A2B47" w:rsidRPr="003F7196" w:rsidRDefault="003A2B47" w:rsidP="000E7C1E">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Regulamentul cu privire la modul de calculare a mărimii minimului de existență</w:t>
      </w:r>
      <w:r>
        <w:rPr>
          <w:rFonts w:asciiTheme="majorHAnsi" w:hAnsiTheme="majorHAnsi" w:cstheme="majorHAnsi"/>
          <w:sz w:val="16"/>
          <w:szCs w:val="16"/>
        </w:rPr>
        <w:t>,</w:t>
      </w:r>
      <w:r w:rsidRPr="003F7196">
        <w:rPr>
          <w:rFonts w:asciiTheme="majorHAnsi" w:hAnsiTheme="majorHAnsi" w:cstheme="majorHAnsi"/>
          <w:sz w:val="16"/>
          <w:szCs w:val="16"/>
        </w:rPr>
        <w:t xml:space="preserve"> aprobat prin Hotărârea Guvernului nr.285 din 30.04.2013.</w:t>
      </w:r>
    </w:p>
  </w:footnote>
  <w:footnote w:id="29">
    <w:p w14:paraId="1CB205AD" w14:textId="6F94644A" w:rsidR="003A2B47" w:rsidRPr="003F7196" w:rsidRDefault="003A2B47" w:rsidP="000E7C1E">
      <w:pPr>
        <w:pStyle w:val="FootnoteText"/>
        <w:jc w:val="both"/>
        <w:rPr>
          <w:rFonts w:asciiTheme="majorHAnsi" w:hAnsiTheme="majorHAnsi" w:cstheme="majorHAnsi"/>
          <w:sz w:val="16"/>
          <w:szCs w:val="16"/>
          <w:lang w:val="ro-RO"/>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Regulamentul privind metodologia de calcul al venitului în scopul acordării asistenței juridice calificate garantate de stat</w:t>
      </w:r>
      <w:r>
        <w:rPr>
          <w:rFonts w:asciiTheme="majorHAnsi" w:hAnsiTheme="majorHAnsi" w:cstheme="majorHAnsi"/>
          <w:sz w:val="16"/>
          <w:szCs w:val="16"/>
        </w:rPr>
        <w:t>,</w:t>
      </w:r>
      <w:r w:rsidRPr="003F7196">
        <w:rPr>
          <w:rFonts w:asciiTheme="majorHAnsi" w:hAnsiTheme="majorHAnsi" w:cstheme="majorHAnsi"/>
          <w:sz w:val="16"/>
          <w:szCs w:val="16"/>
        </w:rPr>
        <w:t xml:space="preserve"> aprobat prin Hotărârea Guvernului nr.1016 din 01.09.2008.</w:t>
      </w:r>
    </w:p>
  </w:footnote>
  <w:footnote w:id="30">
    <w:p w14:paraId="55A556DC" w14:textId="77777777" w:rsidR="003A2B47" w:rsidRPr="00E64900" w:rsidRDefault="003A2B47" w:rsidP="009A58D3">
      <w:pPr>
        <w:pStyle w:val="FootnoteText"/>
        <w:jc w:val="both"/>
        <w:rPr>
          <w:sz w:val="16"/>
          <w:szCs w:val="16"/>
        </w:rPr>
      </w:pPr>
      <w:r w:rsidRPr="0029127B">
        <w:rPr>
          <w:rStyle w:val="FootnoteReference"/>
          <w:sz w:val="16"/>
          <w:szCs w:val="16"/>
        </w:rPr>
        <w:footnoteRef/>
      </w:r>
      <w:r w:rsidRPr="0029127B">
        <w:rPr>
          <w:sz w:val="16"/>
          <w:szCs w:val="16"/>
        </w:rPr>
        <w:t xml:space="preserve"> </w:t>
      </w:r>
      <w:r w:rsidRPr="0029127B">
        <w:rPr>
          <w:sz w:val="16"/>
          <w:szCs w:val="16"/>
        </w:rPr>
        <w:t>Din eșantionul de 215 cereri analizate în 183 de cazuri nu există anexat certificat privind componența familiei.</w:t>
      </w:r>
    </w:p>
  </w:footnote>
  <w:footnote w:id="31">
    <w:p w14:paraId="64A30B76" w14:textId="77777777" w:rsidR="003A2B47" w:rsidRPr="003F7196" w:rsidRDefault="003A2B47" w:rsidP="00B7356E">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Persoane ce locuiesc împreună, țin gospodărie și au un buget comun.</w:t>
      </w:r>
    </w:p>
  </w:footnote>
  <w:footnote w:id="32">
    <w:p w14:paraId="5DFB8F33" w14:textId="4E33B614" w:rsidR="003A2B47" w:rsidRPr="009B2BA2" w:rsidRDefault="003A2B47" w:rsidP="00B7356E">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color w:val="222222"/>
          <w:sz w:val="16"/>
          <w:szCs w:val="16"/>
          <w:shd w:val="clear" w:color="auto" w:fill="FFFFFF"/>
        </w:rPr>
        <w:t>Potrivit Regulamentului aprobat prin HG nr.1016/2008</w:t>
      </w:r>
      <w:r>
        <w:rPr>
          <w:rFonts w:asciiTheme="majorHAnsi" w:hAnsiTheme="majorHAnsi" w:cstheme="majorHAnsi"/>
          <w:color w:val="222222"/>
          <w:sz w:val="16"/>
          <w:szCs w:val="16"/>
          <w:shd w:val="clear" w:color="auto" w:fill="FFFFFF"/>
        </w:rPr>
        <w:t>,</w:t>
      </w:r>
      <w:r w:rsidRPr="003F7196">
        <w:rPr>
          <w:rFonts w:asciiTheme="majorHAnsi" w:hAnsiTheme="majorHAnsi" w:cstheme="majorHAnsi"/>
          <w:color w:val="222222"/>
          <w:sz w:val="16"/>
          <w:szCs w:val="16"/>
          <w:shd w:val="clear" w:color="auto" w:fill="FFFFFF"/>
        </w:rPr>
        <w:t xml:space="preserve"> la calcularea venitului mediu lunar obținut de beneficiar și membrii familiei acestuia</w:t>
      </w:r>
      <w:r>
        <w:rPr>
          <w:rFonts w:asciiTheme="majorHAnsi" w:hAnsiTheme="majorHAnsi" w:cstheme="majorHAnsi"/>
          <w:color w:val="222222"/>
          <w:sz w:val="16"/>
          <w:szCs w:val="16"/>
          <w:shd w:val="clear" w:color="auto" w:fill="FFFFFF"/>
        </w:rPr>
        <w:t>,</w:t>
      </w:r>
      <w:r w:rsidRPr="003F7196">
        <w:rPr>
          <w:rFonts w:asciiTheme="majorHAnsi" w:hAnsiTheme="majorHAnsi" w:cstheme="majorHAnsi"/>
          <w:color w:val="222222"/>
          <w:sz w:val="16"/>
          <w:szCs w:val="16"/>
          <w:shd w:val="clear" w:color="auto" w:fill="FFFFFF"/>
        </w:rPr>
        <w:t xml:space="preserve"> se </w:t>
      </w:r>
      <w:r w:rsidRPr="009B2BA2">
        <w:rPr>
          <w:rFonts w:asciiTheme="majorHAnsi" w:hAnsiTheme="majorHAnsi" w:cstheme="majorHAnsi"/>
          <w:color w:val="222222"/>
          <w:sz w:val="16"/>
          <w:szCs w:val="16"/>
          <w:shd w:val="clear" w:color="auto" w:fill="FFFFFF"/>
        </w:rPr>
        <w:t xml:space="preserve">ia în considerare venitul pentru 6 luni calendaristice anterioare lunii în care a fost depusă solicitarea. </w:t>
      </w:r>
    </w:p>
  </w:footnote>
  <w:footnote w:id="33">
    <w:p w14:paraId="16B16F7F" w14:textId="7C77D158" w:rsidR="003A2B47" w:rsidRPr="003F7196" w:rsidRDefault="003A2B47" w:rsidP="00B7356E">
      <w:pPr>
        <w:pStyle w:val="FootnoteText"/>
        <w:jc w:val="both"/>
        <w:rPr>
          <w:rFonts w:asciiTheme="majorHAnsi" w:hAnsiTheme="majorHAnsi" w:cstheme="majorHAnsi"/>
          <w:sz w:val="16"/>
          <w:szCs w:val="16"/>
        </w:rPr>
      </w:pPr>
      <w:r w:rsidRPr="009B2BA2">
        <w:rPr>
          <w:rStyle w:val="FootnoteReference"/>
          <w:rFonts w:asciiTheme="majorHAnsi" w:hAnsiTheme="majorHAnsi" w:cstheme="majorHAnsi"/>
          <w:sz w:val="16"/>
          <w:szCs w:val="16"/>
        </w:rPr>
        <w:footnoteRef/>
      </w:r>
      <w:r w:rsidRPr="009B2BA2">
        <w:rPr>
          <w:rFonts w:asciiTheme="majorHAnsi" w:hAnsiTheme="majorHAnsi" w:cstheme="majorHAnsi"/>
          <w:sz w:val="16"/>
          <w:szCs w:val="16"/>
        </w:rPr>
        <w:t xml:space="preserve"> </w:t>
      </w:r>
      <w:r w:rsidRPr="009B2BA2">
        <w:rPr>
          <w:rFonts w:asciiTheme="majorHAnsi" w:hAnsiTheme="majorHAnsi" w:cstheme="majorHAnsi"/>
          <w:sz w:val="16"/>
          <w:szCs w:val="16"/>
        </w:rPr>
        <w:t>Angajații OT din jurisdicția orașelor Chișinău, Bălți și Comrat estimează venitul global al beneficiarului pe perioada ultimelor 6 luni și îl raportează la numărul de luni (6); angajații OT Cahul, în funcție de sursa venitului, estimează valoarea lunară a acestuia, ulterior însumând rezultatele pentru a afla nivelul mediu al venitului beneficiarului.</w:t>
      </w:r>
    </w:p>
  </w:footnote>
  <w:footnote w:id="34">
    <w:p w14:paraId="300F180E" w14:textId="77777777" w:rsidR="003A2B47" w:rsidRPr="00AA6783" w:rsidRDefault="003A2B47" w:rsidP="00EF4BBE">
      <w:pPr>
        <w:pStyle w:val="FootnoteText"/>
        <w:jc w:val="both"/>
        <w:rPr>
          <w:rFonts w:asciiTheme="majorHAnsi" w:hAnsiTheme="majorHAnsi" w:cstheme="majorHAnsi"/>
          <w:sz w:val="16"/>
          <w:szCs w:val="16"/>
        </w:rPr>
      </w:pPr>
      <w:r w:rsidRPr="00AA6783">
        <w:rPr>
          <w:rStyle w:val="FootnoteReference"/>
          <w:rFonts w:asciiTheme="majorHAnsi" w:hAnsiTheme="majorHAnsi" w:cstheme="majorHAnsi"/>
          <w:sz w:val="16"/>
          <w:szCs w:val="16"/>
        </w:rPr>
        <w:footnoteRef/>
      </w:r>
      <w:r w:rsidRPr="00AA6783">
        <w:rPr>
          <w:rFonts w:asciiTheme="majorHAnsi" w:hAnsiTheme="majorHAnsi" w:cstheme="majorHAnsi"/>
          <w:sz w:val="16"/>
          <w:szCs w:val="16"/>
        </w:rPr>
        <w:t xml:space="preserve"> </w:t>
      </w:r>
      <w:r w:rsidRPr="00AA6783">
        <w:rPr>
          <w:rFonts w:asciiTheme="majorHAnsi" w:hAnsiTheme="majorHAnsi" w:cstheme="majorHAnsi"/>
          <w:sz w:val="16"/>
          <w:szCs w:val="16"/>
        </w:rPr>
        <w:t>Dintre care: OT Chișinău – 33 decizii, OT Bălți – 18 decizii, OT Cahul – 17 decizii, OT Comrat – 2 decizii.</w:t>
      </w:r>
    </w:p>
  </w:footnote>
  <w:footnote w:id="35">
    <w:p w14:paraId="3D6FFA90" w14:textId="30478D71" w:rsidR="003A2B47" w:rsidRPr="00AA6783" w:rsidRDefault="003A2B47">
      <w:pPr>
        <w:pStyle w:val="FootnoteText"/>
        <w:rPr>
          <w:sz w:val="16"/>
          <w:szCs w:val="16"/>
        </w:rPr>
      </w:pPr>
      <w:r w:rsidRPr="00AA6783">
        <w:rPr>
          <w:rStyle w:val="FootnoteReference"/>
          <w:sz w:val="16"/>
          <w:szCs w:val="16"/>
        </w:rPr>
        <w:footnoteRef/>
      </w:r>
      <w:r w:rsidRPr="00AA6783">
        <w:rPr>
          <w:sz w:val="16"/>
          <w:szCs w:val="16"/>
        </w:rPr>
        <w:t xml:space="preserve"> </w:t>
      </w:r>
      <w:r>
        <w:rPr>
          <w:sz w:val="16"/>
          <w:szCs w:val="16"/>
        </w:rPr>
        <w:t xml:space="preserve">Amplasate în satul Mihailovca, </w:t>
      </w:r>
      <w:proofErr w:type="spellStart"/>
      <w:r>
        <w:rPr>
          <w:sz w:val="16"/>
          <w:szCs w:val="16"/>
        </w:rPr>
        <w:t>rn</w:t>
      </w:r>
      <w:proofErr w:type="spellEnd"/>
      <w:r>
        <w:rPr>
          <w:sz w:val="16"/>
          <w:szCs w:val="16"/>
        </w:rPr>
        <w:t xml:space="preserve">. </w:t>
      </w:r>
      <w:proofErr w:type="spellStart"/>
      <w:r>
        <w:rPr>
          <w:sz w:val="16"/>
          <w:szCs w:val="16"/>
        </w:rPr>
        <w:t>Sîngerei</w:t>
      </w:r>
      <w:proofErr w:type="spellEnd"/>
      <w:r>
        <w:rPr>
          <w:sz w:val="16"/>
          <w:szCs w:val="16"/>
        </w:rPr>
        <w:t>.</w:t>
      </w:r>
    </w:p>
  </w:footnote>
  <w:footnote w:id="36">
    <w:p w14:paraId="4E1A9E69" w14:textId="77777777" w:rsidR="003A2B47" w:rsidRPr="00AA6783" w:rsidRDefault="003A2B47" w:rsidP="00EF4BBE">
      <w:pPr>
        <w:pStyle w:val="FootnoteText"/>
        <w:jc w:val="both"/>
        <w:rPr>
          <w:rFonts w:asciiTheme="majorHAnsi" w:hAnsiTheme="majorHAnsi" w:cstheme="majorHAnsi"/>
          <w:sz w:val="16"/>
          <w:szCs w:val="16"/>
        </w:rPr>
      </w:pPr>
      <w:r w:rsidRPr="00AA6783">
        <w:rPr>
          <w:rStyle w:val="FootnoteReference"/>
          <w:rFonts w:asciiTheme="majorHAnsi" w:hAnsiTheme="majorHAnsi" w:cstheme="majorHAnsi"/>
          <w:sz w:val="16"/>
          <w:szCs w:val="16"/>
        </w:rPr>
        <w:footnoteRef/>
      </w:r>
      <w:r w:rsidRPr="00AA6783">
        <w:rPr>
          <w:rFonts w:asciiTheme="majorHAnsi" w:hAnsiTheme="majorHAnsi" w:cstheme="majorHAnsi"/>
          <w:sz w:val="16"/>
          <w:szCs w:val="16"/>
        </w:rPr>
        <w:t xml:space="preserve"> </w:t>
      </w:r>
      <w:r w:rsidRPr="00AA6783">
        <w:rPr>
          <w:rFonts w:asciiTheme="majorHAnsi" w:hAnsiTheme="majorHAnsi" w:cstheme="majorHAnsi"/>
          <w:sz w:val="16"/>
          <w:szCs w:val="16"/>
        </w:rPr>
        <w:t>Admise atât de către reprezentanții organelor de urmărire penală sau ai instanțelor judecătorești, cât și angajații oficiilor teritoriale.</w:t>
      </w:r>
    </w:p>
  </w:footnote>
  <w:footnote w:id="37">
    <w:p w14:paraId="6E3C0D5D" w14:textId="542E7932" w:rsidR="003A2B47" w:rsidRPr="00834071" w:rsidRDefault="003A2B47" w:rsidP="00FD339F">
      <w:pPr>
        <w:pStyle w:val="FootnoteText"/>
        <w:jc w:val="both"/>
        <w:rPr>
          <w:rFonts w:asciiTheme="majorHAnsi" w:hAnsiTheme="majorHAnsi" w:cstheme="majorHAnsi"/>
          <w:sz w:val="16"/>
          <w:szCs w:val="16"/>
        </w:rPr>
      </w:pPr>
      <w:r w:rsidRPr="00AA6783">
        <w:rPr>
          <w:rStyle w:val="FootnoteReference"/>
          <w:rFonts w:asciiTheme="majorHAnsi" w:hAnsiTheme="majorHAnsi" w:cstheme="majorHAnsi"/>
          <w:sz w:val="16"/>
          <w:szCs w:val="16"/>
        </w:rPr>
        <w:footnoteRef/>
      </w:r>
      <w:r w:rsidRPr="00AA6783">
        <w:rPr>
          <w:rFonts w:asciiTheme="majorHAnsi" w:hAnsiTheme="majorHAnsi" w:cstheme="majorHAnsi"/>
          <w:sz w:val="16"/>
          <w:szCs w:val="16"/>
        </w:rPr>
        <w:t xml:space="preserve"> </w:t>
      </w:r>
      <w:r w:rsidRPr="00AA6783">
        <w:rPr>
          <w:rFonts w:asciiTheme="majorHAnsi" w:hAnsiTheme="majorHAnsi" w:cstheme="majorHAnsi"/>
          <w:sz w:val="16"/>
          <w:szCs w:val="16"/>
        </w:rPr>
        <w:t>Hotărârea CNAJGS nr. 33 din 27.12.2017 cu privire Ia stabilirea volumului de lucru atribuit avocaților publici, cu modificările ulterioare.</w:t>
      </w:r>
    </w:p>
  </w:footnote>
  <w:footnote w:id="38">
    <w:p w14:paraId="10D9A638" w14:textId="27D22B0D"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A</w:t>
      </w:r>
      <w:r w:rsidRPr="003F7196">
        <w:rPr>
          <w:rFonts w:asciiTheme="majorHAnsi" w:hAnsiTheme="majorHAnsi" w:cstheme="majorHAnsi"/>
          <w:sz w:val="16"/>
          <w:szCs w:val="16"/>
        </w:rPr>
        <w:t xml:space="preserve">rt. 27 alin. (2) din Legea </w:t>
      </w:r>
      <w:r>
        <w:rPr>
          <w:rFonts w:asciiTheme="majorHAnsi" w:hAnsiTheme="majorHAnsi" w:cstheme="majorHAnsi"/>
          <w:sz w:val="16"/>
          <w:szCs w:val="16"/>
        </w:rPr>
        <w:t>nr.</w:t>
      </w:r>
      <w:r w:rsidRPr="003F7196">
        <w:rPr>
          <w:rFonts w:asciiTheme="majorHAnsi" w:hAnsiTheme="majorHAnsi" w:cstheme="majorHAnsi"/>
          <w:sz w:val="16"/>
          <w:szCs w:val="16"/>
        </w:rPr>
        <w:t>198/2007, pct. 8 lit. a) din Regulamentul funcționării OT ale CNAJGS</w:t>
      </w:r>
      <w:r>
        <w:rPr>
          <w:rFonts w:asciiTheme="majorHAnsi" w:hAnsiTheme="majorHAnsi" w:cstheme="majorHAnsi"/>
          <w:sz w:val="16"/>
          <w:szCs w:val="16"/>
        </w:rPr>
        <w:t>,</w:t>
      </w:r>
      <w:r w:rsidRPr="003F7196">
        <w:rPr>
          <w:rFonts w:asciiTheme="majorHAnsi" w:hAnsiTheme="majorHAnsi" w:cstheme="majorHAnsi"/>
          <w:sz w:val="16"/>
          <w:szCs w:val="16"/>
        </w:rPr>
        <w:t xml:space="preserve"> aprobat prin Hotărârea CNAJGS nr. 15/2008.</w:t>
      </w:r>
    </w:p>
  </w:footnote>
  <w:footnote w:id="39">
    <w:p w14:paraId="08CA6885" w14:textId="44CA6B57"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Verificările</w:t>
      </w:r>
      <w:r w:rsidRPr="003F7196">
        <w:rPr>
          <w:rFonts w:asciiTheme="majorHAnsi" w:hAnsiTheme="majorHAnsi" w:cstheme="majorHAnsi"/>
          <w:sz w:val="16"/>
          <w:szCs w:val="16"/>
          <w:lang w:val="ro-RO"/>
        </w:rPr>
        <w:t xml:space="preserve"> de audit la acest aspect s-au concentrat asupra datelor statistice aferente anului 2021</w:t>
      </w:r>
      <w:r>
        <w:rPr>
          <w:rFonts w:asciiTheme="majorHAnsi" w:hAnsiTheme="majorHAnsi" w:cstheme="majorHAnsi"/>
          <w:sz w:val="16"/>
          <w:szCs w:val="16"/>
          <w:lang w:val="ro-RO"/>
        </w:rPr>
        <w:t>,</w:t>
      </w:r>
      <w:r w:rsidRPr="003F7196">
        <w:rPr>
          <w:rFonts w:asciiTheme="majorHAnsi" w:hAnsiTheme="majorHAnsi" w:cstheme="majorHAnsi"/>
          <w:sz w:val="16"/>
          <w:szCs w:val="16"/>
          <w:lang w:val="ro-RO"/>
        </w:rPr>
        <w:t xml:space="preserve"> întrucât la momentul exercitării auditului informația pentru anul 2022 era în prelucrare.   </w:t>
      </w:r>
    </w:p>
  </w:footnote>
  <w:footnote w:id="40">
    <w:p w14:paraId="5818764E" w14:textId="49677907" w:rsidR="003A2B47" w:rsidRPr="003F7196" w:rsidRDefault="003A2B47" w:rsidP="00FD339F">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lang w:val="ro-RO"/>
        </w:rPr>
        <w:t>Din cei 19 avocați</w:t>
      </w:r>
      <w:r>
        <w:rPr>
          <w:rFonts w:asciiTheme="majorHAnsi" w:hAnsiTheme="majorHAnsi" w:cstheme="majorHAnsi"/>
          <w:sz w:val="16"/>
          <w:szCs w:val="16"/>
          <w:lang w:val="ro-RO"/>
        </w:rPr>
        <w:t>,</w:t>
      </w:r>
      <w:r w:rsidRPr="003F7196">
        <w:rPr>
          <w:rFonts w:asciiTheme="majorHAnsi" w:hAnsiTheme="majorHAnsi" w:cstheme="majorHAnsi"/>
          <w:sz w:val="16"/>
          <w:szCs w:val="16"/>
          <w:lang w:val="ro-RO"/>
        </w:rPr>
        <w:t xml:space="preserve"> doar întru-un caz OT Chișinău a solicitat unui avocat să preia spre acordare a asistenței juridice calificate 4 cazuri obținând tot atâtea refuzuri din partea acestuia.  </w:t>
      </w:r>
      <w:r w:rsidRPr="003F7196">
        <w:rPr>
          <w:rFonts w:asciiTheme="majorHAnsi" w:hAnsiTheme="majorHAnsi" w:cstheme="majorHAnsi"/>
          <w:sz w:val="16"/>
          <w:szCs w:val="16"/>
        </w:rPr>
        <w:t xml:space="preserve"> </w:t>
      </w:r>
    </w:p>
  </w:footnote>
  <w:footnote w:id="41">
    <w:p w14:paraId="3D7F6CD2" w14:textId="7F0433CB" w:rsidR="003A2B47" w:rsidRPr="00C51D86" w:rsidRDefault="003A2B47" w:rsidP="00A574D4">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Pr>
          <w:rFonts w:asciiTheme="majorHAnsi" w:hAnsiTheme="majorHAnsi" w:cstheme="majorHAnsi"/>
          <w:sz w:val="16"/>
          <w:szCs w:val="16"/>
        </w:rPr>
        <w:t xml:space="preserve">În </w:t>
      </w:r>
      <w:r w:rsidRPr="00C51D86">
        <w:rPr>
          <w:rFonts w:asciiTheme="majorHAnsi" w:hAnsiTheme="majorHAnsi" w:cstheme="majorHAnsi"/>
          <w:sz w:val="16"/>
          <w:szCs w:val="16"/>
        </w:rPr>
        <w:t>cei 39 de avocați sunt incluși și avocații care au fost desemnați de OT Comrat din rândul celor care nu sunt înscriși în lista avocaților care acordă asistență juridică la cerere, al cărui birou își are sediul în raza de activitate a oficiului teritorial respectiv, ca urmare a lipsei avocaților specializați în lista deținută de OT Comrat. Acest drept este oferit coordonatorilor potrivit pct. 31</w:t>
      </w:r>
      <w:r w:rsidRPr="00C51D86">
        <w:rPr>
          <w:rFonts w:asciiTheme="majorHAnsi" w:hAnsiTheme="majorHAnsi" w:cstheme="majorHAnsi"/>
          <w:sz w:val="16"/>
          <w:szCs w:val="16"/>
          <w:vertAlign w:val="superscript"/>
        </w:rPr>
        <w:t xml:space="preserve">1 </w:t>
      </w:r>
      <w:r w:rsidRPr="00C51D86">
        <w:rPr>
          <w:rFonts w:asciiTheme="majorHAnsi" w:hAnsiTheme="majorHAnsi" w:cstheme="majorHAnsi"/>
          <w:sz w:val="16"/>
          <w:szCs w:val="16"/>
        </w:rPr>
        <w:t>din Legea nr.198/2007.</w:t>
      </w:r>
    </w:p>
  </w:footnote>
  <w:footnote w:id="42">
    <w:p w14:paraId="5C7E9000" w14:textId="3426357C" w:rsidR="003A2B47" w:rsidRPr="004C68F1" w:rsidRDefault="003A2B47" w:rsidP="004C68F1">
      <w:pPr>
        <w:pStyle w:val="FootnoteText"/>
        <w:jc w:val="both"/>
        <w:rPr>
          <w:rFonts w:cstheme="minorHAnsi"/>
          <w:sz w:val="16"/>
          <w:szCs w:val="16"/>
        </w:rPr>
      </w:pPr>
      <w:r w:rsidRPr="004C68F1">
        <w:rPr>
          <w:rStyle w:val="FootnoteReference"/>
          <w:rFonts w:cstheme="minorHAnsi"/>
          <w:sz w:val="16"/>
          <w:szCs w:val="16"/>
        </w:rPr>
        <w:footnoteRef/>
      </w:r>
      <w:r w:rsidRPr="004C68F1">
        <w:rPr>
          <w:rFonts w:cstheme="minorHAnsi"/>
          <w:sz w:val="16"/>
          <w:szCs w:val="16"/>
        </w:rPr>
        <w:t xml:space="preserve"> </w:t>
      </w:r>
      <w:r w:rsidRPr="004C68F1">
        <w:rPr>
          <w:rFonts w:cstheme="minorHAnsi"/>
          <w:sz w:val="16"/>
          <w:szCs w:val="16"/>
        </w:rPr>
        <w:t xml:space="preserve">OT Chișinău – 8 avocați publici au preluat de la 67 la 72 de cazuri de acordare a AJGS; OT Bălți și OT Comrat – în care activează câte un avocat public și care au gestionat, respectiv, 72 și 117 cazuri, și OT Cahul – doi avocați publici care au acordat servicii juridice a câte 31 și, respectiv, 51 de   dosare. </w:t>
      </w:r>
    </w:p>
  </w:footnote>
  <w:footnote w:id="43">
    <w:p w14:paraId="01F0E261" w14:textId="4BACF19A" w:rsidR="003A2B47" w:rsidRDefault="003A2B47" w:rsidP="004C68F1">
      <w:pPr>
        <w:pStyle w:val="FootnoteText"/>
        <w:jc w:val="both"/>
      </w:pPr>
      <w:r w:rsidRPr="004C68F1">
        <w:rPr>
          <w:rStyle w:val="FootnoteReference"/>
          <w:rFonts w:cstheme="minorHAnsi"/>
          <w:sz w:val="16"/>
          <w:szCs w:val="16"/>
        </w:rPr>
        <w:footnoteRef/>
      </w:r>
      <w:r w:rsidRPr="004C68F1">
        <w:rPr>
          <w:rFonts w:cstheme="minorHAnsi"/>
          <w:sz w:val="16"/>
          <w:szCs w:val="16"/>
        </w:rPr>
        <w:t xml:space="preserve"> </w:t>
      </w:r>
      <w:r w:rsidRPr="004C68F1">
        <w:rPr>
          <w:rFonts w:cstheme="minorHAnsi"/>
          <w:sz w:val="16"/>
          <w:szCs w:val="16"/>
        </w:rPr>
        <w:t>Informativ: persoana respectivă în anul 2020 a fost remunerată cu suma de 233,8 mii lei și în anul 2021 – 362,8 mii lei.</w:t>
      </w:r>
      <w:r>
        <w:t xml:space="preserve"> </w:t>
      </w:r>
    </w:p>
  </w:footnote>
  <w:footnote w:id="44">
    <w:p w14:paraId="7E67366C" w14:textId="25731692" w:rsidR="003A2B47" w:rsidRPr="003F7196" w:rsidRDefault="003A2B47" w:rsidP="00B907A3">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17489E">
        <w:rPr>
          <w:rFonts w:asciiTheme="majorHAnsi" w:hAnsiTheme="majorHAnsi" w:cstheme="majorHAnsi"/>
          <w:sz w:val="16"/>
          <w:szCs w:val="16"/>
        </w:rPr>
        <w:t>Hotărârea CNAJGS nr. 22 din 29.12.2008 „Cu privire la aprobarea Regulamentului cu privire la mărimea și modul de remunerare a avocaților pentru acordarea asistenței juridice calificate garantate de stat”, cu modificările ulterioare (în continuare – Regulamentul de remunerare a avocaților la cerere); Hotărârea CNAJGS nr. 18 din 15.11.2010 „Cu privire la interpretarea pct. 3 alin.(1) din Regulamentul cu privire la mărimea și modul de remunerare a avocaților pentru acordarea asistenței juridice calificate garantate de stat.</w:t>
      </w:r>
    </w:p>
  </w:footnote>
  <w:footnote w:id="45">
    <w:p w14:paraId="589FD90D" w14:textId="76627B8E" w:rsidR="003A2B47" w:rsidRPr="003F7196" w:rsidRDefault="003A2B47" w:rsidP="00B907A3">
      <w:pPr>
        <w:pStyle w:val="FootnoteText"/>
        <w:jc w:val="both"/>
        <w:rPr>
          <w:rFonts w:asciiTheme="majorHAnsi" w:hAnsiTheme="majorHAnsi" w:cstheme="majorHAnsi"/>
          <w:sz w:val="16"/>
          <w:szCs w:val="16"/>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Hotărârea CNAJGS nr.6 din 27.04.2021</w:t>
      </w:r>
      <w:r>
        <w:rPr>
          <w:rFonts w:asciiTheme="majorHAnsi" w:hAnsiTheme="majorHAnsi" w:cstheme="majorHAnsi"/>
          <w:sz w:val="16"/>
          <w:szCs w:val="16"/>
        </w:rPr>
        <w:t>,</w:t>
      </w:r>
      <w:r w:rsidRPr="003F7196">
        <w:rPr>
          <w:rFonts w:asciiTheme="majorHAnsi" w:hAnsiTheme="majorHAnsi" w:cstheme="majorHAnsi"/>
          <w:sz w:val="16"/>
          <w:szCs w:val="16"/>
        </w:rPr>
        <w:t xml:space="preserve"> prin care s-a stabilit cuantumul remunerației fixe lunare a avocaților publici în valoare de 13</w:t>
      </w:r>
      <w:r>
        <w:rPr>
          <w:rFonts w:asciiTheme="majorHAnsi" w:hAnsiTheme="majorHAnsi" w:cstheme="majorHAnsi"/>
          <w:sz w:val="16"/>
          <w:szCs w:val="16"/>
        </w:rPr>
        <w:t>.</w:t>
      </w:r>
      <w:r w:rsidRPr="003F7196">
        <w:rPr>
          <w:rFonts w:asciiTheme="majorHAnsi" w:hAnsiTheme="majorHAnsi" w:cstheme="majorHAnsi"/>
          <w:sz w:val="16"/>
          <w:szCs w:val="16"/>
        </w:rPr>
        <w:t>570,0 lei</w:t>
      </w:r>
      <w:r>
        <w:rPr>
          <w:rFonts w:asciiTheme="majorHAnsi" w:hAnsiTheme="majorHAnsi" w:cstheme="majorHAnsi"/>
          <w:sz w:val="16"/>
          <w:szCs w:val="16"/>
        </w:rPr>
        <w:t>.</w:t>
      </w:r>
    </w:p>
  </w:footnote>
  <w:footnote w:id="46">
    <w:p w14:paraId="07569F78" w14:textId="10EFA25B" w:rsidR="003A2B47" w:rsidRPr="003F7196" w:rsidRDefault="003A2B47" w:rsidP="00B907A3">
      <w:pPr>
        <w:pStyle w:val="FootnoteText"/>
        <w:jc w:val="both"/>
        <w:rPr>
          <w:rFonts w:asciiTheme="majorHAnsi" w:hAnsiTheme="majorHAnsi" w:cstheme="majorHAnsi"/>
        </w:rPr>
      </w:pPr>
      <w:r w:rsidRPr="003F7196">
        <w:rPr>
          <w:rStyle w:val="FootnoteReference"/>
          <w:rFonts w:asciiTheme="majorHAnsi" w:hAnsiTheme="majorHAnsi" w:cstheme="majorHAnsi"/>
          <w:sz w:val="16"/>
          <w:szCs w:val="16"/>
        </w:rPr>
        <w:footnoteRef/>
      </w:r>
      <w:r w:rsidRPr="003F7196">
        <w:rPr>
          <w:rFonts w:asciiTheme="majorHAnsi" w:hAnsiTheme="majorHAnsi" w:cstheme="majorHAnsi"/>
          <w:sz w:val="16"/>
          <w:szCs w:val="16"/>
        </w:rPr>
        <w:t xml:space="preserve"> </w:t>
      </w:r>
      <w:r w:rsidRPr="003F7196">
        <w:rPr>
          <w:rFonts w:asciiTheme="majorHAnsi" w:hAnsiTheme="majorHAnsi" w:cstheme="majorHAnsi"/>
          <w:sz w:val="16"/>
          <w:szCs w:val="16"/>
        </w:rPr>
        <w:t>Hotărârea CNAJGS nr.23 din 27.12.2018</w:t>
      </w:r>
      <w:r>
        <w:rPr>
          <w:rFonts w:asciiTheme="majorHAnsi" w:hAnsiTheme="majorHAnsi" w:cstheme="majorHAnsi"/>
          <w:sz w:val="16"/>
          <w:szCs w:val="16"/>
        </w:rPr>
        <w:t>,</w:t>
      </w:r>
      <w:r w:rsidRPr="003F7196">
        <w:rPr>
          <w:rFonts w:asciiTheme="majorHAnsi" w:hAnsiTheme="majorHAnsi" w:cstheme="majorHAnsi"/>
          <w:sz w:val="16"/>
          <w:szCs w:val="16"/>
        </w:rPr>
        <w:t xml:space="preserve"> prin care s-a dispus majorare</w:t>
      </w:r>
      <w:r>
        <w:rPr>
          <w:rFonts w:asciiTheme="majorHAnsi" w:hAnsiTheme="majorHAnsi" w:cstheme="majorHAnsi"/>
          <w:sz w:val="16"/>
          <w:szCs w:val="16"/>
        </w:rPr>
        <w:t>a</w:t>
      </w:r>
      <w:r w:rsidRPr="003F7196">
        <w:rPr>
          <w:rFonts w:asciiTheme="majorHAnsi" w:hAnsiTheme="majorHAnsi" w:cstheme="majorHAnsi"/>
          <w:sz w:val="16"/>
          <w:szCs w:val="16"/>
        </w:rPr>
        <w:t xml:space="preserve"> unității convenționale de la 20 la 30 lei; Hotărârea CNAJGS nr.7 din 17.01.2020 – s-a majorat de la 30 la 40 lei</w:t>
      </w:r>
      <w:r>
        <w:rPr>
          <w:rFonts w:asciiTheme="majorHAnsi" w:hAnsiTheme="majorHAnsi" w:cstheme="majorHAnsi"/>
          <w:sz w:val="16"/>
          <w:szCs w:val="16"/>
        </w:rPr>
        <w:t>;</w:t>
      </w:r>
      <w:r w:rsidRPr="003F7196">
        <w:rPr>
          <w:rFonts w:asciiTheme="majorHAnsi" w:hAnsiTheme="majorHAnsi" w:cstheme="majorHAnsi"/>
          <w:sz w:val="16"/>
          <w:szCs w:val="16"/>
        </w:rPr>
        <w:t xml:space="preserve"> și Hotărârea CNAJGS nr.3 din 18.02.2021</w:t>
      </w:r>
      <w:r>
        <w:rPr>
          <w:rFonts w:asciiTheme="majorHAnsi" w:hAnsiTheme="majorHAnsi" w:cstheme="majorHAnsi"/>
          <w:sz w:val="16"/>
          <w:szCs w:val="16"/>
        </w:rPr>
        <w:t>,</w:t>
      </w:r>
      <w:r w:rsidRPr="003F7196">
        <w:rPr>
          <w:rFonts w:asciiTheme="majorHAnsi" w:hAnsiTheme="majorHAnsi" w:cstheme="majorHAnsi"/>
          <w:sz w:val="16"/>
          <w:szCs w:val="16"/>
        </w:rPr>
        <w:t xml:space="preserve"> prin care s-a efectuat ultima majorare a valorii unității convenționale achitate per activitate exercitată de către avocați, de la 40 la 50 lei.</w:t>
      </w:r>
    </w:p>
  </w:footnote>
  <w:footnote w:id="47">
    <w:p w14:paraId="2130669C" w14:textId="77777777" w:rsidR="003A2B47" w:rsidRPr="002E3358" w:rsidRDefault="003A2B47" w:rsidP="00B907A3">
      <w:pPr>
        <w:pStyle w:val="FootnoteText"/>
        <w:jc w:val="both"/>
        <w:rPr>
          <w:rFonts w:asciiTheme="majorHAnsi" w:hAnsiTheme="majorHAnsi" w:cstheme="majorHAnsi"/>
          <w:sz w:val="16"/>
          <w:szCs w:val="16"/>
          <w:lang w:val="ro-RO"/>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Hotărârea CNAJGS nr.9 din 29.03.2019 „Cu privire la raportarea online obligatorie a avocaților care acordă asistență juridică garantată de stat”.</w:t>
      </w:r>
    </w:p>
  </w:footnote>
  <w:footnote w:id="48">
    <w:p w14:paraId="58DD21FF"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Pct. 20 din Regulamentul de remunerare a avocaților.</w:t>
      </w:r>
    </w:p>
  </w:footnote>
  <w:footnote w:id="49">
    <w:p w14:paraId="366E1DBC" w14:textId="67E610D0"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Lipsa încheierilor/hotărârilor instanțelor de judecată la care a participat avocatul, care urmau a fi anexate</w:t>
      </w:r>
      <w:r>
        <w:rPr>
          <w:rFonts w:asciiTheme="majorHAnsi" w:hAnsiTheme="majorHAnsi" w:cstheme="majorHAnsi"/>
          <w:sz w:val="16"/>
          <w:szCs w:val="16"/>
        </w:rPr>
        <w:t xml:space="preserve"> la dosar.</w:t>
      </w:r>
    </w:p>
  </w:footnote>
  <w:footnote w:id="50">
    <w:p w14:paraId="397796EE" w14:textId="1BAAC16C"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Hotărârea CNAJGS nr.40 din 16.12.2013 </w:t>
      </w:r>
      <w:r>
        <w:rPr>
          <w:rFonts w:asciiTheme="majorHAnsi" w:hAnsiTheme="majorHAnsi" w:cstheme="majorHAnsi"/>
          <w:sz w:val="16"/>
          <w:szCs w:val="16"/>
        </w:rPr>
        <w:t>„</w:t>
      </w:r>
      <w:r w:rsidRPr="002E3358">
        <w:rPr>
          <w:rFonts w:asciiTheme="majorHAnsi" w:hAnsiTheme="majorHAnsi" w:cstheme="majorHAnsi"/>
          <w:sz w:val="16"/>
          <w:szCs w:val="16"/>
        </w:rPr>
        <w:t>Cu privire la aprobarea modelului dosarului în apărare pe cauză, ținut de către avocați</w:t>
      </w:r>
      <w:r>
        <w:rPr>
          <w:rFonts w:asciiTheme="majorHAnsi" w:hAnsiTheme="majorHAnsi" w:cstheme="majorHAnsi"/>
          <w:sz w:val="16"/>
          <w:szCs w:val="16"/>
        </w:rPr>
        <w:t>i</w:t>
      </w:r>
      <w:r w:rsidRPr="002E3358">
        <w:rPr>
          <w:rFonts w:asciiTheme="majorHAnsi" w:hAnsiTheme="majorHAnsi" w:cstheme="majorHAnsi"/>
          <w:sz w:val="16"/>
          <w:szCs w:val="16"/>
        </w:rPr>
        <w:t xml:space="preserve"> care acordă asistență juridică garantată de stat</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51">
    <w:p w14:paraId="3BE5F5F0"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Decizia nr.1892/ACP din 03.02.2022; Decizia nr. 20764/ACP din 29.12.2021; Decizia nr. 19392/ACP din 03.12.2021.</w:t>
      </w:r>
    </w:p>
  </w:footnote>
  <w:footnote w:id="52">
    <w:p w14:paraId="0018CAFD"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Decizia Curții de Apel Chișinău din 25.08.2022.</w:t>
      </w:r>
    </w:p>
  </w:footnote>
  <w:footnote w:id="53">
    <w:p w14:paraId="522FF45F"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Decizia de acordare a AJGS nr. 14414/ACP din 25.08.2022.</w:t>
      </w:r>
    </w:p>
  </w:footnote>
  <w:footnote w:id="54">
    <w:p w14:paraId="14BEBDA7"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Decizia nr. 408/ACC din 23.02.2022.</w:t>
      </w:r>
    </w:p>
  </w:footnote>
  <w:footnote w:id="55">
    <w:p w14:paraId="747E6850" w14:textId="43A928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Procesul</w:t>
      </w:r>
      <w:r>
        <w:rPr>
          <w:rFonts w:asciiTheme="majorHAnsi" w:hAnsiTheme="majorHAnsi" w:cstheme="majorHAnsi"/>
          <w:sz w:val="16"/>
          <w:szCs w:val="16"/>
        </w:rPr>
        <w:t>-</w:t>
      </w:r>
      <w:r w:rsidRPr="002E3358">
        <w:rPr>
          <w:rFonts w:asciiTheme="majorHAnsi" w:hAnsiTheme="majorHAnsi" w:cstheme="majorHAnsi"/>
          <w:sz w:val="16"/>
          <w:szCs w:val="16"/>
        </w:rPr>
        <w:t>verbal al ședinței de judecată din 20.04.2022.</w:t>
      </w:r>
    </w:p>
  </w:footnote>
  <w:footnote w:id="56">
    <w:p w14:paraId="3074AB31"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Raportul de acordarea a AJGS nr.10602 din 20.04.2022.</w:t>
      </w:r>
    </w:p>
  </w:footnote>
  <w:footnote w:id="57">
    <w:p w14:paraId="06D84076" w14:textId="77777777"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Procesul-verbal al ședinței de judecată din 20.04.2022.</w:t>
      </w:r>
    </w:p>
  </w:footnote>
  <w:footnote w:id="58">
    <w:p w14:paraId="312D9130" w14:textId="5ECC5098"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Din procesul</w:t>
      </w:r>
      <w:r>
        <w:rPr>
          <w:rFonts w:asciiTheme="majorHAnsi" w:hAnsiTheme="majorHAnsi" w:cstheme="majorHAnsi"/>
          <w:sz w:val="16"/>
          <w:szCs w:val="16"/>
        </w:rPr>
        <w:t>-</w:t>
      </w:r>
      <w:r w:rsidRPr="002E3358">
        <w:rPr>
          <w:rFonts w:asciiTheme="majorHAnsi" w:hAnsiTheme="majorHAnsi" w:cstheme="majorHAnsi"/>
          <w:sz w:val="16"/>
          <w:szCs w:val="16"/>
        </w:rPr>
        <w:t xml:space="preserve">verbal al ședinței de judecată din 20.04.2022 se atestă că </w:t>
      </w:r>
      <w:r>
        <w:rPr>
          <w:rFonts w:asciiTheme="majorHAnsi" w:hAnsiTheme="majorHAnsi" w:cstheme="majorHAnsi"/>
          <w:sz w:val="16"/>
          <w:szCs w:val="16"/>
        </w:rPr>
        <w:t>i</w:t>
      </w:r>
      <w:r w:rsidRPr="002E3358">
        <w:rPr>
          <w:rFonts w:asciiTheme="majorHAnsi" w:hAnsiTheme="majorHAnsi" w:cstheme="majorHAnsi"/>
          <w:sz w:val="16"/>
          <w:szCs w:val="16"/>
        </w:rPr>
        <w:t>nstanța de judecată era inițiată privind existența desemnării unui alt avocat, acesta fiind citat legal.</w:t>
      </w:r>
    </w:p>
  </w:footnote>
  <w:footnote w:id="59">
    <w:p w14:paraId="3C279942" w14:textId="47889431"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Hotărârea </w:t>
      </w:r>
      <w:r w:rsidRPr="004C55F0">
        <w:rPr>
          <w:rFonts w:asciiTheme="majorHAnsi" w:hAnsiTheme="majorHAnsi" w:cstheme="majorHAnsi"/>
          <w:sz w:val="16"/>
          <w:szCs w:val="16"/>
        </w:rPr>
        <w:t>CNAJGS</w:t>
      </w:r>
      <w:r w:rsidRPr="00BE408F">
        <w:rPr>
          <w:rFonts w:asciiTheme="majorHAnsi" w:hAnsiTheme="majorHAnsi" w:cstheme="majorHAnsi"/>
          <w:sz w:val="16"/>
          <w:szCs w:val="16"/>
        </w:rPr>
        <w:t xml:space="preserve"> </w:t>
      </w:r>
      <w:r w:rsidRPr="002E3358">
        <w:rPr>
          <w:rFonts w:asciiTheme="majorHAnsi" w:hAnsiTheme="majorHAnsi" w:cstheme="majorHAnsi"/>
          <w:sz w:val="16"/>
          <w:szCs w:val="16"/>
        </w:rPr>
        <w:t xml:space="preserve">nr.22 din 19.12.2018 </w:t>
      </w:r>
      <w:r>
        <w:rPr>
          <w:rFonts w:asciiTheme="majorHAnsi" w:hAnsiTheme="majorHAnsi" w:cstheme="majorHAnsi"/>
          <w:sz w:val="16"/>
          <w:szCs w:val="16"/>
        </w:rPr>
        <w:t>„P</w:t>
      </w:r>
      <w:r w:rsidRPr="002E3358">
        <w:rPr>
          <w:rFonts w:asciiTheme="majorHAnsi" w:hAnsiTheme="majorHAnsi" w:cstheme="majorHAnsi"/>
          <w:sz w:val="16"/>
          <w:szCs w:val="16"/>
        </w:rPr>
        <w:t>rivind aprobarea Regulamentului cu privire la mărimea și modul de remunerare a avocaților pentru acordarea asistenței juridice calificate garantate de stat</w:t>
      </w:r>
      <w:r>
        <w:rPr>
          <w:rFonts w:asciiTheme="majorHAnsi" w:hAnsiTheme="majorHAnsi" w:cstheme="majorHAnsi"/>
          <w:sz w:val="16"/>
          <w:szCs w:val="16"/>
        </w:rPr>
        <w:t>”</w:t>
      </w:r>
      <w:r w:rsidRPr="002E3358">
        <w:rPr>
          <w:rFonts w:asciiTheme="majorHAnsi" w:hAnsiTheme="majorHAnsi" w:cstheme="majorHAnsi"/>
          <w:sz w:val="16"/>
          <w:szCs w:val="16"/>
        </w:rPr>
        <w:t xml:space="preserve">, </w:t>
      </w:r>
      <w:r>
        <w:rPr>
          <w:rFonts w:asciiTheme="majorHAnsi" w:hAnsiTheme="majorHAnsi" w:cstheme="majorHAnsi"/>
          <w:sz w:val="16"/>
          <w:szCs w:val="16"/>
        </w:rPr>
        <w:t>cu</w:t>
      </w:r>
      <w:r w:rsidRPr="002E3358">
        <w:rPr>
          <w:rFonts w:asciiTheme="majorHAnsi" w:hAnsiTheme="majorHAnsi" w:cstheme="majorHAnsi"/>
          <w:sz w:val="16"/>
          <w:szCs w:val="16"/>
        </w:rPr>
        <w:t xml:space="preserve"> modificările ulterioare; Hotărârea </w:t>
      </w:r>
      <w:r w:rsidRPr="004C55F0">
        <w:rPr>
          <w:rFonts w:asciiTheme="majorHAnsi" w:hAnsiTheme="majorHAnsi" w:cstheme="majorHAnsi"/>
          <w:sz w:val="16"/>
          <w:szCs w:val="16"/>
        </w:rPr>
        <w:t>CNAJGS</w:t>
      </w:r>
      <w:r w:rsidRPr="00BE408F">
        <w:rPr>
          <w:rFonts w:asciiTheme="majorHAnsi" w:hAnsiTheme="majorHAnsi" w:cstheme="majorHAnsi"/>
          <w:sz w:val="16"/>
          <w:szCs w:val="16"/>
        </w:rPr>
        <w:t xml:space="preserve"> </w:t>
      </w:r>
      <w:r w:rsidRPr="002E3358">
        <w:rPr>
          <w:rFonts w:asciiTheme="majorHAnsi" w:hAnsiTheme="majorHAnsi" w:cstheme="majorHAnsi"/>
          <w:sz w:val="16"/>
          <w:szCs w:val="16"/>
        </w:rPr>
        <w:t xml:space="preserve">nr. 18 din 15.11.2020 </w:t>
      </w:r>
      <w:r>
        <w:rPr>
          <w:rFonts w:asciiTheme="majorHAnsi" w:hAnsiTheme="majorHAnsi" w:cstheme="majorHAnsi"/>
          <w:sz w:val="16"/>
          <w:szCs w:val="16"/>
        </w:rPr>
        <w:t>„C</w:t>
      </w:r>
      <w:r w:rsidRPr="002E3358">
        <w:rPr>
          <w:rFonts w:asciiTheme="majorHAnsi" w:hAnsiTheme="majorHAnsi" w:cstheme="majorHAnsi"/>
          <w:sz w:val="16"/>
          <w:szCs w:val="16"/>
        </w:rPr>
        <w:t>u privire la interpretarea pct. 3 alin.(1) din Regulamentul cu privire la mărimea și modul de remunerare a avocaților pentru acordarea asistenței juridice calificate garantate de stat, aprobat prin Hotărârea CNAJGS nr. 22 din 19.12.2008</w:t>
      </w:r>
      <w:r>
        <w:rPr>
          <w:rFonts w:asciiTheme="majorHAnsi" w:hAnsiTheme="majorHAnsi" w:cstheme="majorHAnsi"/>
          <w:sz w:val="16"/>
          <w:szCs w:val="16"/>
        </w:rPr>
        <w:t>”</w:t>
      </w:r>
      <w:r w:rsidRPr="002E3358">
        <w:rPr>
          <w:rFonts w:asciiTheme="majorHAnsi" w:hAnsiTheme="majorHAnsi" w:cstheme="majorHAnsi"/>
          <w:sz w:val="16"/>
          <w:szCs w:val="16"/>
        </w:rPr>
        <w:t xml:space="preserve">. </w:t>
      </w:r>
    </w:p>
  </w:footnote>
  <w:footnote w:id="60">
    <w:p w14:paraId="26E47E5F" w14:textId="72007DE6" w:rsidR="003A2B47" w:rsidRPr="003E1DE4" w:rsidRDefault="003A2B47" w:rsidP="003E1DE4">
      <w:pPr>
        <w:pStyle w:val="FootnoteText"/>
        <w:jc w:val="both"/>
        <w:rPr>
          <w:rFonts w:cstheme="min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Pr>
          <w:rFonts w:cstheme="minorHAnsi"/>
          <w:sz w:val="16"/>
          <w:szCs w:val="16"/>
        </w:rPr>
        <w:t xml:space="preserve">Tipurile de acțiuni exemplificate </w:t>
      </w:r>
      <w:proofErr w:type="spellStart"/>
      <w:r>
        <w:rPr>
          <w:rFonts w:cstheme="minorHAnsi"/>
          <w:sz w:val="16"/>
          <w:szCs w:val="16"/>
        </w:rPr>
        <w:t>sînt</w:t>
      </w:r>
      <w:proofErr w:type="spellEnd"/>
      <w:r>
        <w:rPr>
          <w:rFonts w:cstheme="minorHAnsi"/>
          <w:sz w:val="16"/>
          <w:szCs w:val="16"/>
        </w:rPr>
        <w:t xml:space="preserve"> preluate din </w:t>
      </w:r>
      <w:r w:rsidRPr="003E1DE4">
        <w:rPr>
          <w:rFonts w:cstheme="minorHAnsi"/>
          <w:sz w:val="16"/>
          <w:szCs w:val="16"/>
        </w:rPr>
        <w:t xml:space="preserve">Hotărârea CNAJGS nr. 18 din 15.11.2020 „Cu privire la interpretarea pct. 3 alin.(1) din Regulamentul cu privire la mărimea și modul de remunerare a avocaților pentru acordarea asistenței juridice calificate garantate de stat, aprobat prin Hotărârea CNAJGS nr. 22 din 19.12.2008”. </w:t>
      </w:r>
    </w:p>
  </w:footnote>
  <w:footnote w:id="61">
    <w:p w14:paraId="562F4301" w14:textId="5EB12A2F" w:rsidR="003A2B47" w:rsidRPr="003E1DE4" w:rsidRDefault="003A2B47" w:rsidP="00B907A3">
      <w:pPr>
        <w:pStyle w:val="FootnoteText"/>
        <w:jc w:val="both"/>
        <w:rPr>
          <w:rFonts w:cstheme="min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sidRPr="003E1DE4">
        <w:rPr>
          <w:rFonts w:cstheme="minorHAnsi"/>
          <w:sz w:val="16"/>
          <w:szCs w:val="16"/>
        </w:rPr>
        <w:t>Drept exemplu se menționează: luarea de cunoștință cu materialele cauzei în faza pregătirilor pentru desfășurarea acțiunii procesuale sau a ședinței de judecată; participarea apărătorului la soluționarea chestiunii privind aplicarea măsurii preventive; formularea obiecțiilor la procesele-verbale ale ședințelor de judecată etc.</w:t>
      </w:r>
    </w:p>
  </w:footnote>
  <w:footnote w:id="62">
    <w:p w14:paraId="6E2A68E2" w14:textId="5E4F0D4B" w:rsidR="003A2B47" w:rsidRPr="003E1DE4" w:rsidRDefault="003A2B47" w:rsidP="00B907A3">
      <w:pPr>
        <w:pStyle w:val="FootnoteText"/>
        <w:jc w:val="both"/>
        <w:rPr>
          <w:rFonts w:cstheme="min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sidRPr="003E1DE4">
        <w:rPr>
          <w:rFonts w:cstheme="minorHAnsi"/>
          <w:sz w:val="16"/>
          <w:szCs w:val="16"/>
        </w:rPr>
        <w:t>Pct. 2.2 și pct. 2.3 din Capitolul 2 „Standardele de calitate ale activității avocaților care acordă asistență juridică garantată de stat pe cauze penale”, aprobate prin Hotărârea CNAJGS nr. 19 din 09.06.2015.</w:t>
      </w:r>
    </w:p>
  </w:footnote>
  <w:footnote w:id="63">
    <w:p w14:paraId="6C06990A" w14:textId="19BDE405" w:rsidR="003A2B47" w:rsidRPr="003E1DE4" w:rsidRDefault="003A2B47" w:rsidP="00B907A3">
      <w:pPr>
        <w:pStyle w:val="FootnoteText"/>
        <w:jc w:val="both"/>
        <w:rPr>
          <w:rFonts w:cstheme="min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sidRPr="003E1DE4">
        <w:rPr>
          <w:rFonts w:cstheme="minorHAnsi"/>
          <w:sz w:val="16"/>
          <w:szCs w:val="16"/>
        </w:rPr>
        <w:t>Regulamentul cu privire la mărimea și modul de remunerare a avocaților pentru acordarea asistenței juridice calificate garantate de stat, aprobat prin Hotărârea CNAJGS nr. 22 din 19.12.2008, cu modificările ulterioare.</w:t>
      </w:r>
    </w:p>
  </w:footnote>
  <w:footnote w:id="64">
    <w:p w14:paraId="542A070C" w14:textId="72113310" w:rsidR="003A2B47" w:rsidRPr="003E1DE4" w:rsidRDefault="003A2B47" w:rsidP="00B907A3">
      <w:pPr>
        <w:pStyle w:val="FootnoteText"/>
        <w:jc w:val="both"/>
        <w:rPr>
          <w:rFonts w:cstheme="min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sidRPr="003E1DE4">
        <w:rPr>
          <w:rFonts w:cstheme="minorHAnsi"/>
          <w:sz w:val="16"/>
          <w:szCs w:val="16"/>
        </w:rPr>
        <w:t>Instituții penitenciare, centre de detenție pentru minori și tineri, izolatoare de detenție provizorie ale comisariatelor de poliție, Centrului Național Anticorupție și Centrul de plasament temporar al străinilor.</w:t>
      </w:r>
    </w:p>
  </w:footnote>
  <w:footnote w:id="65">
    <w:p w14:paraId="6B5D3F48" w14:textId="4F2EF22F" w:rsidR="003A2B47" w:rsidRPr="002E3358" w:rsidRDefault="003A2B47" w:rsidP="00B907A3">
      <w:pPr>
        <w:pStyle w:val="FootnoteText"/>
        <w:jc w:val="both"/>
        <w:rPr>
          <w:rFonts w:asciiTheme="majorHAnsi" w:hAnsiTheme="majorHAnsi" w:cstheme="majorHAnsi"/>
          <w:sz w:val="16"/>
          <w:szCs w:val="16"/>
        </w:rPr>
      </w:pPr>
      <w:r w:rsidRPr="003E1DE4">
        <w:rPr>
          <w:rStyle w:val="FootnoteReference"/>
          <w:rFonts w:cstheme="minorHAnsi"/>
          <w:sz w:val="16"/>
          <w:szCs w:val="16"/>
        </w:rPr>
        <w:footnoteRef/>
      </w:r>
      <w:r w:rsidRPr="003E1DE4">
        <w:rPr>
          <w:rFonts w:cstheme="minorHAnsi"/>
          <w:sz w:val="16"/>
          <w:szCs w:val="16"/>
        </w:rPr>
        <w:t xml:space="preserve"> </w:t>
      </w:r>
      <w:r w:rsidRPr="003E1DE4">
        <w:rPr>
          <w:rFonts w:cstheme="minorHAnsi"/>
          <w:sz w:val="16"/>
          <w:szCs w:val="16"/>
        </w:rPr>
        <w:t>3*50 lei = 150 lei.</w:t>
      </w:r>
    </w:p>
  </w:footnote>
  <w:footnote w:id="66">
    <w:p w14:paraId="7351AAE2" w14:textId="18E0D1F8"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Ceea ce reprezintă 13 acțiuni a 5 avocați pentru care s-au achitat 2,4 mii lei.</w:t>
      </w:r>
    </w:p>
  </w:footnote>
  <w:footnote w:id="67">
    <w:p w14:paraId="1F159883" w14:textId="4EE8696D"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Au fost reconciliate datele dintre rapoartele avocaților prezentate OT Chișinău cu informați</w:t>
      </w:r>
      <w:r>
        <w:rPr>
          <w:rFonts w:asciiTheme="majorHAnsi" w:hAnsiTheme="majorHAnsi" w:cstheme="majorHAnsi"/>
          <w:sz w:val="16"/>
          <w:szCs w:val="16"/>
        </w:rPr>
        <w:t>ile</w:t>
      </w:r>
      <w:r w:rsidRPr="002E3358">
        <w:rPr>
          <w:rFonts w:asciiTheme="majorHAnsi" w:hAnsiTheme="majorHAnsi" w:cstheme="majorHAnsi"/>
          <w:sz w:val="16"/>
          <w:szCs w:val="16"/>
        </w:rPr>
        <w:t xml:space="preserve"> din Registrele de vizite din cadrul unei Instituții Penitenciare din mun. Chișinău (Penitenciarul nr.13). Eșantionul de audit a </w:t>
      </w:r>
      <w:r>
        <w:rPr>
          <w:rFonts w:asciiTheme="majorHAnsi" w:hAnsiTheme="majorHAnsi" w:cstheme="majorHAnsi"/>
          <w:sz w:val="16"/>
          <w:szCs w:val="16"/>
        </w:rPr>
        <w:t>cuprins</w:t>
      </w:r>
      <w:r w:rsidRPr="002E3358">
        <w:rPr>
          <w:rFonts w:asciiTheme="majorHAnsi" w:hAnsiTheme="majorHAnsi" w:cstheme="majorHAnsi"/>
          <w:sz w:val="16"/>
          <w:szCs w:val="16"/>
        </w:rPr>
        <w:t xml:space="preserve"> 63 de vizite raportate de către 25 de avocați care au acordat asistență juridică calificată pe cauzele penale preluate în perioada 2020-2022</w:t>
      </w:r>
      <w:r>
        <w:rPr>
          <w:rFonts w:asciiTheme="majorHAnsi" w:hAnsiTheme="majorHAnsi" w:cstheme="majorHAnsi"/>
          <w:sz w:val="16"/>
          <w:szCs w:val="16"/>
        </w:rPr>
        <w:t>.</w:t>
      </w:r>
    </w:p>
  </w:footnote>
  <w:footnote w:id="68">
    <w:p w14:paraId="1A88AF89" w14:textId="2D8E28D9"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Pr>
          <w:rFonts w:asciiTheme="majorHAnsi" w:hAnsiTheme="majorHAnsi" w:cstheme="majorHAnsi"/>
          <w:sz w:val="16"/>
          <w:szCs w:val="16"/>
        </w:rPr>
        <w:t>D</w:t>
      </w:r>
      <w:r w:rsidRPr="002E3358">
        <w:rPr>
          <w:rFonts w:asciiTheme="majorHAnsi" w:hAnsiTheme="majorHAnsi" w:cstheme="majorHAnsi"/>
          <w:sz w:val="16"/>
          <w:szCs w:val="16"/>
        </w:rPr>
        <w:t xml:space="preserve">ocument prestabilit prin Ordinul MJ nr.336 din 01.07.2021 </w:t>
      </w:r>
      <w:r>
        <w:rPr>
          <w:rFonts w:asciiTheme="majorHAnsi" w:hAnsiTheme="majorHAnsi" w:cstheme="majorHAnsi"/>
          <w:sz w:val="16"/>
          <w:szCs w:val="16"/>
        </w:rPr>
        <w:t>„P</w:t>
      </w:r>
      <w:r w:rsidRPr="002E3358">
        <w:rPr>
          <w:rFonts w:asciiTheme="majorHAnsi" w:hAnsiTheme="majorHAnsi" w:cstheme="majorHAnsi"/>
          <w:sz w:val="16"/>
          <w:szCs w:val="16"/>
        </w:rPr>
        <w:t>rivind aprobarea procedurilor operaționale standard pe domeniul pază și escortare în sistemul administrației penitenciare</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69">
    <w:p w14:paraId="08C2DB5D" w14:textId="41C1CF25"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Scrisoarea directorului Penitenciarului nr.13-Chișinău nr. 9/1641 din 01.02.2023.</w:t>
      </w:r>
    </w:p>
  </w:footnote>
  <w:footnote w:id="70">
    <w:p w14:paraId="366621ED" w14:textId="43348EC4"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Aprobat prin Ordinul MJ nr. 68 din 13.02.2019 </w:t>
      </w:r>
      <w:r>
        <w:rPr>
          <w:rFonts w:asciiTheme="majorHAnsi" w:hAnsiTheme="majorHAnsi" w:cstheme="majorHAnsi"/>
          <w:sz w:val="16"/>
          <w:szCs w:val="16"/>
        </w:rPr>
        <w:t>„C</w:t>
      </w:r>
      <w:r w:rsidRPr="002E3358">
        <w:rPr>
          <w:rFonts w:asciiTheme="majorHAnsi" w:hAnsiTheme="majorHAnsi" w:cstheme="majorHAnsi"/>
          <w:sz w:val="16"/>
          <w:szCs w:val="16"/>
        </w:rPr>
        <w:t>u privire la documentația de serviciu aplicabilă în activitatea de pază și escortare din cadrul sistemului administrației penitenciare</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71">
    <w:p w14:paraId="07306235" w14:textId="3F56BD4B" w:rsidR="003A2B47" w:rsidRPr="002E3358" w:rsidRDefault="003A2B47" w:rsidP="00B907A3">
      <w:pPr>
        <w:pStyle w:val="FootnoteText"/>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Decizi</w:t>
      </w:r>
      <w:r>
        <w:rPr>
          <w:rFonts w:asciiTheme="majorHAnsi" w:hAnsiTheme="majorHAnsi" w:cstheme="majorHAnsi"/>
          <w:sz w:val="16"/>
          <w:szCs w:val="16"/>
        </w:rPr>
        <w:t>ile</w:t>
      </w:r>
      <w:r w:rsidRPr="002E3358">
        <w:rPr>
          <w:rFonts w:asciiTheme="majorHAnsi" w:hAnsiTheme="majorHAnsi" w:cstheme="majorHAnsi"/>
          <w:sz w:val="16"/>
          <w:szCs w:val="16"/>
        </w:rPr>
        <w:t xml:space="preserve"> de acordare a AJGS nr. 2830/ACP din 17.02.2022 și nr. 8410/ACP din 24.05.2022.</w:t>
      </w:r>
    </w:p>
  </w:footnote>
  <w:footnote w:id="72">
    <w:p w14:paraId="66344E50" w14:textId="13169E8C"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Pct.18 și </w:t>
      </w:r>
      <w:r w:rsidRPr="000A646F">
        <w:rPr>
          <w:rFonts w:asciiTheme="majorHAnsi" w:hAnsiTheme="majorHAnsi" w:cstheme="majorHAnsi"/>
          <w:sz w:val="16"/>
          <w:szCs w:val="16"/>
        </w:rPr>
        <w:t>pct.</w:t>
      </w:r>
      <w:r w:rsidRPr="002E3358">
        <w:rPr>
          <w:rFonts w:asciiTheme="majorHAnsi" w:hAnsiTheme="majorHAnsi" w:cstheme="majorHAnsi"/>
          <w:sz w:val="16"/>
          <w:szCs w:val="16"/>
        </w:rPr>
        <w:t xml:space="preserve">19 din Regulamentul cu privire la mărimea </w:t>
      </w:r>
      <w:proofErr w:type="spellStart"/>
      <w:r w:rsidRPr="002E3358">
        <w:rPr>
          <w:rFonts w:asciiTheme="majorHAnsi" w:hAnsiTheme="majorHAnsi" w:cstheme="majorHAnsi"/>
          <w:sz w:val="16"/>
          <w:szCs w:val="16"/>
        </w:rPr>
        <w:t>şi</w:t>
      </w:r>
      <w:proofErr w:type="spellEnd"/>
      <w:r w:rsidRPr="002E3358">
        <w:rPr>
          <w:rFonts w:asciiTheme="majorHAnsi" w:hAnsiTheme="majorHAnsi" w:cstheme="majorHAnsi"/>
          <w:sz w:val="16"/>
          <w:szCs w:val="16"/>
        </w:rPr>
        <w:t xml:space="preserve"> modul de remunerare a </w:t>
      </w:r>
      <w:proofErr w:type="spellStart"/>
      <w:r w:rsidRPr="002E3358">
        <w:rPr>
          <w:rFonts w:asciiTheme="majorHAnsi" w:hAnsiTheme="majorHAnsi" w:cstheme="majorHAnsi"/>
          <w:sz w:val="16"/>
          <w:szCs w:val="16"/>
        </w:rPr>
        <w:t>avocaţilor</w:t>
      </w:r>
      <w:proofErr w:type="spellEnd"/>
      <w:r w:rsidRPr="002E3358">
        <w:rPr>
          <w:rFonts w:asciiTheme="majorHAnsi" w:hAnsiTheme="majorHAnsi" w:cstheme="majorHAnsi"/>
          <w:sz w:val="16"/>
          <w:szCs w:val="16"/>
        </w:rPr>
        <w:t xml:space="preserve"> pentru acordarea </w:t>
      </w:r>
      <w:proofErr w:type="spellStart"/>
      <w:r w:rsidRPr="002E3358">
        <w:rPr>
          <w:rFonts w:asciiTheme="majorHAnsi" w:hAnsiTheme="majorHAnsi" w:cstheme="majorHAnsi"/>
          <w:sz w:val="16"/>
          <w:szCs w:val="16"/>
        </w:rPr>
        <w:t>asistenţei</w:t>
      </w:r>
      <w:proofErr w:type="spellEnd"/>
      <w:r w:rsidRPr="002E3358">
        <w:rPr>
          <w:rFonts w:asciiTheme="majorHAnsi" w:hAnsiTheme="majorHAnsi" w:cstheme="majorHAnsi"/>
          <w:sz w:val="16"/>
          <w:szCs w:val="16"/>
        </w:rPr>
        <w:t xml:space="preserve"> juridice calificate garantate de stat, aprobat prin Hotăr</w:t>
      </w:r>
      <w:r w:rsidRPr="000A646F">
        <w:rPr>
          <w:rFonts w:asciiTheme="majorHAnsi" w:hAnsiTheme="majorHAnsi" w:cstheme="majorHAnsi"/>
          <w:sz w:val="16"/>
          <w:szCs w:val="16"/>
        </w:rPr>
        <w:t>â</w:t>
      </w:r>
      <w:r w:rsidRPr="002E3358">
        <w:rPr>
          <w:rFonts w:asciiTheme="majorHAnsi" w:hAnsiTheme="majorHAnsi" w:cstheme="majorHAnsi"/>
          <w:sz w:val="16"/>
          <w:szCs w:val="16"/>
        </w:rPr>
        <w:t>rea CNAJGS nr.22 din 19.12.2008.</w:t>
      </w:r>
    </w:p>
  </w:footnote>
  <w:footnote w:id="73">
    <w:p w14:paraId="7FAD42B4" w14:textId="578E2744" w:rsidR="003A2B47" w:rsidRPr="000A646F" w:rsidRDefault="003A2B47" w:rsidP="00B907A3">
      <w:pPr>
        <w:pStyle w:val="Standard"/>
        <w:tabs>
          <w:tab w:val="left" w:pos="15120"/>
        </w:tabs>
        <w:spacing w:after="0"/>
        <w:jc w:val="both"/>
        <w:rPr>
          <w:rFonts w:asciiTheme="majorHAnsi" w:hAnsiTheme="majorHAnsi" w:cstheme="majorHAnsi"/>
          <w:sz w:val="16"/>
          <w:szCs w:val="16"/>
          <w:lang w:val="ro-MD"/>
        </w:rPr>
      </w:pPr>
      <w:r w:rsidRPr="002E3358">
        <w:rPr>
          <w:rStyle w:val="FootnoteReference"/>
          <w:rFonts w:asciiTheme="majorHAnsi" w:hAnsiTheme="majorHAnsi" w:cstheme="majorHAnsi"/>
          <w:sz w:val="16"/>
          <w:szCs w:val="16"/>
          <w:lang w:val="ro-MD"/>
        </w:rPr>
        <w:footnoteRef/>
      </w:r>
      <w:r w:rsidRPr="002E3358">
        <w:rPr>
          <w:rFonts w:asciiTheme="majorHAnsi" w:hAnsiTheme="majorHAnsi" w:cstheme="majorHAnsi"/>
          <w:sz w:val="16"/>
          <w:szCs w:val="16"/>
          <w:lang w:val="ro-MD"/>
        </w:rPr>
        <w:t xml:space="preserve"> </w:t>
      </w:r>
      <w:r w:rsidRPr="002E3358">
        <w:rPr>
          <w:rFonts w:asciiTheme="majorHAnsi" w:eastAsiaTheme="minorEastAsia" w:hAnsiTheme="majorHAnsi" w:cstheme="majorHAnsi"/>
          <w:sz w:val="16"/>
          <w:szCs w:val="16"/>
          <w:lang w:val="ro-MD"/>
        </w:rPr>
        <w:t>Conform Registrului național al persoanelor care acordă AJGS, aprobat prin Hotăr</w:t>
      </w:r>
      <w:r>
        <w:rPr>
          <w:rFonts w:asciiTheme="majorHAnsi" w:eastAsiaTheme="minorEastAsia" w:hAnsiTheme="majorHAnsi" w:cstheme="majorHAnsi"/>
          <w:sz w:val="16"/>
          <w:szCs w:val="16"/>
          <w:lang w:val="ro-MD"/>
        </w:rPr>
        <w:t>â</w:t>
      </w:r>
      <w:r w:rsidRPr="002E3358">
        <w:rPr>
          <w:rFonts w:asciiTheme="majorHAnsi" w:eastAsiaTheme="minorEastAsia" w:hAnsiTheme="majorHAnsi" w:cstheme="majorHAnsi"/>
          <w:sz w:val="16"/>
          <w:szCs w:val="16"/>
          <w:lang w:val="ro-MD"/>
        </w:rPr>
        <w:t xml:space="preserve">rea CNAJGS </w:t>
      </w:r>
      <w:r w:rsidRPr="002E3358">
        <w:rPr>
          <w:rFonts w:asciiTheme="majorHAnsi" w:hAnsiTheme="majorHAnsi" w:cstheme="majorHAnsi"/>
          <w:sz w:val="16"/>
          <w:szCs w:val="16"/>
          <w:lang w:val="ro-MD"/>
        </w:rPr>
        <w:t>nr. 17/1 din 06.10.</w:t>
      </w:r>
      <w:r>
        <w:rPr>
          <w:rFonts w:asciiTheme="majorHAnsi" w:hAnsiTheme="majorHAnsi" w:cstheme="majorHAnsi"/>
          <w:sz w:val="16"/>
          <w:szCs w:val="16"/>
          <w:lang w:val="ro-MD"/>
        </w:rPr>
        <w:t>20</w:t>
      </w:r>
      <w:r w:rsidRPr="002E3358">
        <w:rPr>
          <w:rFonts w:asciiTheme="majorHAnsi" w:hAnsiTheme="majorHAnsi" w:cstheme="majorHAnsi"/>
          <w:sz w:val="16"/>
          <w:szCs w:val="16"/>
          <w:lang w:val="ro-MD"/>
        </w:rPr>
        <w:t>08.</w:t>
      </w:r>
    </w:p>
  </w:footnote>
  <w:footnote w:id="74">
    <w:p w14:paraId="34E4E5F5" w14:textId="03854176" w:rsidR="003A2B47" w:rsidRPr="002E3358" w:rsidRDefault="003A2B47" w:rsidP="00B907A3">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Cauzele de acordare a AJGS calificat</w:t>
      </w:r>
      <w:r>
        <w:rPr>
          <w:rFonts w:asciiTheme="majorHAnsi" w:hAnsiTheme="majorHAnsi" w:cstheme="majorHAnsi"/>
          <w:sz w:val="16"/>
          <w:szCs w:val="16"/>
        </w:rPr>
        <w:t>e</w:t>
      </w:r>
      <w:r w:rsidRPr="002E3358">
        <w:rPr>
          <w:rFonts w:asciiTheme="majorHAnsi" w:hAnsiTheme="majorHAnsi" w:cstheme="majorHAnsi"/>
          <w:sz w:val="16"/>
          <w:szCs w:val="16"/>
        </w:rPr>
        <w:t xml:space="preserve">, cu excepția celor de urgență care se acordă în conformitate cu art.19 alin.(1) </w:t>
      </w:r>
      <w:proofErr w:type="spellStart"/>
      <w:r w:rsidRPr="002E3358">
        <w:rPr>
          <w:rFonts w:asciiTheme="majorHAnsi" w:hAnsiTheme="majorHAnsi" w:cstheme="majorHAnsi"/>
          <w:sz w:val="16"/>
          <w:szCs w:val="16"/>
        </w:rPr>
        <w:t>lit.b</w:t>
      </w:r>
      <w:proofErr w:type="spellEnd"/>
      <w:r w:rsidRPr="002E3358">
        <w:rPr>
          <w:rFonts w:asciiTheme="majorHAnsi" w:hAnsiTheme="majorHAnsi" w:cstheme="majorHAnsi"/>
          <w:sz w:val="16"/>
          <w:szCs w:val="16"/>
        </w:rPr>
        <w:t>), lit. b</w:t>
      </w:r>
      <w:r w:rsidRPr="002E3358">
        <w:rPr>
          <w:rFonts w:asciiTheme="majorHAnsi" w:hAnsiTheme="majorHAnsi" w:cstheme="majorHAnsi"/>
          <w:sz w:val="16"/>
          <w:szCs w:val="16"/>
          <w:vertAlign w:val="superscript"/>
        </w:rPr>
        <w:t>1</w:t>
      </w:r>
      <w:r w:rsidRPr="002E3358">
        <w:rPr>
          <w:rFonts w:asciiTheme="majorHAnsi" w:hAnsiTheme="majorHAnsi" w:cstheme="majorHAnsi"/>
          <w:sz w:val="16"/>
          <w:szCs w:val="16"/>
        </w:rPr>
        <w:t xml:space="preserve">) din Legea </w:t>
      </w:r>
      <w:r>
        <w:rPr>
          <w:rFonts w:asciiTheme="majorHAnsi" w:hAnsiTheme="majorHAnsi" w:cstheme="majorHAnsi"/>
          <w:sz w:val="16"/>
          <w:szCs w:val="16"/>
        </w:rPr>
        <w:t>nr.</w:t>
      </w:r>
      <w:r w:rsidRPr="002E3358">
        <w:rPr>
          <w:rFonts w:asciiTheme="majorHAnsi" w:hAnsiTheme="majorHAnsi" w:cstheme="majorHAnsi"/>
          <w:sz w:val="16"/>
          <w:szCs w:val="16"/>
        </w:rPr>
        <w:t>198/2007.</w:t>
      </w:r>
    </w:p>
  </w:footnote>
  <w:footnote w:id="75">
    <w:p w14:paraId="4C56B781" w14:textId="76EBBD73" w:rsidR="003A2B47" w:rsidRPr="002E3358" w:rsidRDefault="003A2B47" w:rsidP="00650458">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Eșantionul de audit a </w:t>
      </w:r>
      <w:r>
        <w:rPr>
          <w:rFonts w:asciiTheme="majorHAnsi" w:hAnsiTheme="majorHAnsi" w:cstheme="majorHAnsi"/>
          <w:sz w:val="16"/>
          <w:szCs w:val="16"/>
        </w:rPr>
        <w:t>cuprins</w:t>
      </w:r>
      <w:r w:rsidRPr="002E3358">
        <w:rPr>
          <w:rFonts w:asciiTheme="majorHAnsi" w:hAnsiTheme="majorHAnsi" w:cstheme="majorHAnsi"/>
          <w:sz w:val="16"/>
          <w:szCs w:val="16"/>
        </w:rPr>
        <w:t xml:space="preserve"> mai mult de 100 de cazuri selectate din luna aprilie a anului 2021. </w:t>
      </w:r>
    </w:p>
  </w:footnote>
  <w:footnote w:id="76">
    <w:p w14:paraId="35CA9EFD" w14:textId="4CCFECB2" w:rsidR="003A2B47" w:rsidRPr="002E3358" w:rsidRDefault="003A2B47" w:rsidP="00650458">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Art.80 din Legea finanțelor publice și responsabilității bugetar-fiscale</w:t>
      </w:r>
      <w:r>
        <w:rPr>
          <w:rFonts w:asciiTheme="majorHAnsi" w:hAnsiTheme="majorHAnsi" w:cstheme="majorHAnsi"/>
          <w:sz w:val="16"/>
          <w:szCs w:val="16"/>
        </w:rPr>
        <w:t xml:space="preserve"> nr.</w:t>
      </w:r>
      <w:r w:rsidRPr="004C55F0">
        <w:rPr>
          <w:rFonts w:asciiTheme="majorHAnsi" w:hAnsiTheme="majorHAnsi" w:cstheme="majorHAnsi"/>
          <w:sz w:val="16"/>
          <w:szCs w:val="16"/>
        </w:rPr>
        <w:t>181/2014</w:t>
      </w:r>
      <w:r w:rsidRPr="002E3358">
        <w:rPr>
          <w:rFonts w:asciiTheme="majorHAnsi" w:hAnsiTheme="majorHAnsi" w:cstheme="majorHAnsi"/>
          <w:sz w:val="16"/>
          <w:szCs w:val="16"/>
        </w:rPr>
        <w:t>.</w:t>
      </w:r>
    </w:p>
  </w:footnote>
  <w:footnote w:id="77">
    <w:p w14:paraId="3942228F" w14:textId="5FB855AF"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color w:val="333333"/>
          <w:sz w:val="16"/>
          <w:szCs w:val="16"/>
          <w:shd w:val="clear" w:color="auto" w:fill="FFFFFF"/>
        </w:rPr>
        <w:t xml:space="preserve">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 xml:space="preserve">nr.20 din 25.06.2015 (în continuare </w:t>
      </w:r>
      <w:r>
        <w:rPr>
          <w:rFonts w:asciiTheme="majorHAnsi" w:hAnsiTheme="majorHAnsi" w:cstheme="majorHAnsi"/>
          <w:color w:val="333333"/>
          <w:sz w:val="16"/>
          <w:szCs w:val="16"/>
          <w:shd w:val="clear" w:color="auto" w:fill="FFFFFF"/>
        </w:rPr>
        <w:t xml:space="preserve">– </w:t>
      </w:r>
      <w:r w:rsidRPr="002E3358">
        <w:rPr>
          <w:rFonts w:asciiTheme="majorHAnsi" w:hAnsiTheme="majorHAnsi" w:cstheme="majorHAnsi"/>
          <w:color w:val="333333"/>
          <w:sz w:val="16"/>
          <w:szCs w:val="16"/>
          <w:shd w:val="clear" w:color="auto" w:fill="FFFFFF"/>
        </w:rPr>
        <w:t>Regulamentul privind monitorizarea calității).</w:t>
      </w:r>
    </w:p>
  </w:footnote>
  <w:footnote w:id="78">
    <w:p w14:paraId="393488D6" w14:textId="7042E52B"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Monitorizarea internă ordinară a calității asistenței juridice calificate garantate de stat se efectuează permanent, conform unui grafic aprobat de coordonatorul Oficiului teritorial. Monitorizarea internă extraordinară se </w:t>
      </w:r>
      <w:r>
        <w:rPr>
          <w:rFonts w:asciiTheme="majorHAnsi" w:hAnsiTheme="majorHAnsi" w:cstheme="majorHAnsi"/>
          <w:sz w:val="16"/>
          <w:szCs w:val="16"/>
        </w:rPr>
        <w:t>inițiază</w:t>
      </w:r>
      <w:r w:rsidRPr="002E3358">
        <w:rPr>
          <w:rFonts w:asciiTheme="majorHAnsi" w:hAnsiTheme="majorHAnsi" w:cstheme="majorHAnsi"/>
          <w:sz w:val="16"/>
          <w:szCs w:val="16"/>
        </w:rPr>
        <w:t xml:space="preserve"> doar în cazul unor alegații credibile referitor la calitatea defectuoasă a prestației avocatului care acordă asistență juridică calificată garantată de stat.</w:t>
      </w:r>
    </w:p>
  </w:footnote>
  <w:footnote w:id="79">
    <w:p w14:paraId="2F725F1F" w14:textId="21EA186C"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Pct.9 din </w:t>
      </w:r>
      <w:r w:rsidRPr="002E3358">
        <w:rPr>
          <w:rFonts w:asciiTheme="majorHAnsi" w:hAnsiTheme="majorHAnsi" w:cstheme="majorHAnsi"/>
          <w:color w:val="333333"/>
          <w:sz w:val="16"/>
          <w:szCs w:val="16"/>
          <w:shd w:val="clear" w:color="auto" w:fill="FFFFFF"/>
        </w:rPr>
        <w:t>Regulamentul privind monitorizarea calității asistenței juridice calificate garantate de stat acordată de către avocați</w:t>
      </w:r>
      <w:r>
        <w:rPr>
          <w:rFonts w:asciiTheme="majorHAnsi" w:hAnsiTheme="majorHAnsi" w:cstheme="majorHAnsi"/>
          <w:color w:val="333333"/>
          <w:sz w:val="16"/>
          <w:szCs w:val="16"/>
          <w:shd w:val="clear" w:color="auto" w:fill="FFFFFF"/>
        </w:rPr>
        <w:t>,</w:t>
      </w:r>
      <w:r w:rsidRPr="002E3358">
        <w:rPr>
          <w:rFonts w:asciiTheme="majorHAnsi" w:hAnsiTheme="majorHAnsi" w:cstheme="majorHAnsi"/>
          <w:color w:val="333333"/>
          <w:sz w:val="16"/>
          <w:szCs w:val="16"/>
          <w:shd w:val="clear" w:color="auto" w:fill="FFFFFF"/>
        </w:rPr>
        <w:t xml:space="preserve"> 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nr.20 din 25.06.2015.</w:t>
      </w:r>
    </w:p>
  </w:footnote>
  <w:footnote w:id="80">
    <w:p w14:paraId="51B7F8E2" w14:textId="2CB7B862" w:rsidR="003A2B47" w:rsidRPr="002E3358" w:rsidRDefault="003A2B47" w:rsidP="00E66EF6">
      <w:pPr>
        <w:pStyle w:val="FootnoteText"/>
        <w:jc w:val="both"/>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Informația generalizată privind monitorizarea avocaților conform circumscripțiilor de activitate ale OT și evaluarea </w:t>
      </w:r>
      <w:proofErr w:type="spellStart"/>
      <w:r w:rsidRPr="002E3358">
        <w:rPr>
          <w:rFonts w:asciiTheme="majorHAnsi" w:hAnsiTheme="majorHAnsi" w:cstheme="majorHAnsi"/>
          <w:sz w:val="16"/>
          <w:szCs w:val="16"/>
        </w:rPr>
        <w:t>parajuriștilor</w:t>
      </w:r>
      <w:proofErr w:type="spellEnd"/>
      <w:r w:rsidRPr="002E3358">
        <w:rPr>
          <w:rFonts w:asciiTheme="majorHAnsi" w:hAnsiTheme="majorHAnsi" w:cstheme="majorHAnsi"/>
          <w:sz w:val="16"/>
          <w:szCs w:val="16"/>
        </w:rPr>
        <w:t xml:space="preserve"> în perioada auditată se regăsește în Anexa nr. 5</w:t>
      </w:r>
      <w:r>
        <w:rPr>
          <w:rFonts w:asciiTheme="majorHAnsi" w:hAnsiTheme="majorHAnsi" w:cstheme="majorHAnsi"/>
          <w:sz w:val="16"/>
          <w:szCs w:val="16"/>
        </w:rPr>
        <w:t xml:space="preserve"> la prezentul Raport de audit</w:t>
      </w:r>
      <w:r w:rsidRPr="008A54F7">
        <w:rPr>
          <w:sz w:val="16"/>
          <w:szCs w:val="16"/>
        </w:rPr>
        <w:t>.</w:t>
      </w:r>
    </w:p>
  </w:footnote>
  <w:footnote w:id="81">
    <w:p w14:paraId="19D3E107" w14:textId="0FEB307A"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La demersurile nr. 279 din 23.07.2015 și nr.89 din</w:t>
      </w:r>
      <w:r>
        <w:rPr>
          <w:rFonts w:asciiTheme="majorHAnsi" w:hAnsiTheme="majorHAnsi" w:cstheme="majorHAnsi"/>
          <w:sz w:val="16"/>
          <w:szCs w:val="16"/>
        </w:rPr>
        <w:t xml:space="preserve"> </w:t>
      </w:r>
      <w:r w:rsidRPr="002E3358">
        <w:rPr>
          <w:rFonts w:asciiTheme="majorHAnsi" w:hAnsiTheme="majorHAnsi" w:cstheme="majorHAnsi"/>
          <w:sz w:val="16"/>
          <w:szCs w:val="16"/>
        </w:rPr>
        <w:t>22.07.2021</w:t>
      </w:r>
      <w:r>
        <w:rPr>
          <w:rFonts w:asciiTheme="majorHAnsi" w:hAnsiTheme="majorHAnsi" w:cstheme="majorHAnsi"/>
          <w:sz w:val="16"/>
          <w:szCs w:val="16"/>
        </w:rPr>
        <w:t>,</w:t>
      </w:r>
      <w:r w:rsidRPr="002E3358">
        <w:rPr>
          <w:rFonts w:asciiTheme="majorHAnsi" w:hAnsiTheme="majorHAnsi" w:cstheme="majorHAnsi"/>
          <w:sz w:val="16"/>
          <w:szCs w:val="16"/>
        </w:rPr>
        <w:t xml:space="preserve"> înaintate de CNAJGS în adresa MJ, cel din urmă refuz</w:t>
      </w:r>
      <w:r>
        <w:rPr>
          <w:rFonts w:asciiTheme="majorHAnsi" w:hAnsiTheme="majorHAnsi" w:cstheme="majorHAnsi"/>
          <w:sz w:val="16"/>
          <w:szCs w:val="16"/>
        </w:rPr>
        <w:t>ând</w:t>
      </w:r>
      <w:r w:rsidRPr="002E3358">
        <w:rPr>
          <w:rFonts w:asciiTheme="majorHAnsi" w:hAnsiTheme="majorHAnsi" w:cstheme="majorHAnsi"/>
          <w:sz w:val="16"/>
          <w:szCs w:val="16"/>
        </w:rPr>
        <w:t xml:space="preserve"> înregistrare</w:t>
      </w:r>
      <w:r>
        <w:rPr>
          <w:rFonts w:asciiTheme="majorHAnsi" w:hAnsiTheme="majorHAnsi" w:cstheme="majorHAnsi"/>
          <w:sz w:val="16"/>
          <w:szCs w:val="16"/>
        </w:rPr>
        <w:t>a</w:t>
      </w:r>
      <w:r w:rsidRPr="002E3358">
        <w:rPr>
          <w:rFonts w:asciiTheme="majorHAnsi" w:hAnsiTheme="majorHAnsi" w:cstheme="majorHAnsi"/>
          <w:sz w:val="16"/>
          <w:szCs w:val="16"/>
        </w:rPr>
        <w:t xml:space="preserve"> acestuia.</w:t>
      </w:r>
    </w:p>
  </w:footnote>
  <w:footnote w:id="82">
    <w:p w14:paraId="706C84BC" w14:textId="4CAF8173"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Hotărârea CNAJGS nr. 10 din 12.07.2021 cu privire la aprobarea Deciziilor Comisiilor de concurs privind selectarea avocaților pentru acordarea AJGS</w:t>
      </w:r>
      <w:r>
        <w:rPr>
          <w:rFonts w:asciiTheme="majorHAnsi" w:hAnsiTheme="majorHAnsi" w:cstheme="majorHAnsi"/>
          <w:sz w:val="16"/>
          <w:szCs w:val="16"/>
        </w:rPr>
        <w:t>.</w:t>
      </w:r>
      <w:r w:rsidRPr="002E3358">
        <w:rPr>
          <w:rFonts w:asciiTheme="majorHAnsi" w:hAnsiTheme="majorHAnsi" w:cstheme="majorHAnsi"/>
          <w:sz w:val="16"/>
          <w:szCs w:val="16"/>
        </w:rPr>
        <w:t xml:space="preserve"> </w:t>
      </w:r>
      <w:r>
        <w:rPr>
          <w:rFonts w:asciiTheme="majorHAnsi" w:hAnsiTheme="majorHAnsi" w:cstheme="majorHAnsi"/>
          <w:sz w:val="16"/>
          <w:szCs w:val="16"/>
        </w:rPr>
        <w:t>A</w:t>
      </w:r>
      <w:r w:rsidRPr="002E3358">
        <w:rPr>
          <w:rFonts w:asciiTheme="majorHAnsi" w:hAnsiTheme="majorHAnsi" w:cstheme="majorHAnsi"/>
          <w:sz w:val="16"/>
          <w:szCs w:val="16"/>
        </w:rPr>
        <w:t xml:space="preserve">u fost selectați 70 </w:t>
      </w:r>
      <w:r>
        <w:rPr>
          <w:rFonts w:asciiTheme="majorHAnsi" w:hAnsiTheme="majorHAnsi" w:cstheme="majorHAnsi"/>
          <w:sz w:val="16"/>
          <w:szCs w:val="16"/>
        </w:rPr>
        <w:t xml:space="preserve">de </w:t>
      </w:r>
      <w:r w:rsidRPr="002E3358">
        <w:rPr>
          <w:rFonts w:asciiTheme="majorHAnsi" w:hAnsiTheme="majorHAnsi" w:cstheme="majorHAnsi"/>
          <w:sz w:val="16"/>
          <w:szCs w:val="16"/>
        </w:rPr>
        <w:t>avocați</w:t>
      </w:r>
      <w:r>
        <w:rPr>
          <w:rFonts w:asciiTheme="majorHAnsi" w:hAnsiTheme="majorHAnsi" w:cstheme="majorHAnsi"/>
          <w:sz w:val="16"/>
          <w:szCs w:val="16"/>
        </w:rPr>
        <w:t>,</w:t>
      </w:r>
      <w:r w:rsidRPr="002E3358">
        <w:rPr>
          <w:rFonts w:asciiTheme="majorHAnsi" w:hAnsiTheme="majorHAnsi" w:cstheme="majorHAnsi"/>
          <w:sz w:val="16"/>
          <w:szCs w:val="16"/>
        </w:rPr>
        <w:t xml:space="preserve"> dintre care unu nu a semnat contractul de prestare a serviciilor juridice cu OT.</w:t>
      </w:r>
    </w:p>
  </w:footnote>
  <w:footnote w:id="83">
    <w:p w14:paraId="0E2D0D2C" w14:textId="67CC7F7B"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Repartizarea </w:t>
      </w:r>
      <w:r w:rsidRPr="00C51D86">
        <w:rPr>
          <w:rFonts w:asciiTheme="majorHAnsi" w:hAnsiTheme="majorHAnsi" w:cstheme="majorHAnsi"/>
          <w:sz w:val="16"/>
          <w:szCs w:val="16"/>
        </w:rPr>
        <w:t xml:space="preserve">pe OT: </w:t>
      </w:r>
      <w:r w:rsidRPr="009B2BA2">
        <w:rPr>
          <w:rFonts w:asciiTheme="majorHAnsi" w:hAnsiTheme="majorHAnsi" w:cstheme="majorHAnsi"/>
          <w:sz w:val="16"/>
          <w:szCs w:val="16"/>
        </w:rPr>
        <w:t>29 de cazuri la cei 44 de avocați admi</w:t>
      </w:r>
      <w:r w:rsidRPr="00C51D86">
        <w:rPr>
          <w:rFonts w:asciiTheme="majorHAnsi" w:hAnsiTheme="majorHAnsi" w:cstheme="majorHAnsi"/>
          <w:sz w:val="16"/>
          <w:szCs w:val="16"/>
        </w:rPr>
        <w:t>și în sistem</w:t>
      </w:r>
      <w:r w:rsidRPr="002E3358">
        <w:rPr>
          <w:rFonts w:asciiTheme="majorHAnsi" w:hAnsiTheme="majorHAnsi" w:cstheme="majorHAnsi"/>
          <w:sz w:val="16"/>
          <w:szCs w:val="16"/>
        </w:rPr>
        <w:t xml:space="preserve">  </w:t>
      </w:r>
      <w:r>
        <w:rPr>
          <w:rFonts w:asciiTheme="majorHAnsi" w:hAnsiTheme="majorHAnsi" w:cstheme="majorHAnsi"/>
          <w:sz w:val="16"/>
          <w:szCs w:val="16"/>
        </w:rPr>
        <w:t>revin</w:t>
      </w:r>
      <w:r w:rsidRPr="002E3358">
        <w:rPr>
          <w:rFonts w:asciiTheme="majorHAnsi" w:hAnsiTheme="majorHAnsi" w:cstheme="majorHAnsi"/>
          <w:sz w:val="16"/>
          <w:szCs w:val="16"/>
        </w:rPr>
        <w:t xml:space="preserve"> OT Chișinău; 6 din 15 avocați admiși </w:t>
      </w:r>
      <w:r>
        <w:rPr>
          <w:rFonts w:asciiTheme="majorHAnsi" w:hAnsiTheme="majorHAnsi" w:cstheme="majorHAnsi"/>
          <w:sz w:val="16"/>
          <w:szCs w:val="16"/>
        </w:rPr>
        <w:t xml:space="preserve">- </w:t>
      </w:r>
      <w:r w:rsidRPr="002E3358">
        <w:rPr>
          <w:rFonts w:asciiTheme="majorHAnsi" w:hAnsiTheme="majorHAnsi" w:cstheme="majorHAnsi"/>
          <w:sz w:val="16"/>
          <w:szCs w:val="16"/>
        </w:rPr>
        <w:t>la OT Bălți</w:t>
      </w:r>
      <w:r>
        <w:rPr>
          <w:rFonts w:asciiTheme="majorHAnsi" w:hAnsiTheme="majorHAnsi" w:cstheme="majorHAnsi"/>
          <w:sz w:val="16"/>
          <w:szCs w:val="16"/>
        </w:rPr>
        <w:t>,</w:t>
      </w:r>
      <w:r w:rsidRPr="002E3358">
        <w:rPr>
          <w:rFonts w:asciiTheme="majorHAnsi" w:hAnsiTheme="majorHAnsi" w:cstheme="majorHAnsi"/>
          <w:sz w:val="16"/>
          <w:szCs w:val="16"/>
        </w:rPr>
        <w:t xml:space="preserve"> și 2 cazuri din 9 apărători admiși în sistem</w:t>
      </w:r>
      <w:r>
        <w:rPr>
          <w:rFonts w:asciiTheme="majorHAnsi" w:hAnsiTheme="majorHAnsi" w:cstheme="majorHAnsi"/>
          <w:sz w:val="16"/>
          <w:szCs w:val="16"/>
        </w:rPr>
        <w:t xml:space="preserve"> - </w:t>
      </w:r>
      <w:r w:rsidRPr="002E3358">
        <w:rPr>
          <w:rFonts w:asciiTheme="majorHAnsi" w:hAnsiTheme="majorHAnsi" w:cstheme="majorHAnsi"/>
          <w:sz w:val="16"/>
          <w:szCs w:val="16"/>
        </w:rPr>
        <w:t xml:space="preserve">OT Cahul. </w:t>
      </w:r>
    </w:p>
  </w:footnote>
  <w:footnote w:id="84">
    <w:p w14:paraId="715F019C" w14:textId="77777777" w:rsidR="003A2B47" w:rsidRPr="002E3358" w:rsidRDefault="003A2B47" w:rsidP="00856765">
      <w:pPr>
        <w:pStyle w:val="FootnoteText"/>
        <w:jc w:val="both"/>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Pct. 16 din Regulament privind monitorizarea calității.</w:t>
      </w:r>
    </w:p>
  </w:footnote>
  <w:footnote w:id="85">
    <w:p w14:paraId="64CDB974" w14:textId="19D47345"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Pct.11 și pct. 25 </w:t>
      </w:r>
      <w:r>
        <w:rPr>
          <w:rFonts w:asciiTheme="majorHAnsi" w:hAnsiTheme="majorHAnsi" w:cstheme="majorHAnsi"/>
          <w:sz w:val="16"/>
          <w:szCs w:val="16"/>
        </w:rPr>
        <w:t>din</w:t>
      </w:r>
      <w:r w:rsidRPr="002E3358">
        <w:rPr>
          <w:rFonts w:asciiTheme="majorHAnsi" w:hAnsiTheme="majorHAnsi" w:cstheme="majorHAnsi"/>
          <w:sz w:val="16"/>
          <w:szCs w:val="16"/>
        </w:rPr>
        <w:t xml:space="preserve"> </w:t>
      </w:r>
      <w:r w:rsidRPr="002E3358">
        <w:rPr>
          <w:rFonts w:asciiTheme="majorHAnsi" w:hAnsiTheme="majorHAnsi" w:cstheme="majorHAnsi"/>
          <w:color w:val="333333"/>
          <w:sz w:val="16"/>
          <w:szCs w:val="16"/>
          <w:shd w:val="clear" w:color="auto" w:fill="FFFFFF"/>
        </w:rPr>
        <w:t>Regulamentul privind monitorizarea calității asistenței juridice calificate garantate de stat acordată de către avocați</w:t>
      </w:r>
      <w:r>
        <w:rPr>
          <w:rFonts w:asciiTheme="majorHAnsi" w:hAnsiTheme="majorHAnsi" w:cstheme="majorHAnsi"/>
          <w:color w:val="333333"/>
          <w:sz w:val="16"/>
          <w:szCs w:val="16"/>
          <w:shd w:val="clear" w:color="auto" w:fill="FFFFFF"/>
        </w:rPr>
        <w:t>,</w:t>
      </w:r>
      <w:r w:rsidRPr="002E3358">
        <w:rPr>
          <w:rFonts w:asciiTheme="majorHAnsi" w:hAnsiTheme="majorHAnsi" w:cstheme="majorHAnsi"/>
          <w:color w:val="333333"/>
          <w:sz w:val="16"/>
          <w:szCs w:val="16"/>
          <w:shd w:val="clear" w:color="auto" w:fill="FFFFFF"/>
        </w:rPr>
        <w:t xml:space="preserve"> 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nr.20 din 25.06.2015.</w:t>
      </w:r>
    </w:p>
  </w:footnote>
  <w:footnote w:id="86">
    <w:p w14:paraId="435073AD" w14:textId="764894E7"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 6 din HG </w:t>
      </w:r>
      <w:r>
        <w:rPr>
          <w:rFonts w:asciiTheme="majorHAnsi" w:hAnsiTheme="majorHAnsi" w:cstheme="majorHAnsi"/>
          <w:sz w:val="16"/>
          <w:szCs w:val="16"/>
        </w:rPr>
        <w:t>nr.</w:t>
      </w:r>
      <w:r w:rsidRPr="002E3358">
        <w:rPr>
          <w:rFonts w:asciiTheme="majorHAnsi" w:hAnsiTheme="majorHAnsi" w:cstheme="majorHAnsi"/>
          <w:sz w:val="16"/>
          <w:szCs w:val="16"/>
        </w:rPr>
        <w:t xml:space="preserve">1104/1997 prevede că „Actele nesupuse expertizei juridice </w:t>
      </w:r>
      <w:proofErr w:type="spellStart"/>
      <w:r w:rsidRPr="002E3358">
        <w:rPr>
          <w:rFonts w:asciiTheme="majorHAnsi" w:hAnsiTheme="majorHAnsi" w:cstheme="majorHAnsi"/>
          <w:sz w:val="16"/>
          <w:szCs w:val="16"/>
        </w:rPr>
        <w:t>şi</w:t>
      </w:r>
      <w:proofErr w:type="spellEnd"/>
      <w:r w:rsidRPr="002E3358">
        <w:rPr>
          <w:rFonts w:asciiTheme="majorHAnsi" w:hAnsiTheme="majorHAnsi" w:cstheme="majorHAnsi"/>
          <w:sz w:val="16"/>
          <w:szCs w:val="16"/>
        </w:rPr>
        <w:t xml:space="preserve"> înregistrării de stat conform prezentei hotăr</w:t>
      </w:r>
      <w:r>
        <w:rPr>
          <w:rFonts w:asciiTheme="majorHAnsi" w:hAnsiTheme="majorHAnsi" w:cstheme="majorHAnsi"/>
          <w:sz w:val="16"/>
          <w:szCs w:val="16"/>
        </w:rPr>
        <w:t>â</w:t>
      </w:r>
      <w:r w:rsidRPr="002E3358">
        <w:rPr>
          <w:rFonts w:asciiTheme="majorHAnsi" w:hAnsiTheme="majorHAnsi" w:cstheme="majorHAnsi"/>
          <w:sz w:val="16"/>
          <w:szCs w:val="16"/>
        </w:rPr>
        <w:t xml:space="preserve">ri, precum </w:t>
      </w:r>
      <w:proofErr w:type="spellStart"/>
      <w:r w:rsidRPr="002E3358">
        <w:rPr>
          <w:rFonts w:asciiTheme="majorHAnsi" w:hAnsiTheme="majorHAnsi" w:cstheme="majorHAnsi"/>
          <w:sz w:val="16"/>
          <w:szCs w:val="16"/>
        </w:rPr>
        <w:t>şi</w:t>
      </w:r>
      <w:proofErr w:type="spellEnd"/>
      <w:r w:rsidRPr="002E3358">
        <w:rPr>
          <w:rFonts w:asciiTheme="majorHAnsi" w:hAnsiTheme="majorHAnsi" w:cstheme="majorHAnsi"/>
          <w:sz w:val="16"/>
          <w:szCs w:val="16"/>
        </w:rPr>
        <w:t xml:space="preserve"> cele înregistrate, dar nepublicate în modul stabilit de lege, cu excepția actelor a căror publicare este restricționată, nu au putere juridică </w:t>
      </w:r>
      <w:proofErr w:type="spellStart"/>
      <w:r w:rsidRPr="002E3358">
        <w:rPr>
          <w:rFonts w:asciiTheme="majorHAnsi" w:hAnsiTheme="majorHAnsi" w:cstheme="majorHAnsi"/>
          <w:sz w:val="16"/>
          <w:szCs w:val="16"/>
        </w:rPr>
        <w:t>şi</w:t>
      </w:r>
      <w:proofErr w:type="spellEnd"/>
      <w:r w:rsidRPr="002E3358">
        <w:rPr>
          <w:rFonts w:asciiTheme="majorHAnsi" w:hAnsiTheme="majorHAnsi" w:cstheme="majorHAnsi"/>
          <w:sz w:val="16"/>
          <w:szCs w:val="16"/>
        </w:rPr>
        <w:t xml:space="preserve"> nu pot servi drept temei legitim pentru reglementarea relațiilor de drept respective sau aplicarea de sancțiuni”.</w:t>
      </w:r>
    </w:p>
  </w:footnote>
  <w:footnote w:id="87">
    <w:p w14:paraId="00729A34" w14:textId="5985487E"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color w:val="333333"/>
          <w:sz w:val="16"/>
          <w:szCs w:val="16"/>
          <w:shd w:val="clear" w:color="auto" w:fill="FFFFFF"/>
        </w:rPr>
        <w:t>Regulamentul privind monitorizarea calității asistenței juridice calificate garantate de stat acordată de către avocați</w:t>
      </w:r>
      <w:r>
        <w:rPr>
          <w:rFonts w:asciiTheme="majorHAnsi" w:hAnsiTheme="majorHAnsi" w:cstheme="majorHAnsi"/>
          <w:color w:val="333333"/>
          <w:sz w:val="16"/>
          <w:szCs w:val="16"/>
          <w:shd w:val="clear" w:color="auto" w:fill="FFFFFF"/>
        </w:rPr>
        <w:t>,</w:t>
      </w:r>
      <w:r w:rsidRPr="002E3358">
        <w:rPr>
          <w:rFonts w:asciiTheme="majorHAnsi" w:hAnsiTheme="majorHAnsi" w:cstheme="majorHAnsi"/>
          <w:color w:val="333333"/>
          <w:sz w:val="16"/>
          <w:szCs w:val="16"/>
          <w:shd w:val="clear" w:color="auto" w:fill="FFFFFF"/>
        </w:rPr>
        <w:t xml:space="preserve"> 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nr.20 din 25.06.2015.</w:t>
      </w:r>
    </w:p>
  </w:footnote>
  <w:footnote w:id="88">
    <w:p w14:paraId="47927503" w14:textId="1711E37B" w:rsidR="003A2B47" w:rsidRPr="002E3358" w:rsidRDefault="003A2B47" w:rsidP="00E66EF6">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Pct.7, pct.35 </w:t>
      </w:r>
      <w:r>
        <w:rPr>
          <w:rFonts w:asciiTheme="majorHAnsi" w:hAnsiTheme="majorHAnsi" w:cstheme="majorHAnsi"/>
          <w:sz w:val="16"/>
          <w:szCs w:val="16"/>
        </w:rPr>
        <w:t>din</w:t>
      </w:r>
      <w:r w:rsidRPr="002E3358">
        <w:rPr>
          <w:rFonts w:asciiTheme="majorHAnsi" w:hAnsiTheme="majorHAnsi" w:cstheme="majorHAnsi"/>
          <w:sz w:val="16"/>
          <w:szCs w:val="16"/>
        </w:rPr>
        <w:t xml:space="preserve"> </w:t>
      </w:r>
      <w:r w:rsidRPr="002E3358">
        <w:rPr>
          <w:rFonts w:asciiTheme="majorHAnsi" w:hAnsiTheme="majorHAnsi" w:cstheme="majorHAnsi"/>
          <w:color w:val="333333"/>
          <w:sz w:val="16"/>
          <w:szCs w:val="16"/>
          <w:shd w:val="clear" w:color="auto" w:fill="FFFFFF"/>
        </w:rPr>
        <w:t>Regulamentul privind monitorizarea calității asistenței juridice calificate garantate de stat acordată de către avocați</w:t>
      </w:r>
      <w:r>
        <w:rPr>
          <w:rFonts w:asciiTheme="majorHAnsi" w:hAnsiTheme="majorHAnsi" w:cstheme="majorHAnsi"/>
          <w:color w:val="333333"/>
          <w:sz w:val="16"/>
          <w:szCs w:val="16"/>
          <w:shd w:val="clear" w:color="auto" w:fill="FFFFFF"/>
        </w:rPr>
        <w:t>,</w:t>
      </w:r>
      <w:r w:rsidRPr="002E3358">
        <w:rPr>
          <w:rFonts w:asciiTheme="majorHAnsi" w:hAnsiTheme="majorHAnsi" w:cstheme="majorHAnsi"/>
          <w:color w:val="333333"/>
          <w:sz w:val="16"/>
          <w:szCs w:val="16"/>
          <w:shd w:val="clear" w:color="auto" w:fill="FFFFFF"/>
        </w:rPr>
        <w:t xml:space="preserve"> 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nr.20 din 25.06.2015.</w:t>
      </w:r>
    </w:p>
  </w:footnote>
  <w:footnote w:id="89">
    <w:p w14:paraId="589FCFCD" w14:textId="44807B03" w:rsidR="003A2B47" w:rsidRPr="002E3358" w:rsidRDefault="003A2B47" w:rsidP="00E66EF6">
      <w:pPr>
        <w:pStyle w:val="FootnoteText"/>
        <w:jc w:val="both"/>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Pct.8 </w:t>
      </w:r>
      <w:r>
        <w:rPr>
          <w:rFonts w:asciiTheme="majorHAnsi" w:hAnsiTheme="majorHAnsi" w:cstheme="majorHAnsi"/>
          <w:sz w:val="16"/>
          <w:szCs w:val="16"/>
        </w:rPr>
        <w:t>din</w:t>
      </w:r>
      <w:r w:rsidRPr="002E3358">
        <w:rPr>
          <w:rFonts w:asciiTheme="majorHAnsi" w:hAnsiTheme="majorHAnsi" w:cstheme="majorHAnsi"/>
          <w:sz w:val="16"/>
          <w:szCs w:val="16"/>
        </w:rPr>
        <w:t xml:space="preserve"> </w:t>
      </w:r>
      <w:r w:rsidRPr="002E3358">
        <w:rPr>
          <w:rFonts w:asciiTheme="majorHAnsi" w:hAnsiTheme="majorHAnsi" w:cstheme="majorHAnsi"/>
          <w:color w:val="333333"/>
          <w:sz w:val="16"/>
          <w:szCs w:val="16"/>
          <w:shd w:val="clear" w:color="auto" w:fill="FFFFFF"/>
        </w:rPr>
        <w:t>Regulamentul privind monitorizarea calității asistenței juridice calificate garantate de stat acordată de către avocați</w:t>
      </w:r>
      <w:r>
        <w:rPr>
          <w:rFonts w:asciiTheme="majorHAnsi" w:hAnsiTheme="majorHAnsi" w:cstheme="majorHAnsi"/>
          <w:color w:val="333333"/>
          <w:sz w:val="16"/>
          <w:szCs w:val="16"/>
          <w:shd w:val="clear" w:color="auto" w:fill="FFFFFF"/>
        </w:rPr>
        <w:t>,</w:t>
      </w:r>
      <w:r w:rsidRPr="002E3358">
        <w:rPr>
          <w:rFonts w:asciiTheme="majorHAnsi" w:hAnsiTheme="majorHAnsi" w:cstheme="majorHAnsi"/>
          <w:color w:val="333333"/>
          <w:sz w:val="16"/>
          <w:szCs w:val="16"/>
          <w:shd w:val="clear" w:color="auto" w:fill="FFFFFF"/>
        </w:rPr>
        <w:t xml:space="preserve"> aprobat prin Hotărârea </w:t>
      </w:r>
      <w:r w:rsidRPr="002E3358">
        <w:rPr>
          <w:rFonts w:asciiTheme="majorHAnsi" w:hAnsiTheme="majorHAnsi" w:cstheme="majorHAnsi"/>
          <w:sz w:val="16"/>
          <w:szCs w:val="16"/>
        </w:rPr>
        <w:t>Consiliului Na</w:t>
      </w:r>
      <w:r>
        <w:rPr>
          <w:rFonts w:asciiTheme="majorHAnsi" w:hAnsiTheme="majorHAnsi" w:cstheme="majorHAnsi"/>
          <w:sz w:val="16"/>
          <w:szCs w:val="16"/>
        </w:rPr>
        <w:t>ț</w:t>
      </w:r>
      <w:r w:rsidRPr="002E3358">
        <w:rPr>
          <w:rFonts w:asciiTheme="majorHAnsi" w:hAnsiTheme="majorHAnsi" w:cstheme="majorHAnsi"/>
          <w:sz w:val="16"/>
          <w:szCs w:val="16"/>
        </w:rPr>
        <w:t xml:space="preserve">ional pentru Asistența Juridică Garantată de Stat </w:t>
      </w:r>
      <w:r w:rsidRPr="002E3358">
        <w:rPr>
          <w:rFonts w:asciiTheme="majorHAnsi" w:hAnsiTheme="majorHAnsi" w:cstheme="majorHAnsi"/>
          <w:color w:val="333333"/>
          <w:sz w:val="16"/>
          <w:szCs w:val="16"/>
          <w:shd w:val="clear" w:color="auto" w:fill="FFFFFF"/>
        </w:rPr>
        <w:t>nr.20 din 25.06.2015.</w:t>
      </w:r>
    </w:p>
  </w:footnote>
  <w:footnote w:id="90">
    <w:p w14:paraId="05F3DD5E" w14:textId="40588BEA" w:rsidR="003A2B47" w:rsidRPr="002E3358" w:rsidRDefault="003A2B47" w:rsidP="0029215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Pr>
          <w:rFonts w:asciiTheme="majorHAnsi" w:hAnsiTheme="majorHAnsi" w:cstheme="majorHAnsi"/>
          <w:sz w:val="16"/>
          <w:szCs w:val="16"/>
        </w:rPr>
        <w:t>„</w:t>
      </w:r>
      <w:r w:rsidRPr="002E3358">
        <w:rPr>
          <w:rFonts w:asciiTheme="majorHAnsi" w:hAnsiTheme="majorHAnsi" w:cstheme="majorHAnsi"/>
          <w:sz w:val="16"/>
          <w:szCs w:val="16"/>
        </w:rPr>
        <w:t>Standardele de calitate ale activității avocaților care acordă asistență juridică garantată de stat în cauzele de azil</w:t>
      </w:r>
      <w:r>
        <w:rPr>
          <w:rFonts w:asciiTheme="majorHAnsi" w:hAnsiTheme="majorHAnsi" w:cstheme="majorHAnsi"/>
          <w:sz w:val="16"/>
          <w:szCs w:val="16"/>
        </w:rPr>
        <w:t>”</w:t>
      </w:r>
      <w:r w:rsidRPr="002E3358">
        <w:rPr>
          <w:rFonts w:asciiTheme="majorHAnsi" w:hAnsiTheme="majorHAnsi" w:cstheme="majorHAnsi"/>
          <w:sz w:val="16"/>
          <w:szCs w:val="16"/>
        </w:rPr>
        <w:t xml:space="preserve"> și </w:t>
      </w:r>
      <w:r>
        <w:rPr>
          <w:rFonts w:asciiTheme="majorHAnsi" w:hAnsiTheme="majorHAnsi" w:cstheme="majorHAnsi"/>
          <w:sz w:val="16"/>
          <w:szCs w:val="16"/>
        </w:rPr>
        <w:t>„</w:t>
      </w:r>
      <w:r w:rsidRPr="002E3358">
        <w:rPr>
          <w:rFonts w:asciiTheme="majorHAnsi" w:hAnsiTheme="majorHAnsi" w:cstheme="majorHAnsi"/>
          <w:sz w:val="16"/>
          <w:szCs w:val="16"/>
        </w:rPr>
        <w:t>Standardele de calitate ale activității avocaților care acordă asistență juridică garantată de stat în cauzele cu implicarea victimelor infracțiunilor</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91">
    <w:p w14:paraId="77801638" w14:textId="4EABBCD7" w:rsidR="003A2B47" w:rsidRPr="002E3358" w:rsidRDefault="003A2B47" w:rsidP="00FE4605">
      <w:pPr>
        <w:pStyle w:val="FootnoteText"/>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Hotărârea Guvernului nr. 618 din 11.12.2019 </w:t>
      </w:r>
      <w:r>
        <w:rPr>
          <w:rFonts w:asciiTheme="majorHAnsi" w:hAnsiTheme="majorHAnsi" w:cstheme="majorHAnsi"/>
          <w:sz w:val="16"/>
          <w:szCs w:val="16"/>
        </w:rPr>
        <w:t>„P</w:t>
      </w:r>
      <w:r w:rsidRPr="002E3358">
        <w:rPr>
          <w:rFonts w:asciiTheme="majorHAnsi" w:hAnsiTheme="majorHAnsi" w:cstheme="majorHAnsi"/>
          <w:sz w:val="16"/>
          <w:szCs w:val="16"/>
        </w:rPr>
        <w:t>entru aprobarea Regulamentului privind procedura de executare a creanțelor bănești bazate pe dispoziții de drept public</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92">
    <w:p w14:paraId="07E14F98" w14:textId="2C3BEF1B" w:rsidR="003A2B47" w:rsidRPr="002E3358" w:rsidRDefault="003A2B47" w:rsidP="00A372B0">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Art. 11 alin. (7) și art. 14 alin. (8) din Legea </w:t>
      </w:r>
      <w:r>
        <w:rPr>
          <w:rFonts w:asciiTheme="majorHAnsi" w:hAnsiTheme="majorHAnsi" w:cstheme="majorHAnsi"/>
          <w:sz w:val="16"/>
          <w:szCs w:val="16"/>
        </w:rPr>
        <w:t>nr.</w:t>
      </w:r>
      <w:r w:rsidRPr="002E3358">
        <w:rPr>
          <w:rFonts w:asciiTheme="majorHAnsi" w:hAnsiTheme="majorHAnsi" w:cstheme="majorHAnsi"/>
          <w:sz w:val="16"/>
          <w:szCs w:val="16"/>
        </w:rPr>
        <w:t>198/2007.</w:t>
      </w:r>
    </w:p>
  </w:footnote>
  <w:footnote w:id="93">
    <w:p w14:paraId="69B72766" w14:textId="7B8C4EE0" w:rsidR="003A2B47" w:rsidRPr="002E3358" w:rsidRDefault="003A2B47" w:rsidP="00A372B0">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Ordinul MJ nr.18 din 24.01.2008 </w:t>
      </w:r>
      <w:r>
        <w:rPr>
          <w:rFonts w:asciiTheme="majorHAnsi" w:hAnsiTheme="majorHAnsi" w:cstheme="majorHAnsi"/>
          <w:sz w:val="16"/>
          <w:szCs w:val="16"/>
        </w:rPr>
        <w:t>„C</w:t>
      </w:r>
      <w:r w:rsidRPr="002E3358">
        <w:rPr>
          <w:rFonts w:asciiTheme="majorHAnsi" w:hAnsiTheme="majorHAnsi" w:cstheme="majorHAnsi"/>
          <w:sz w:val="16"/>
          <w:szCs w:val="16"/>
        </w:rPr>
        <w:t>u privire la aprobarea Regulamentului CNAJGS</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94">
    <w:p w14:paraId="326F6233" w14:textId="50BADE96" w:rsidR="003A2B47" w:rsidRPr="002E3358" w:rsidRDefault="003A2B47" w:rsidP="00A372B0">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Componența CNAJGS: - 2 membri desemnați de MJ;  - 2 membri desemnați de Baroul Avocaților; - un membru desemnat de MF; - un membru desemnat de Consiliul Superior al Magistraturii; - un membru din partea asociațiilor obștești sau mediului academic.</w:t>
      </w:r>
    </w:p>
  </w:footnote>
  <w:footnote w:id="95">
    <w:p w14:paraId="761718D0" w14:textId="203C330D" w:rsidR="003A2B47" w:rsidRPr="002E3358" w:rsidRDefault="003A2B47" w:rsidP="00A372B0">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În conformitate cu art.14 alin.(8) </w:t>
      </w:r>
      <w:r>
        <w:rPr>
          <w:rFonts w:asciiTheme="majorHAnsi" w:hAnsiTheme="majorHAnsi" w:cstheme="majorHAnsi"/>
          <w:sz w:val="16"/>
          <w:szCs w:val="16"/>
        </w:rPr>
        <w:t>din</w:t>
      </w:r>
      <w:r w:rsidRPr="002E3358">
        <w:rPr>
          <w:rFonts w:asciiTheme="majorHAnsi" w:hAnsiTheme="majorHAnsi" w:cstheme="majorHAnsi"/>
          <w:sz w:val="16"/>
          <w:szCs w:val="16"/>
        </w:rPr>
        <w:t xml:space="preserve"> Leg</w:t>
      </w:r>
      <w:r>
        <w:rPr>
          <w:rFonts w:asciiTheme="majorHAnsi" w:hAnsiTheme="majorHAnsi" w:cstheme="majorHAnsi"/>
          <w:sz w:val="16"/>
          <w:szCs w:val="16"/>
        </w:rPr>
        <w:t>ea</w:t>
      </w:r>
      <w:r w:rsidRPr="002E3358">
        <w:rPr>
          <w:rFonts w:asciiTheme="majorHAnsi" w:hAnsiTheme="majorHAnsi" w:cstheme="majorHAnsi"/>
          <w:sz w:val="16"/>
          <w:szCs w:val="16"/>
        </w:rPr>
        <w:t xml:space="preserve"> nr.198 /2007; Hotărârea CNAJGS nr. 15 din 30.07.2008 </w:t>
      </w:r>
      <w:r>
        <w:rPr>
          <w:rFonts w:asciiTheme="majorHAnsi" w:hAnsiTheme="majorHAnsi" w:cstheme="majorHAnsi"/>
          <w:sz w:val="16"/>
          <w:szCs w:val="16"/>
        </w:rPr>
        <w:t>„C</w:t>
      </w:r>
      <w:r w:rsidRPr="002E3358">
        <w:rPr>
          <w:rFonts w:asciiTheme="majorHAnsi" w:hAnsiTheme="majorHAnsi" w:cstheme="majorHAnsi"/>
          <w:sz w:val="16"/>
          <w:szCs w:val="16"/>
        </w:rPr>
        <w:t>u privire la aprobarea Regulamentului funcționării Oficiilor teritoriale ale CNAJGS</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96">
    <w:p w14:paraId="6F1FDF0B" w14:textId="77777777"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Legea nr. 112 din 18.05.2012 pentru modificarea și completarea unor acte legislative.</w:t>
      </w:r>
    </w:p>
  </w:footnote>
  <w:footnote w:id="97">
    <w:p w14:paraId="34BC9006" w14:textId="6DBE839D" w:rsidR="003A2B47" w:rsidRPr="002E3358" w:rsidRDefault="003A2B47" w:rsidP="00EB6009">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Hotărârea CNAJGS nr. 15 din 24.12 2012 </w:t>
      </w:r>
      <w:r>
        <w:rPr>
          <w:rFonts w:asciiTheme="majorHAnsi" w:hAnsiTheme="majorHAnsi" w:cstheme="majorHAnsi"/>
          <w:sz w:val="16"/>
          <w:szCs w:val="16"/>
        </w:rPr>
        <w:t>„C</w:t>
      </w:r>
      <w:r w:rsidRPr="002E3358">
        <w:rPr>
          <w:rFonts w:asciiTheme="majorHAnsi" w:hAnsiTheme="majorHAnsi" w:cstheme="majorHAnsi"/>
          <w:sz w:val="16"/>
          <w:szCs w:val="16"/>
        </w:rPr>
        <w:t xml:space="preserve">u privire la aprobarea Regulamentului de activitate al aparatului administrativ al Consiliului </w:t>
      </w:r>
      <w:proofErr w:type="spellStart"/>
      <w:r w:rsidRPr="002E3358">
        <w:rPr>
          <w:rFonts w:asciiTheme="majorHAnsi" w:hAnsiTheme="majorHAnsi" w:cstheme="majorHAnsi"/>
          <w:sz w:val="16"/>
          <w:szCs w:val="16"/>
        </w:rPr>
        <w:t>Naţional</w:t>
      </w:r>
      <w:proofErr w:type="spellEnd"/>
      <w:r w:rsidRPr="002E3358">
        <w:rPr>
          <w:rFonts w:asciiTheme="majorHAnsi" w:hAnsiTheme="majorHAnsi" w:cstheme="majorHAnsi"/>
          <w:sz w:val="16"/>
          <w:szCs w:val="16"/>
        </w:rPr>
        <w:t xml:space="preserve"> pentru Asistență Juridică Garantată de Stat</w:t>
      </w:r>
      <w:r>
        <w:rPr>
          <w:rFonts w:asciiTheme="majorHAnsi" w:hAnsiTheme="majorHAnsi" w:cstheme="majorHAnsi"/>
          <w:sz w:val="16"/>
          <w:szCs w:val="16"/>
        </w:rPr>
        <w:t>”.</w:t>
      </w:r>
    </w:p>
  </w:footnote>
  <w:footnote w:id="98">
    <w:p w14:paraId="40EE06BA" w14:textId="14CB2E8F" w:rsidR="003A2B47" w:rsidRPr="002E3358" w:rsidRDefault="003A2B47" w:rsidP="00EB6009">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Inițial, în anul 2014 la aprobarea structurii aparatului administrativ au fost prevăzute 5 unități de personal. Ulterior</w:t>
      </w:r>
      <w:r>
        <w:rPr>
          <w:rFonts w:asciiTheme="majorHAnsi" w:hAnsiTheme="majorHAnsi" w:cstheme="majorHAnsi"/>
          <w:sz w:val="16"/>
          <w:szCs w:val="16"/>
        </w:rPr>
        <w:t>,</w:t>
      </w:r>
      <w:r w:rsidRPr="002E3358">
        <w:rPr>
          <w:rFonts w:asciiTheme="majorHAnsi" w:hAnsiTheme="majorHAnsi" w:cstheme="majorHAnsi"/>
          <w:sz w:val="16"/>
          <w:szCs w:val="16"/>
        </w:rPr>
        <w:t xml:space="preserve"> conform schemei de încadrare  aprobate de MJ la 01.05.2015</w:t>
      </w:r>
      <w:r>
        <w:rPr>
          <w:rFonts w:asciiTheme="majorHAnsi" w:hAnsiTheme="majorHAnsi" w:cstheme="majorHAnsi"/>
          <w:sz w:val="16"/>
          <w:szCs w:val="16"/>
        </w:rPr>
        <w:t>,</w:t>
      </w:r>
      <w:r w:rsidRPr="002E3358">
        <w:rPr>
          <w:rFonts w:asciiTheme="majorHAnsi" w:hAnsiTheme="majorHAnsi" w:cstheme="majorHAnsi"/>
          <w:sz w:val="16"/>
          <w:szCs w:val="16"/>
        </w:rPr>
        <w:t xml:space="preserve"> au fost stabilite 6 unități de personal.</w:t>
      </w:r>
    </w:p>
  </w:footnote>
  <w:footnote w:id="99">
    <w:p w14:paraId="0684F187" w14:textId="77777777"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Legea finanțelor publice și responsabilității bugetar-fiscale nr. 181 din 25.07.2014.</w:t>
      </w:r>
    </w:p>
  </w:footnote>
  <w:footnote w:id="100">
    <w:p w14:paraId="3532875C" w14:textId="40CC1612" w:rsidR="003A2B47" w:rsidRPr="00CE18E6"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Ordinul MF nr. 208 din 24.12.2015 </w:t>
      </w:r>
      <w:r>
        <w:rPr>
          <w:rFonts w:asciiTheme="majorHAnsi" w:hAnsiTheme="majorHAnsi" w:cstheme="majorHAnsi"/>
          <w:sz w:val="16"/>
          <w:szCs w:val="16"/>
        </w:rPr>
        <w:t>„P</w:t>
      </w:r>
      <w:r w:rsidRPr="002E3358">
        <w:rPr>
          <w:rFonts w:asciiTheme="majorHAnsi" w:hAnsiTheme="majorHAnsi" w:cstheme="majorHAnsi"/>
          <w:sz w:val="16"/>
          <w:szCs w:val="16"/>
        </w:rPr>
        <w:t>rivind Clasificația bugetară, în speță Anexa nr.4 Norme metodologice privind aplicarea Clasificației organizaționale</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101">
    <w:p w14:paraId="6E7F9A8D" w14:textId="0E69EC93" w:rsidR="003A2B47" w:rsidRPr="002E3358" w:rsidRDefault="003A2B47" w:rsidP="00856765">
      <w:pPr>
        <w:pStyle w:val="FootnoteText"/>
        <w:jc w:val="both"/>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Pr>
          <w:rFonts w:asciiTheme="majorHAnsi" w:hAnsiTheme="majorHAnsi" w:cstheme="majorHAnsi"/>
          <w:sz w:val="16"/>
          <w:szCs w:val="16"/>
        </w:rPr>
        <w:t>A</w:t>
      </w:r>
      <w:r w:rsidRPr="002E3358">
        <w:rPr>
          <w:rFonts w:asciiTheme="majorHAnsi" w:hAnsiTheme="majorHAnsi" w:cstheme="majorHAnsi"/>
          <w:sz w:val="16"/>
          <w:szCs w:val="16"/>
        </w:rPr>
        <w:t xml:space="preserve">rt. 11 alin. (8) din Legea </w:t>
      </w:r>
      <w:r>
        <w:rPr>
          <w:rFonts w:asciiTheme="majorHAnsi" w:hAnsiTheme="majorHAnsi" w:cstheme="majorHAnsi"/>
          <w:sz w:val="16"/>
          <w:szCs w:val="16"/>
        </w:rPr>
        <w:t>nr.</w:t>
      </w:r>
      <w:r w:rsidRPr="002E3358">
        <w:rPr>
          <w:rFonts w:asciiTheme="majorHAnsi" w:hAnsiTheme="majorHAnsi" w:cstheme="majorHAnsi"/>
          <w:sz w:val="16"/>
          <w:szCs w:val="16"/>
        </w:rPr>
        <w:t>198/2007.</w:t>
      </w:r>
    </w:p>
  </w:footnote>
  <w:footnote w:id="102">
    <w:p w14:paraId="30591407" w14:textId="3D569982"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Ordinul MMPS nr. 11 din 12.11.2021 </w:t>
      </w:r>
      <w:r>
        <w:rPr>
          <w:rFonts w:asciiTheme="majorHAnsi" w:hAnsiTheme="majorHAnsi" w:cstheme="majorHAnsi"/>
          <w:sz w:val="16"/>
          <w:szCs w:val="16"/>
        </w:rPr>
        <w:t>„C</w:t>
      </w:r>
      <w:r w:rsidRPr="002E3358">
        <w:rPr>
          <w:rFonts w:asciiTheme="majorHAnsi" w:hAnsiTheme="majorHAnsi" w:cstheme="majorHAnsi"/>
          <w:sz w:val="16"/>
          <w:szCs w:val="16"/>
        </w:rPr>
        <w:t>u privire la aprobarea Clasificatorului Ocupațiilor din Republica Moldova</w:t>
      </w:r>
      <w:r>
        <w:rPr>
          <w:rFonts w:asciiTheme="majorHAnsi" w:hAnsiTheme="majorHAnsi" w:cstheme="majorHAnsi"/>
          <w:sz w:val="16"/>
          <w:szCs w:val="16"/>
        </w:rPr>
        <w:t>”</w:t>
      </w:r>
      <w:r w:rsidRPr="002E3358">
        <w:rPr>
          <w:rFonts w:asciiTheme="majorHAnsi" w:hAnsiTheme="majorHAnsi" w:cstheme="majorHAnsi"/>
          <w:sz w:val="16"/>
          <w:szCs w:val="16"/>
        </w:rPr>
        <w:t>.</w:t>
      </w:r>
    </w:p>
  </w:footnote>
  <w:footnote w:id="103">
    <w:p w14:paraId="64620D4F" w14:textId="7D2DDB49"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Legea </w:t>
      </w:r>
      <w:r>
        <w:rPr>
          <w:rFonts w:asciiTheme="majorHAnsi" w:hAnsiTheme="majorHAnsi" w:cstheme="majorHAnsi"/>
          <w:sz w:val="16"/>
          <w:szCs w:val="16"/>
        </w:rPr>
        <w:t>nr.</w:t>
      </w:r>
      <w:r w:rsidRPr="002E3358">
        <w:rPr>
          <w:rFonts w:asciiTheme="majorHAnsi" w:hAnsiTheme="majorHAnsi" w:cstheme="majorHAnsi"/>
          <w:sz w:val="16"/>
          <w:szCs w:val="16"/>
        </w:rPr>
        <w:t>270 din 23.11.2018 privind sistemul unitar de salarizare în sector bugetar.</w:t>
      </w:r>
    </w:p>
  </w:footnote>
  <w:footnote w:id="104">
    <w:p w14:paraId="20A57574" w14:textId="3E4BDE3A"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Contract</w:t>
      </w:r>
      <w:r>
        <w:rPr>
          <w:rFonts w:asciiTheme="majorHAnsi" w:hAnsiTheme="majorHAnsi" w:cstheme="majorHAnsi"/>
          <w:sz w:val="16"/>
          <w:szCs w:val="16"/>
        </w:rPr>
        <w:t>e</w:t>
      </w:r>
      <w:r w:rsidRPr="002E3358">
        <w:rPr>
          <w:rFonts w:asciiTheme="majorHAnsi" w:hAnsiTheme="majorHAnsi" w:cstheme="majorHAnsi"/>
          <w:sz w:val="16"/>
          <w:szCs w:val="16"/>
        </w:rPr>
        <w:t>l</w:t>
      </w:r>
      <w:r>
        <w:rPr>
          <w:rFonts w:asciiTheme="majorHAnsi" w:hAnsiTheme="majorHAnsi" w:cstheme="majorHAnsi"/>
          <w:sz w:val="16"/>
          <w:szCs w:val="16"/>
        </w:rPr>
        <w:t>e</w:t>
      </w:r>
      <w:r w:rsidRPr="002E3358">
        <w:rPr>
          <w:rFonts w:asciiTheme="majorHAnsi" w:hAnsiTheme="majorHAnsi" w:cstheme="majorHAnsi"/>
          <w:sz w:val="16"/>
          <w:szCs w:val="16"/>
        </w:rPr>
        <w:t xml:space="preserve"> individual</w:t>
      </w:r>
      <w:r>
        <w:rPr>
          <w:rFonts w:asciiTheme="majorHAnsi" w:hAnsiTheme="majorHAnsi" w:cstheme="majorHAnsi"/>
          <w:sz w:val="16"/>
          <w:szCs w:val="16"/>
        </w:rPr>
        <w:t>e</w:t>
      </w:r>
      <w:r w:rsidRPr="002E3358">
        <w:rPr>
          <w:rFonts w:asciiTheme="majorHAnsi" w:hAnsiTheme="majorHAnsi" w:cstheme="majorHAnsi"/>
          <w:sz w:val="16"/>
          <w:szCs w:val="16"/>
        </w:rPr>
        <w:t xml:space="preserve"> de muncă încheiate între CNAJGS și Coordonatori, fișele de post ale acestora, contractele individuale de muncă încheiate între coordonatori și avocați/para-juriști.</w:t>
      </w:r>
    </w:p>
  </w:footnote>
  <w:footnote w:id="105">
    <w:p w14:paraId="0697B03F" w14:textId="77777777" w:rsidR="003A2B47" w:rsidRPr="002E3358"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Schema de încadrare; Estimările de cheltuieli de personal; altele.</w:t>
      </w:r>
    </w:p>
  </w:footnote>
  <w:footnote w:id="106">
    <w:p w14:paraId="045110D8" w14:textId="7A54D7E3" w:rsidR="003A2B47" w:rsidRPr="00606797" w:rsidRDefault="003A2B47" w:rsidP="00856765">
      <w:pPr>
        <w:pStyle w:val="FootnoteText"/>
        <w:jc w:val="both"/>
        <w:rPr>
          <w:rFonts w:asciiTheme="majorHAnsi" w:hAnsiTheme="majorHAnsi" w:cstheme="majorHAnsi"/>
          <w:sz w:val="16"/>
          <w:szCs w:val="16"/>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Lege</w:t>
      </w:r>
      <w:r>
        <w:rPr>
          <w:rFonts w:asciiTheme="majorHAnsi" w:hAnsiTheme="majorHAnsi" w:cstheme="majorHAnsi"/>
          <w:sz w:val="16"/>
          <w:szCs w:val="16"/>
        </w:rPr>
        <w:t>a</w:t>
      </w:r>
      <w:r w:rsidRPr="002E3358">
        <w:rPr>
          <w:rFonts w:asciiTheme="majorHAnsi" w:hAnsiTheme="majorHAnsi" w:cstheme="majorHAnsi"/>
          <w:sz w:val="16"/>
          <w:szCs w:val="16"/>
        </w:rPr>
        <w:t xml:space="preserve"> </w:t>
      </w:r>
      <w:r>
        <w:rPr>
          <w:rFonts w:asciiTheme="majorHAnsi" w:hAnsiTheme="majorHAnsi" w:cstheme="majorHAnsi"/>
          <w:sz w:val="16"/>
          <w:szCs w:val="16"/>
        </w:rPr>
        <w:t>nr.</w:t>
      </w:r>
      <w:r w:rsidRPr="002E3358">
        <w:rPr>
          <w:rFonts w:asciiTheme="majorHAnsi" w:hAnsiTheme="majorHAnsi" w:cstheme="majorHAnsi"/>
          <w:sz w:val="16"/>
          <w:szCs w:val="16"/>
        </w:rPr>
        <w:t>229 din 23.09.2010 privind controlul financiar public intern.</w:t>
      </w:r>
    </w:p>
  </w:footnote>
  <w:footnote w:id="107">
    <w:p w14:paraId="34FFEB89" w14:textId="3FF1C214" w:rsidR="003A2B47" w:rsidRPr="002E3358" w:rsidRDefault="003A2B47">
      <w:pPr>
        <w:pStyle w:val="FootnoteText"/>
        <w:rPr>
          <w:rFonts w:asciiTheme="majorHAnsi" w:hAnsiTheme="majorHAnsi" w:cstheme="majorHAnsi"/>
        </w:rPr>
      </w:pPr>
      <w:r w:rsidRPr="002E3358">
        <w:rPr>
          <w:rStyle w:val="FootnoteReference"/>
          <w:rFonts w:asciiTheme="majorHAnsi" w:hAnsiTheme="majorHAnsi" w:cstheme="majorHAnsi"/>
          <w:sz w:val="16"/>
          <w:szCs w:val="16"/>
        </w:rPr>
        <w:footnoteRef/>
      </w:r>
      <w:r w:rsidRPr="002E3358">
        <w:rPr>
          <w:rFonts w:asciiTheme="majorHAnsi" w:hAnsiTheme="majorHAnsi" w:cstheme="majorHAnsi"/>
          <w:sz w:val="16"/>
          <w:szCs w:val="16"/>
        </w:rPr>
        <w:t xml:space="preserve"> </w:t>
      </w:r>
      <w:r w:rsidRPr="002E3358">
        <w:rPr>
          <w:rFonts w:asciiTheme="majorHAnsi" w:hAnsiTheme="majorHAnsi" w:cstheme="majorHAnsi"/>
          <w:sz w:val="16"/>
          <w:szCs w:val="16"/>
        </w:rPr>
        <w:t xml:space="preserve">Standardele naționale de </w:t>
      </w:r>
      <w:r>
        <w:rPr>
          <w:rFonts w:asciiTheme="majorHAnsi" w:hAnsiTheme="majorHAnsi" w:cstheme="majorHAnsi"/>
          <w:sz w:val="16"/>
          <w:szCs w:val="16"/>
        </w:rPr>
        <w:t>control intern</w:t>
      </w:r>
      <w:r w:rsidRPr="002E3358">
        <w:rPr>
          <w:rFonts w:asciiTheme="majorHAnsi" w:hAnsiTheme="majorHAnsi" w:cstheme="maj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14F"/>
    <w:multiLevelType w:val="hybridMultilevel"/>
    <w:tmpl w:val="7A44F95E"/>
    <w:lvl w:ilvl="0" w:tplc="4552DEDE">
      <w:start w:val="1"/>
      <w:numFmt w:val="lowerLetter"/>
      <w:lvlText w:val="%1)"/>
      <w:lvlJc w:val="left"/>
      <w:pPr>
        <w:ind w:left="720" w:hanging="360"/>
      </w:pPr>
      <w:rPr>
        <w:rFonts w:asciiTheme="minorHAnsi" w:eastAsiaTheme="minorHAnsi" w:hAnsiTheme="minorHAnsi" w:cstheme="minorHAnsi"/>
        <w:b/>
        <w:i/>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924"/>
    <w:multiLevelType w:val="hybridMultilevel"/>
    <w:tmpl w:val="3BC43B64"/>
    <w:lvl w:ilvl="0" w:tplc="EE3E848E">
      <w:start w:val="2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5F64E7"/>
    <w:multiLevelType w:val="hybridMultilevel"/>
    <w:tmpl w:val="ED6CF02C"/>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E56"/>
    <w:multiLevelType w:val="hybridMultilevel"/>
    <w:tmpl w:val="4FD28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7ABC"/>
    <w:multiLevelType w:val="hybridMultilevel"/>
    <w:tmpl w:val="2CBEEE60"/>
    <w:lvl w:ilvl="0" w:tplc="82DEF8E0">
      <w:start w:val="110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1F18"/>
    <w:multiLevelType w:val="hybridMultilevel"/>
    <w:tmpl w:val="692056F4"/>
    <w:lvl w:ilvl="0" w:tplc="1F58CB3A">
      <w:start w:val="1"/>
      <w:numFmt w:val="lowerRoman"/>
      <w:lvlText w:val="(%1)"/>
      <w:lvlJc w:val="left"/>
      <w:pPr>
        <w:ind w:left="399" w:hanging="360"/>
      </w:pPr>
      <w:rPr>
        <w:rFonts w:asciiTheme="majorHAnsi" w:eastAsia="Times New Roman" w:hAnsiTheme="majorHAnsi" w:cstheme="majorHAnsi"/>
        <w:b/>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 w15:restartNumberingAfterBreak="0">
    <w:nsid w:val="100124F6"/>
    <w:multiLevelType w:val="multilevel"/>
    <w:tmpl w:val="F818480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812770"/>
    <w:multiLevelType w:val="multilevel"/>
    <w:tmpl w:val="F17A74C0"/>
    <w:lvl w:ilvl="0">
      <w:start w:val="1"/>
      <w:numFmt w:val="upperRoman"/>
      <w:lvlText w:val="%1."/>
      <w:lvlJc w:val="left"/>
      <w:pPr>
        <w:ind w:left="720" w:hanging="720"/>
      </w:pPr>
      <w:rPr>
        <w:rFonts w:asciiTheme="majorHAnsi" w:hAnsiTheme="majorHAnsi" w:cstheme="majorHAnsi" w:hint="default"/>
        <w:i w:val="0"/>
        <w:color w:val="1F4E79" w:themeColor="accent1" w:themeShade="80"/>
      </w:rPr>
    </w:lvl>
    <w:lvl w:ilvl="1">
      <w:start w:val="1"/>
      <w:numFmt w:val="decimal"/>
      <w:isLgl/>
      <w:lvlText w:val="%1.%2"/>
      <w:lvlJc w:val="left"/>
      <w:pPr>
        <w:ind w:left="-270" w:hanging="360"/>
      </w:pPr>
      <w:rPr>
        <w:rFonts w:asciiTheme="majorHAnsi" w:hAnsiTheme="majorHAnsi" w:cstheme="majorHAnsi" w:hint="default"/>
        <w:b/>
        <w:i w:val="0"/>
        <w:color w:val="2E74B5" w:themeColor="accent1" w:themeShade="BF"/>
      </w:rPr>
    </w:lvl>
    <w:lvl w:ilvl="2">
      <w:start w:val="1"/>
      <w:numFmt w:val="decimal"/>
      <w:isLgl/>
      <w:lvlText w:val="%1.%2.%3"/>
      <w:lvlJc w:val="left"/>
      <w:pPr>
        <w:ind w:left="1260" w:hanging="720"/>
      </w:pPr>
      <w:rPr>
        <w:rFonts w:hint="default"/>
        <w:b/>
        <w:color w:val="2E74B5" w:themeColor="accent1" w:themeShade="BF"/>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A5301"/>
    <w:multiLevelType w:val="hybridMultilevel"/>
    <w:tmpl w:val="0750D250"/>
    <w:lvl w:ilvl="0" w:tplc="D1320B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38E"/>
    <w:multiLevelType w:val="hybridMultilevel"/>
    <w:tmpl w:val="679E9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08B"/>
    <w:multiLevelType w:val="hybridMultilevel"/>
    <w:tmpl w:val="12BAC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465F2"/>
    <w:multiLevelType w:val="hybridMultilevel"/>
    <w:tmpl w:val="3C1ECACE"/>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161F"/>
    <w:multiLevelType w:val="hybridMultilevel"/>
    <w:tmpl w:val="AD0EA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0E7A"/>
    <w:multiLevelType w:val="hybridMultilevel"/>
    <w:tmpl w:val="30E4E41E"/>
    <w:lvl w:ilvl="0" w:tplc="37EE217A">
      <w:start w:val="1"/>
      <w:numFmt w:val="lowerLetter"/>
      <w:lvlText w:val="%1)"/>
      <w:lvlJc w:val="left"/>
      <w:pPr>
        <w:ind w:left="900" w:hanging="360"/>
      </w:pPr>
      <w:rPr>
        <w:rFonts w:asciiTheme="minorHAnsi" w:hAnsiTheme="minorHAnsi" w:cstheme="minorHAnsi" w:hint="default"/>
        <w:i/>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504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DF4884"/>
    <w:multiLevelType w:val="hybridMultilevel"/>
    <w:tmpl w:val="1620145C"/>
    <w:lvl w:ilvl="0" w:tplc="53544FF2">
      <w:start w:val="1"/>
      <w:numFmt w:val="lowerRoman"/>
      <w:lvlText w:val="(%1)"/>
      <w:lvlJc w:val="left"/>
      <w:pPr>
        <w:ind w:left="3191" w:hanging="360"/>
      </w:pPr>
      <w:rPr>
        <w:rFonts w:hint="default"/>
        <w:b/>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16" w15:restartNumberingAfterBreak="0">
    <w:nsid w:val="37AD223B"/>
    <w:multiLevelType w:val="hybridMultilevel"/>
    <w:tmpl w:val="70086E4E"/>
    <w:lvl w:ilvl="0" w:tplc="DC5C6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A194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FD01F3"/>
    <w:multiLevelType w:val="hybridMultilevel"/>
    <w:tmpl w:val="53E4C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C4A31"/>
    <w:multiLevelType w:val="hybridMultilevel"/>
    <w:tmpl w:val="0382ED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318FE"/>
    <w:multiLevelType w:val="hybridMultilevel"/>
    <w:tmpl w:val="D320E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314F9"/>
    <w:multiLevelType w:val="hybridMultilevel"/>
    <w:tmpl w:val="17D6D954"/>
    <w:lvl w:ilvl="0" w:tplc="7AD6C4D0">
      <w:start w:val="1"/>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E40B6"/>
    <w:multiLevelType w:val="hybridMultilevel"/>
    <w:tmpl w:val="C060C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455"/>
    <w:multiLevelType w:val="hybridMultilevel"/>
    <w:tmpl w:val="716A715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56E27B6"/>
    <w:multiLevelType w:val="hybridMultilevel"/>
    <w:tmpl w:val="5B6E06A6"/>
    <w:lvl w:ilvl="0" w:tplc="76FAF714">
      <w:start w:val="1"/>
      <w:numFmt w:val="lowerRoman"/>
      <w:lvlText w:val="%1)"/>
      <w:lvlJc w:val="left"/>
      <w:pPr>
        <w:ind w:left="1080" w:hanging="720"/>
      </w:pPr>
      <w:rPr>
        <w:rFonts w:hint="default"/>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43EEB"/>
    <w:multiLevelType w:val="multilevel"/>
    <w:tmpl w:val="08D881B6"/>
    <w:lvl w:ilvl="0">
      <w:start w:val="4"/>
      <w:numFmt w:val="decimal"/>
      <w:lvlText w:val="%1."/>
      <w:lvlJc w:val="left"/>
      <w:pPr>
        <w:ind w:left="540" w:hanging="540"/>
      </w:pPr>
      <w:rPr>
        <w:rFonts w:ascii="Times New Roman" w:hAnsi="Times New Roman" w:cstheme="majorBidi" w:hint="default"/>
      </w:rPr>
    </w:lvl>
    <w:lvl w:ilvl="1">
      <w:start w:val="3"/>
      <w:numFmt w:val="decimal"/>
      <w:lvlText w:val="%1.%2."/>
      <w:lvlJc w:val="left"/>
      <w:pPr>
        <w:ind w:left="720" w:hanging="540"/>
      </w:pPr>
      <w:rPr>
        <w:rFonts w:ascii="Times New Roman" w:hAnsi="Times New Roman" w:cstheme="majorBidi" w:hint="default"/>
      </w:rPr>
    </w:lvl>
    <w:lvl w:ilvl="2">
      <w:start w:val="1"/>
      <w:numFmt w:val="decimal"/>
      <w:lvlText w:val="%1.%2.%3."/>
      <w:lvlJc w:val="left"/>
      <w:pPr>
        <w:ind w:left="720" w:hanging="720"/>
      </w:pPr>
      <w:rPr>
        <w:rFonts w:asciiTheme="minorHAnsi" w:hAnsiTheme="minorHAnsi" w:cstheme="minorHAnsi" w:hint="default"/>
        <w:b/>
        <w:i/>
        <w:color w:val="0070C0"/>
      </w:rPr>
    </w:lvl>
    <w:lvl w:ilvl="3">
      <w:start w:val="1"/>
      <w:numFmt w:val="decimal"/>
      <w:lvlText w:val="%1.%2.%3.%4."/>
      <w:lvlJc w:val="left"/>
      <w:pPr>
        <w:ind w:left="1260" w:hanging="720"/>
      </w:pPr>
      <w:rPr>
        <w:rFonts w:ascii="Times New Roman" w:hAnsi="Times New Roman" w:cstheme="majorBidi" w:hint="default"/>
      </w:rPr>
    </w:lvl>
    <w:lvl w:ilvl="4">
      <w:start w:val="1"/>
      <w:numFmt w:val="decimal"/>
      <w:lvlText w:val="%1.%2.%3.%4.%5."/>
      <w:lvlJc w:val="left"/>
      <w:pPr>
        <w:ind w:left="1800" w:hanging="1080"/>
      </w:pPr>
      <w:rPr>
        <w:rFonts w:ascii="Times New Roman" w:hAnsi="Times New Roman" w:cstheme="majorBidi" w:hint="default"/>
      </w:rPr>
    </w:lvl>
    <w:lvl w:ilvl="5">
      <w:start w:val="1"/>
      <w:numFmt w:val="decimal"/>
      <w:lvlText w:val="%1.%2.%3.%4.%5.%6."/>
      <w:lvlJc w:val="left"/>
      <w:pPr>
        <w:ind w:left="1980" w:hanging="1080"/>
      </w:pPr>
      <w:rPr>
        <w:rFonts w:ascii="Times New Roman" w:hAnsi="Times New Roman" w:cstheme="majorBidi" w:hint="default"/>
      </w:rPr>
    </w:lvl>
    <w:lvl w:ilvl="6">
      <w:start w:val="1"/>
      <w:numFmt w:val="decimal"/>
      <w:lvlText w:val="%1.%2.%3.%4.%5.%6.%7."/>
      <w:lvlJc w:val="left"/>
      <w:pPr>
        <w:ind w:left="2520" w:hanging="1440"/>
      </w:pPr>
      <w:rPr>
        <w:rFonts w:ascii="Times New Roman" w:hAnsi="Times New Roman" w:cstheme="majorBidi" w:hint="default"/>
      </w:rPr>
    </w:lvl>
    <w:lvl w:ilvl="7">
      <w:start w:val="1"/>
      <w:numFmt w:val="decimal"/>
      <w:lvlText w:val="%1.%2.%3.%4.%5.%6.%7.%8."/>
      <w:lvlJc w:val="left"/>
      <w:pPr>
        <w:ind w:left="2700" w:hanging="1440"/>
      </w:pPr>
      <w:rPr>
        <w:rFonts w:ascii="Times New Roman" w:hAnsi="Times New Roman" w:cstheme="majorBidi" w:hint="default"/>
      </w:rPr>
    </w:lvl>
    <w:lvl w:ilvl="8">
      <w:start w:val="1"/>
      <w:numFmt w:val="decimal"/>
      <w:lvlText w:val="%1.%2.%3.%4.%5.%6.%7.%8.%9."/>
      <w:lvlJc w:val="left"/>
      <w:pPr>
        <w:ind w:left="3240" w:hanging="1800"/>
      </w:pPr>
      <w:rPr>
        <w:rFonts w:ascii="Times New Roman" w:hAnsi="Times New Roman" w:cstheme="majorBidi" w:hint="default"/>
      </w:rPr>
    </w:lvl>
  </w:abstractNum>
  <w:abstractNum w:abstractNumId="26" w15:restartNumberingAfterBreak="0">
    <w:nsid w:val="5AE26697"/>
    <w:multiLevelType w:val="hybridMultilevel"/>
    <w:tmpl w:val="F4E6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35CE4"/>
    <w:multiLevelType w:val="hybridMultilevel"/>
    <w:tmpl w:val="E1646F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DF0355"/>
    <w:multiLevelType w:val="multilevel"/>
    <w:tmpl w:val="94DEA40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35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E0231E"/>
    <w:multiLevelType w:val="hybridMultilevel"/>
    <w:tmpl w:val="1D70CC32"/>
    <w:lvl w:ilvl="0" w:tplc="304ADABA">
      <w:start w:val="4"/>
      <w:numFmt w:val="bullet"/>
      <w:lvlText w:val="-"/>
      <w:lvlJc w:val="left"/>
      <w:pPr>
        <w:ind w:left="720" w:hanging="360"/>
      </w:pPr>
      <w:rPr>
        <w:rFonts w:ascii="Calibri" w:eastAsia="Times New Roman"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10716"/>
    <w:multiLevelType w:val="multilevel"/>
    <w:tmpl w:val="94DEA40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651C06"/>
    <w:multiLevelType w:val="hybridMultilevel"/>
    <w:tmpl w:val="2370E4B8"/>
    <w:lvl w:ilvl="0" w:tplc="2BDAA72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742CB"/>
    <w:multiLevelType w:val="hybridMultilevel"/>
    <w:tmpl w:val="8EA86648"/>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548A8236">
      <w:start w:val="1"/>
      <w:numFmt w:val="decimal"/>
      <w:lvlText w:val="%3)"/>
      <w:lvlJc w:val="left"/>
      <w:pPr>
        <w:ind w:left="2379" w:hanging="360"/>
      </w:pPr>
      <w:rPr>
        <w:rFonts w:hint="default"/>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0F6162B"/>
    <w:multiLevelType w:val="hybridMultilevel"/>
    <w:tmpl w:val="148235D4"/>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518BC"/>
    <w:multiLevelType w:val="hybridMultilevel"/>
    <w:tmpl w:val="ED6CF02C"/>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C363C"/>
    <w:multiLevelType w:val="hybridMultilevel"/>
    <w:tmpl w:val="566CCAE4"/>
    <w:lvl w:ilvl="0" w:tplc="6308B0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857C6"/>
    <w:multiLevelType w:val="multilevel"/>
    <w:tmpl w:val="5F6E9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color w:val="2E74B5" w:themeColor="accent1" w:themeShade="B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9251FB"/>
    <w:multiLevelType w:val="hybridMultilevel"/>
    <w:tmpl w:val="E9BA2FDE"/>
    <w:lvl w:ilvl="0" w:tplc="941095D0">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50CF4"/>
    <w:multiLevelType w:val="hybridMultilevel"/>
    <w:tmpl w:val="1B088796"/>
    <w:lvl w:ilvl="0" w:tplc="1ABE5AEA">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E352D"/>
    <w:multiLevelType w:val="hybridMultilevel"/>
    <w:tmpl w:val="628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26C2E"/>
    <w:multiLevelType w:val="hybridMultilevel"/>
    <w:tmpl w:val="A9A011E6"/>
    <w:lvl w:ilvl="0" w:tplc="2CE80D1E">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F7F10"/>
    <w:multiLevelType w:val="hybridMultilevel"/>
    <w:tmpl w:val="8C1A625E"/>
    <w:lvl w:ilvl="0" w:tplc="4F806AEE">
      <w:start w:val="1"/>
      <w:numFmt w:val="low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A037E"/>
    <w:multiLevelType w:val="multilevel"/>
    <w:tmpl w:val="D8E678A8"/>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890" w:hanging="720"/>
      </w:pPr>
      <w:rPr>
        <w:rFonts w:hint="default"/>
        <w:b/>
        <w:color w:val="2E74B5" w:themeColor="accent1" w:themeShade="BF"/>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9F03275"/>
    <w:multiLevelType w:val="hybridMultilevel"/>
    <w:tmpl w:val="3612A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B3C93"/>
    <w:multiLevelType w:val="hybridMultilevel"/>
    <w:tmpl w:val="32320468"/>
    <w:lvl w:ilvl="0" w:tplc="422AA1E4">
      <w:start w:val="1"/>
      <w:numFmt w:val="bullet"/>
      <w:lvlText w:val="-"/>
      <w:lvlJc w:val="left"/>
      <w:pPr>
        <w:ind w:left="720" w:hanging="360"/>
      </w:pPr>
      <w:rPr>
        <w:rFonts w:ascii="Calibri Light" w:eastAsiaTheme="minorHAnsi" w:hAnsi="Calibri Light"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0469C"/>
    <w:multiLevelType w:val="hybridMultilevel"/>
    <w:tmpl w:val="3CA61EA6"/>
    <w:lvl w:ilvl="0" w:tplc="F070A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4"/>
  </w:num>
  <w:num w:numId="4">
    <w:abstractNumId w:val="17"/>
  </w:num>
  <w:num w:numId="5">
    <w:abstractNumId w:val="23"/>
  </w:num>
  <w:num w:numId="6">
    <w:abstractNumId w:val="47"/>
  </w:num>
  <w:num w:numId="7">
    <w:abstractNumId w:val="46"/>
  </w:num>
  <w:num w:numId="8">
    <w:abstractNumId w:val="9"/>
  </w:num>
  <w:num w:numId="9">
    <w:abstractNumId w:val="40"/>
  </w:num>
  <w:num w:numId="10">
    <w:abstractNumId w:val="3"/>
  </w:num>
  <w:num w:numId="11">
    <w:abstractNumId w:val="10"/>
  </w:num>
  <w:num w:numId="12">
    <w:abstractNumId w:val="22"/>
  </w:num>
  <w:num w:numId="13">
    <w:abstractNumId w:val="20"/>
  </w:num>
  <w:num w:numId="14">
    <w:abstractNumId w:val="18"/>
  </w:num>
  <w:num w:numId="15">
    <w:abstractNumId w:val="11"/>
  </w:num>
  <w:num w:numId="16">
    <w:abstractNumId w:val="45"/>
  </w:num>
  <w:num w:numId="17">
    <w:abstractNumId w:val="30"/>
  </w:num>
  <w:num w:numId="18">
    <w:abstractNumId w:val="13"/>
  </w:num>
  <w:num w:numId="19">
    <w:abstractNumId w:val="36"/>
  </w:num>
  <w:num w:numId="20">
    <w:abstractNumId w:val="24"/>
  </w:num>
  <w:num w:numId="21">
    <w:abstractNumId w:val="0"/>
  </w:num>
  <w:num w:numId="22">
    <w:abstractNumId w:val="1"/>
  </w:num>
  <w:num w:numId="23">
    <w:abstractNumId w:val="43"/>
  </w:num>
  <w:num w:numId="24">
    <w:abstractNumId w:val="38"/>
  </w:num>
  <w:num w:numId="25">
    <w:abstractNumId w:val="4"/>
  </w:num>
  <w:num w:numId="26">
    <w:abstractNumId w:val="44"/>
  </w:num>
  <w:num w:numId="27">
    <w:abstractNumId w:val="25"/>
  </w:num>
  <w:num w:numId="28">
    <w:abstractNumId w:val="6"/>
  </w:num>
  <w:num w:numId="29">
    <w:abstractNumId w:val="29"/>
  </w:num>
  <w:num w:numId="30">
    <w:abstractNumId w:val="21"/>
  </w:num>
  <w:num w:numId="31">
    <w:abstractNumId w:val="39"/>
  </w:num>
  <w:num w:numId="32">
    <w:abstractNumId w:val="26"/>
  </w:num>
  <w:num w:numId="33">
    <w:abstractNumId w:val="37"/>
  </w:num>
  <w:num w:numId="34">
    <w:abstractNumId w:val="12"/>
  </w:num>
  <w:num w:numId="35">
    <w:abstractNumId w:val="19"/>
  </w:num>
  <w:num w:numId="36">
    <w:abstractNumId w:val="35"/>
  </w:num>
  <w:num w:numId="37">
    <w:abstractNumId w:val="42"/>
  </w:num>
  <w:num w:numId="38">
    <w:abstractNumId w:val="41"/>
  </w:num>
  <w:num w:numId="39">
    <w:abstractNumId w:val="15"/>
  </w:num>
  <w:num w:numId="40">
    <w:abstractNumId w:val="5"/>
  </w:num>
  <w:num w:numId="41">
    <w:abstractNumId w:val="32"/>
  </w:num>
  <w:num w:numId="42">
    <w:abstractNumId w:val="16"/>
  </w:num>
  <w:num w:numId="43">
    <w:abstractNumId w:val="27"/>
  </w:num>
  <w:num w:numId="44">
    <w:abstractNumId w:val="2"/>
  </w:num>
  <w:num w:numId="45">
    <w:abstractNumId w:val="8"/>
  </w:num>
  <w:num w:numId="46">
    <w:abstractNumId w:val="31"/>
  </w:num>
  <w:num w:numId="47">
    <w:abstractNumId w:val="34"/>
  </w:num>
  <w:num w:numId="4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1"/>
    <w:rsid w:val="000007C5"/>
    <w:rsid w:val="00002CB4"/>
    <w:rsid w:val="00002E65"/>
    <w:rsid w:val="00003CD7"/>
    <w:rsid w:val="00003D10"/>
    <w:rsid w:val="00003F54"/>
    <w:rsid w:val="000042A8"/>
    <w:rsid w:val="000044C2"/>
    <w:rsid w:val="00004E83"/>
    <w:rsid w:val="000057CC"/>
    <w:rsid w:val="00005E3F"/>
    <w:rsid w:val="0000668E"/>
    <w:rsid w:val="000068AC"/>
    <w:rsid w:val="00006AA6"/>
    <w:rsid w:val="0000773A"/>
    <w:rsid w:val="00007BB7"/>
    <w:rsid w:val="00007E68"/>
    <w:rsid w:val="00010165"/>
    <w:rsid w:val="0001038D"/>
    <w:rsid w:val="00010981"/>
    <w:rsid w:val="000119F5"/>
    <w:rsid w:val="00011BB3"/>
    <w:rsid w:val="0001212F"/>
    <w:rsid w:val="0001372E"/>
    <w:rsid w:val="00014770"/>
    <w:rsid w:val="000152F6"/>
    <w:rsid w:val="000154A3"/>
    <w:rsid w:val="000169A7"/>
    <w:rsid w:val="00016D2B"/>
    <w:rsid w:val="00016E5A"/>
    <w:rsid w:val="0001721A"/>
    <w:rsid w:val="000172C7"/>
    <w:rsid w:val="00017EAC"/>
    <w:rsid w:val="00020B73"/>
    <w:rsid w:val="000211E4"/>
    <w:rsid w:val="000215F8"/>
    <w:rsid w:val="000223E7"/>
    <w:rsid w:val="00022A06"/>
    <w:rsid w:val="00022D3A"/>
    <w:rsid w:val="00023602"/>
    <w:rsid w:val="00023E27"/>
    <w:rsid w:val="00024D2B"/>
    <w:rsid w:val="000264A6"/>
    <w:rsid w:val="00026BB3"/>
    <w:rsid w:val="00026E3D"/>
    <w:rsid w:val="00027F53"/>
    <w:rsid w:val="0003028E"/>
    <w:rsid w:val="00030504"/>
    <w:rsid w:val="00030F9C"/>
    <w:rsid w:val="0003101B"/>
    <w:rsid w:val="00032B66"/>
    <w:rsid w:val="00032F07"/>
    <w:rsid w:val="0003304C"/>
    <w:rsid w:val="0003330E"/>
    <w:rsid w:val="0003366F"/>
    <w:rsid w:val="00033C65"/>
    <w:rsid w:val="00034682"/>
    <w:rsid w:val="00034A6A"/>
    <w:rsid w:val="00035E67"/>
    <w:rsid w:val="00037839"/>
    <w:rsid w:val="00037911"/>
    <w:rsid w:val="000401E1"/>
    <w:rsid w:val="0004043C"/>
    <w:rsid w:val="00040BCB"/>
    <w:rsid w:val="00040CEA"/>
    <w:rsid w:val="00040DBB"/>
    <w:rsid w:val="00040DE4"/>
    <w:rsid w:val="00041B5F"/>
    <w:rsid w:val="00041E73"/>
    <w:rsid w:val="00042209"/>
    <w:rsid w:val="00042642"/>
    <w:rsid w:val="00042C4C"/>
    <w:rsid w:val="00042FF3"/>
    <w:rsid w:val="00043A25"/>
    <w:rsid w:val="000445F1"/>
    <w:rsid w:val="000448AA"/>
    <w:rsid w:val="000451C4"/>
    <w:rsid w:val="0004540E"/>
    <w:rsid w:val="00045481"/>
    <w:rsid w:val="00045C02"/>
    <w:rsid w:val="00045D06"/>
    <w:rsid w:val="00045E19"/>
    <w:rsid w:val="00045E88"/>
    <w:rsid w:val="00046974"/>
    <w:rsid w:val="00046CC7"/>
    <w:rsid w:val="00046E52"/>
    <w:rsid w:val="0004757F"/>
    <w:rsid w:val="00051424"/>
    <w:rsid w:val="00053758"/>
    <w:rsid w:val="00053DA2"/>
    <w:rsid w:val="00054605"/>
    <w:rsid w:val="00055666"/>
    <w:rsid w:val="0005586E"/>
    <w:rsid w:val="00055D63"/>
    <w:rsid w:val="000562E9"/>
    <w:rsid w:val="00056545"/>
    <w:rsid w:val="000571A0"/>
    <w:rsid w:val="00057497"/>
    <w:rsid w:val="00057F5B"/>
    <w:rsid w:val="000600B0"/>
    <w:rsid w:val="000604D3"/>
    <w:rsid w:val="000606F0"/>
    <w:rsid w:val="00061567"/>
    <w:rsid w:val="0006178E"/>
    <w:rsid w:val="000619CA"/>
    <w:rsid w:val="00061C0A"/>
    <w:rsid w:val="00061EC0"/>
    <w:rsid w:val="00062B4E"/>
    <w:rsid w:val="00062B7C"/>
    <w:rsid w:val="00062BDE"/>
    <w:rsid w:val="000630D7"/>
    <w:rsid w:val="000632BE"/>
    <w:rsid w:val="00063968"/>
    <w:rsid w:val="000646A1"/>
    <w:rsid w:val="000646A4"/>
    <w:rsid w:val="00065423"/>
    <w:rsid w:val="0006575F"/>
    <w:rsid w:val="00065860"/>
    <w:rsid w:val="000659AC"/>
    <w:rsid w:val="000660F4"/>
    <w:rsid w:val="00066528"/>
    <w:rsid w:val="00067A66"/>
    <w:rsid w:val="00070624"/>
    <w:rsid w:val="000706FB"/>
    <w:rsid w:val="0007074E"/>
    <w:rsid w:val="000707AA"/>
    <w:rsid w:val="00070B9B"/>
    <w:rsid w:val="0007173B"/>
    <w:rsid w:val="00072610"/>
    <w:rsid w:val="00072885"/>
    <w:rsid w:val="00072ADB"/>
    <w:rsid w:val="00073008"/>
    <w:rsid w:val="0007312B"/>
    <w:rsid w:val="00073426"/>
    <w:rsid w:val="00074205"/>
    <w:rsid w:val="0007446E"/>
    <w:rsid w:val="00074DE8"/>
    <w:rsid w:val="00074DF2"/>
    <w:rsid w:val="000754C7"/>
    <w:rsid w:val="0007590E"/>
    <w:rsid w:val="00075C73"/>
    <w:rsid w:val="000765EE"/>
    <w:rsid w:val="00076642"/>
    <w:rsid w:val="00076A31"/>
    <w:rsid w:val="00076B45"/>
    <w:rsid w:val="00076B64"/>
    <w:rsid w:val="00076F09"/>
    <w:rsid w:val="00077086"/>
    <w:rsid w:val="00077DDC"/>
    <w:rsid w:val="00077FA9"/>
    <w:rsid w:val="00080236"/>
    <w:rsid w:val="00080598"/>
    <w:rsid w:val="00080CB9"/>
    <w:rsid w:val="00080CE6"/>
    <w:rsid w:val="00081615"/>
    <w:rsid w:val="00081852"/>
    <w:rsid w:val="000819C1"/>
    <w:rsid w:val="00081B1C"/>
    <w:rsid w:val="000823BD"/>
    <w:rsid w:val="000823BF"/>
    <w:rsid w:val="00082470"/>
    <w:rsid w:val="00082DEC"/>
    <w:rsid w:val="00084323"/>
    <w:rsid w:val="00084AEC"/>
    <w:rsid w:val="00084EC3"/>
    <w:rsid w:val="00085529"/>
    <w:rsid w:val="000857A2"/>
    <w:rsid w:val="00085E78"/>
    <w:rsid w:val="000869FF"/>
    <w:rsid w:val="00086ABE"/>
    <w:rsid w:val="000877E1"/>
    <w:rsid w:val="00087B5C"/>
    <w:rsid w:val="00087BD2"/>
    <w:rsid w:val="00087EF9"/>
    <w:rsid w:val="00090BF0"/>
    <w:rsid w:val="00091713"/>
    <w:rsid w:val="00091B9E"/>
    <w:rsid w:val="00091EC3"/>
    <w:rsid w:val="000925A9"/>
    <w:rsid w:val="00092734"/>
    <w:rsid w:val="0009305A"/>
    <w:rsid w:val="000930A1"/>
    <w:rsid w:val="00093FF4"/>
    <w:rsid w:val="000944E0"/>
    <w:rsid w:val="0009463B"/>
    <w:rsid w:val="00094B6F"/>
    <w:rsid w:val="000965E6"/>
    <w:rsid w:val="00096862"/>
    <w:rsid w:val="000973C7"/>
    <w:rsid w:val="000A0119"/>
    <w:rsid w:val="000A056E"/>
    <w:rsid w:val="000A0E2F"/>
    <w:rsid w:val="000A0E94"/>
    <w:rsid w:val="000A0FB7"/>
    <w:rsid w:val="000A14B8"/>
    <w:rsid w:val="000A1515"/>
    <w:rsid w:val="000A1A85"/>
    <w:rsid w:val="000A2B77"/>
    <w:rsid w:val="000A2C97"/>
    <w:rsid w:val="000A3260"/>
    <w:rsid w:val="000A34B7"/>
    <w:rsid w:val="000A3D6A"/>
    <w:rsid w:val="000A521C"/>
    <w:rsid w:val="000A52F4"/>
    <w:rsid w:val="000A56C8"/>
    <w:rsid w:val="000A6058"/>
    <w:rsid w:val="000A646F"/>
    <w:rsid w:val="000A72D9"/>
    <w:rsid w:val="000A7378"/>
    <w:rsid w:val="000A755C"/>
    <w:rsid w:val="000B03D8"/>
    <w:rsid w:val="000B09F8"/>
    <w:rsid w:val="000B0AFA"/>
    <w:rsid w:val="000B0D94"/>
    <w:rsid w:val="000B1714"/>
    <w:rsid w:val="000B1C5D"/>
    <w:rsid w:val="000B288B"/>
    <w:rsid w:val="000B29D3"/>
    <w:rsid w:val="000B2E4B"/>
    <w:rsid w:val="000B36DF"/>
    <w:rsid w:val="000B3A24"/>
    <w:rsid w:val="000B4B89"/>
    <w:rsid w:val="000B4EE6"/>
    <w:rsid w:val="000B6ACD"/>
    <w:rsid w:val="000B6BD9"/>
    <w:rsid w:val="000B6DF0"/>
    <w:rsid w:val="000B707F"/>
    <w:rsid w:val="000B7B1F"/>
    <w:rsid w:val="000B7D56"/>
    <w:rsid w:val="000C060A"/>
    <w:rsid w:val="000C0610"/>
    <w:rsid w:val="000C0DF5"/>
    <w:rsid w:val="000C1D21"/>
    <w:rsid w:val="000C2934"/>
    <w:rsid w:val="000C2A64"/>
    <w:rsid w:val="000C3855"/>
    <w:rsid w:val="000C3C26"/>
    <w:rsid w:val="000C426D"/>
    <w:rsid w:val="000C4707"/>
    <w:rsid w:val="000C4E01"/>
    <w:rsid w:val="000C557D"/>
    <w:rsid w:val="000C6171"/>
    <w:rsid w:val="000C61A9"/>
    <w:rsid w:val="000C66ED"/>
    <w:rsid w:val="000C6E19"/>
    <w:rsid w:val="000C747E"/>
    <w:rsid w:val="000C7721"/>
    <w:rsid w:val="000C7804"/>
    <w:rsid w:val="000C7AA1"/>
    <w:rsid w:val="000D0C7A"/>
    <w:rsid w:val="000D1145"/>
    <w:rsid w:val="000D1AB0"/>
    <w:rsid w:val="000D2E25"/>
    <w:rsid w:val="000D2E37"/>
    <w:rsid w:val="000D38BE"/>
    <w:rsid w:val="000D39CE"/>
    <w:rsid w:val="000D4F7A"/>
    <w:rsid w:val="000D523B"/>
    <w:rsid w:val="000D5F21"/>
    <w:rsid w:val="000D684D"/>
    <w:rsid w:val="000D7D57"/>
    <w:rsid w:val="000E027F"/>
    <w:rsid w:val="000E0C79"/>
    <w:rsid w:val="000E172F"/>
    <w:rsid w:val="000E2E78"/>
    <w:rsid w:val="000E321E"/>
    <w:rsid w:val="000E39A8"/>
    <w:rsid w:val="000E3D2A"/>
    <w:rsid w:val="000E42D4"/>
    <w:rsid w:val="000E45DC"/>
    <w:rsid w:val="000E4B86"/>
    <w:rsid w:val="000E566A"/>
    <w:rsid w:val="000E5AF2"/>
    <w:rsid w:val="000E6420"/>
    <w:rsid w:val="000E79E2"/>
    <w:rsid w:val="000E7C1E"/>
    <w:rsid w:val="000E7F69"/>
    <w:rsid w:val="000F00DC"/>
    <w:rsid w:val="000F0A23"/>
    <w:rsid w:val="000F0C1A"/>
    <w:rsid w:val="000F22A2"/>
    <w:rsid w:val="000F2584"/>
    <w:rsid w:val="000F2A1B"/>
    <w:rsid w:val="000F3D76"/>
    <w:rsid w:val="000F4A14"/>
    <w:rsid w:val="000F4A59"/>
    <w:rsid w:val="000F4B61"/>
    <w:rsid w:val="000F51EC"/>
    <w:rsid w:val="000F537F"/>
    <w:rsid w:val="000F710B"/>
    <w:rsid w:val="000F72BF"/>
    <w:rsid w:val="000F732E"/>
    <w:rsid w:val="000F77D6"/>
    <w:rsid w:val="001003E9"/>
    <w:rsid w:val="00100ACE"/>
    <w:rsid w:val="001010C9"/>
    <w:rsid w:val="00101104"/>
    <w:rsid w:val="001013DB"/>
    <w:rsid w:val="00101E17"/>
    <w:rsid w:val="0010243D"/>
    <w:rsid w:val="001033FB"/>
    <w:rsid w:val="00103CA0"/>
    <w:rsid w:val="001045E9"/>
    <w:rsid w:val="00105E27"/>
    <w:rsid w:val="00105EE1"/>
    <w:rsid w:val="001063D5"/>
    <w:rsid w:val="00106B34"/>
    <w:rsid w:val="00107112"/>
    <w:rsid w:val="0010779E"/>
    <w:rsid w:val="00107B0B"/>
    <w:rsid w:val="00107FAF"/>
    <w:rsid w:val="00110D3A"/>
    <w:rsid w:val="00110EDB"/>
    <w:rsid w:val="00111243"/>
    <w:rsid w:val="001120E9"/>
    <w:rsid w:val="00112192"/>
    <w:rsid w:val="001126A6"/>
    <w:rsid w:val="001135FE"/>
    <w:rsid w:val="00114AF8"/>
    <w:rsid w:val="00114AFD"/>
    <w:rsid w:val="00114D17"/>
    <w:rsid w:val="00115F94"/>
    <w:rsid w:val="00116811"/>
    <w:rsid w:val="00116B4D"/>
    <w:rsid w:val="00116B61"/>
    <w:rsid w:val="00117E22"/>
    <w:rsid w:val="00121376"/>
    <w:rsid w:val="00121385"/>
    <w:rsid w:val="00121932"/>
    <w:rsid w:val="0012223E"/>
    <w:rsid w:val="001227C7"/>
    <w:rsid w:val="00122966"/>
    <w:rsid w:val="00122A47"/>
    <w:rsid w:val="00123EBD"/>
    <w:rsid w:val="0012409D"/>
    <w:rsid w:val="001245AC"/>
    <w:rsid w:val="00124B09"/>
    <w:rsid w:val="0012559F"/>
    <w:rsid w:val="00125BFD"/>
    <w:rsid w:val="00126181"/>
    <w:rsid w:val="001263D2"/>
    <w:rsid w:val="00126797"/>
    <w:rsid w:val="0012710D"/>
    <w:rsid w:val="00127259"/>
    <w:rsid w:val="00127563"/>
    <w:rsid w:val="00127F06"/>
    <w:rsid w:val="00131130"/>
    <w:rsid w:val="001314C0"/>
    <w:rsid w:val="0013395A"/>
    <w:rsid w:val="0013405A"/>
    <w:rsid w:val="001348EE"/>
    <w:rsid w:val="00134DA3"/>
    <w:rsid w:val="00134DE4"/>
    <w:rsid w:val="0013518B"/>
    <w:rsid w:val="001354B1"/>
    <w:rsid w:val="001357FD"/>
    <w:rsid w:val="00135A25"/>
    <w:rsid w:val="00136702"/>
    <w:rsid w:val="00136B01"/>
    <w:rsid w:val="0013725F"/>
    <w:rsid w:val="00137DF9"/>
    <w:rsid w:val="00137E81"/>
    <w:rsid w:val="0014004E"/>
    <w:rsid w:val="001401CA"/>
    <w:rsid w:val="00141481"/>
    <w:rsid w:val="00141EB8"/>
    <w:rsid w:val="0014385D"/>
    <w:rsid w:val="00143D03"/>
    <w:rsid w:val="0014408B"/>
    <w:rsid w:val="00144115"/>
    <w:rsid w:val="00145A32"/>
    <w:rsid w:val="001465E2"/>
    <w:rsid w:val="001468A4"/>
    <w:rsid w:val="001469A4"/>
    <w:rsid w:val="0014726B"/>
    <w:rsid w:val="001501BE"/>
    <w:rsid w:val="0015029B"/>
    <w:rsid w:val="001510F6"/>
    <w:rsid w:val="00151B6B"/>
    <w:rsid w:val="00152090"/>
    <w:rsid w:val="0015230D"/>
    <w:rsid w:val="00152E34"/>
    <w:rsid w:val="00153171"/>
    <w:rsid w:val="001534F5"/>
    <w:rsid w:val="0015376E"/>
    <w:rsid w:val="00154C8D"/>
    <w:rsid w:val="00154D45"/>
    <w:rsid w:val="00155813"/>
    <w:rsid w:val="00155D88"/>
    <w:rsid w:val="001561A9"/>
    <w:rsid w:val="00156DAD"/>
    <w:rsid w:val="00157279"/>
    <w:rsid w:val="00160869"/>
    <w:rsid w:val="00160970"/>
    <w:rsid w:val="00160C25"/>
    <w:rsid w:val="00161429"/>
    <w:rsid w:val="001631C2"/>
    <w:rsid w:val="00163AF3"/>
    <w:rsid w:val="00163F80"/>
    <w:rsid w:val="001644CD"/>
    <w:rsid w:val="0016482B"/>
    <w:rsid w:val="00164B3D"/>
    <w:rsid w:val="0016519C"/>
    <w:rsid w:val="00165B53"/>
    <w:rsid w:val="001663E0"/>
    <w:rsid w:val="001677D3"/>
    <w:rsid w:val="00167CBF"/>
    <w:rsid w:val="00173A3C"/>
    <w:rsid w:val="00173C33"/>
    <w:rsid w:val="0017489E"/>
    <w:rsid w:val="00175B63"/>
    <w:rsid w:val="0017644A"/>
    <w:rsid w:val="00177164"/>
    <w:rsid w:val="0017742D"/>
    <w:rsid w:val="00177512"/>
    <w:rsid w:val="0017779D"/>
    <w:rsid w:val="00177813"/>
    <w:rsid w:val="00180DE2"/>
    <w:rsid w:val="00182438"/>
    <w:rsid w:val="00182940"/>
    <w:rsid w:val="00182AE5"/>
    <w:rsid w:val="00182E0E"/>
    <w:rsid w:val="00183F31"/>
    <w:rsid w:val="00184034"/>
    <w:rsid w:val="001853CA"/>
    <w:rsid w:val="001861D2"/>
    <w:rsid w:val="00186A0A"/>
    <w:rsid w:val="0018714D"/>
    <w:rsid w:val="00187ABD"/>
    <w:rsid w:val="00190A79"/>
    <w:rsid w:val="00190F65"/>
    <w:rsid w:val="00191B20"/>
    <w:rsid w:val="001923F0"/>
    <w:rsid w:val="00192E6E"/>
    <w:rsid w:val="0019349E"/>
    <w:rsid w:val="00193CA6"/>
    <w:rsid w:val="00193E13"/>
    <w:rsid w:val="0019446C"/>
    <w:rsid w:val="00194E72"/>
    <w:rsid w:val="00195106"/>
    <w:rsid w:val="00195A0C"/>
    <w:rsid w:val="001970B6"/>
    <w:rsid w:val="001973BB"/>
    <w:rsid w:val="00197432"/>
    <w:rsid w:val="001A0EEE"/>
    <w:rsid w:val="001A17E1"/>
    <w:rsid w:val="001A22DE"/>
    <w:rsid w:val="001A2780"/>
    <w:rsid w:val="001A2B01"/>
    <w:rsid w:val="001A349F"/>
    <w:rsid w:val="001A39C4"/>
    <w:rsid w:val="001A5F51"/>
    <w:rsid w:val="001A6761"/>
    <w:rsid w:val="001A6B89"/>
    <w:rsid w:val="001A6D72"/>
    <w:rsid w:val="001A6F78"/>
    <w:rsid w:val="001A793C"/>
    <w:rsid w:val="001A7C04"/>
    <w:rsid w:val="001B1134"/>
    <w:rsid w:val="001B11DD"/>
    <w:rsid w:val="001B1251"/>
    <w:rsid w:val="001B14B1"/>
    <w:rsid w:val="001B2205"/>
    <w:rsid w:val="001B2F1C"/>
    <w:rsid w:val="001B455F"/>
    <w:rsid w:val="001B492B"/>
    <w:rsid w:val="001B5286"/>
    <w:rsid w:val="001B5951"/>
    <w:rsid w:val="001B597F"/>
    <w:rsid w:val="001B5F8A"/>
    <w:rsid w:val="001B6174"/>
    <w:rsid w:val="001B623A"/>
    <w:rsid w:val="001B66A9"/>
    <w:rsid w:val="001B73A0"/>
    <w:rsid w:val="001B7438"/>
    <w:rsid w:val="001B779F"/>
    <w:rsid w:val="001B79B1"/>
    <w:rsid w:val="001B7AE1"/>
    <w:rsid w:val="001C011C"/>
    <w:rsid w:val="001C066B"/>
    <w:rsid w:val="001C0EAD"/>
    <w:rsid w:val="001C1793"/>
    <w:rsid w:val="001C1E40"/>
    <w:rsid w:val="001C265A"/>
    <w:rsid w:val="001C28D2"/>
    <w:rsid w:val="001C30D2"/>
    <w:rsid w:val="001C3D72"/>
    <w:rsid w:val="001C4402"/>
    <w:rsid w:val="001C45B0"/>
    <w:rsid w:val="001C4FD6"/>
    <w:rsid w:val="001C520A"/>
    <w:rsid w:val="001C536E"/>
    <w:rsid w:val="001C54CC"/>
    <w:rsid w:val="001C54F7"/>
    <w:rsid w:val="001C559E"/>
    <w:rsid w:val="001C5A51"/>
    <w:rsid w:val="001C672E"/>
    <w:rsid w:val="001C6D9C"/>
    <w:rsid w:val="001C7371"/>
    <w:rsid w:val="001D0337"/>
    <w:rsid w:val="001D231C"/>
    <w:rsid w:val="001D2415"/>
    <w:rsid w:val="001D4287"/>
    <w:rsid w:val="001D4EB3"/>
    <w:rsid w:val="001D5A17"/>
    <w:rsid w:val="001D6AF9"/>
    <w:rsid w:val="001D6CCC"/>
    <w:rsid w:val="001D74E2"/>
    <w:rsid w:val="001D7591"/>
    <w:rsid w:val="001D769D"/>
    <w:rsid w:val="001D7B0A"/>
    <w:rsid w:val="001D7CC5"/>
    <w:rsid w:val="001E064D"/>
    <w:rsid w:val="001E142C"/>
    <w:rsid w:val="001E1975"/>
    <w:rsid w:val="001E1D83"/>
    <w:rsid w:val="001E2051"/>
    <w:rsid w:val="001E23F5"/>
    <w:rsid w:val="001E2BEB"/>
    <w:rsid w:val="001E354B"/>
    <w:rsid w:val="001E3815"/>
    <w:rsid w:val="001E41EB"/>
    <w:rsid w:val="001E4271"/>
    <w:rsid w:val="001E511A"/>
    <w:rsid w:val="001E5764"/>
    <w:rsid w:val="001E6673"/>
    <w:rsid w:val="001E6FDB"/>
    <w:rsid w:val="001E7407"/>
    <w:rsid w:val="001E7B85"/>
    <w:rsid w:val="001E7BBC"/>
    <w:rsid w:val="001E7F9E"/>
    <w:rsid w:val="001F0259"/>
    <w:rsid w:val="001F1AE5"/>
    <w:rsid w:val="001F2865"/>
    <w:rsid w:val="001F3592"/>
    <w:rsid w:val="001F471E"/>
    <w:rsid w:val="001F4A12"/>
    <w:rsid w:val="001F530A"/>
    <w:rsid w:val="001F55DF"/>
    <w:rsid w:val="001F5ECD"/>
    <w:rsid w:val="001F689A"/>
    <w:rsid w:val="001F7202"/>
    <w:rsid w:val="001F7AA1"/>
    <w:rsid w:val="0020002A"/>
    <w:rsid w:val="00200AF1"/>
    <w:rsid w:val="002020E5"/>
    <w:rsid w:val="002022E4"/>
    <w:rsid w:val="00202322"/>
    <w:rsid w:val="002029B2"/>
    <w:rsid w:val="00204502"/>
    <w:rsid w:val="002046C1"/>
    <w:rsid w:val="002048D5"/>
    <w:rsid w:val="002048E4"/>
    <w:rsid w:val="0020530D"/>
    <w:rsid w:val="00205A1E"/>
    <w:rsid w:val="00207BD2"/>
    <w:rsid w:val="00207D52"/>
    <w:rsid w:val="00211951"/>
    <w:rsid w:val="00213CE3"/>
    <w:rsid w:val="00213E50"/>
    <w:rsid w:val="00214753"/>
    <w:rsid w:val="00215608"/>
    <w:rsid w:val="00215642"/>
    <w:rsid w:val="00215713"/>
    <w:rsid w:val="00215E9F"/>
    <w:rsid w:val="00216A7D"/>
    <w:rsid w:val="00216CE0"/>
    <w:rsid w:val="00217235"/>
    <w:rsid w:val="00217A05"/>
    <w:rsid w:val="00217B0E"/>
    <w:rsid w:val="0022005A"/>
    <w:rsid w:val="002214D9"/>
    <w:rsid w:val="00221823"/>
    <w:rsid w:val="002218D0"/>
    <w:rsid w:val="00221A9E"/>
    <w:rsid w:val="0022217E"/>
    <w:rsid w:val="002221EA"/>
    <w:rsid w:val="00222FF3"/>
    <w:rsid w:val="00223239"/>
    <w:rsid w:val="00223468"/>
    <w:rsid w:val="0022368E"/>
    <w:rsid w:val="00224253"/>
    <w:rsid w:val="00224653"/>
    <w:rsid w:val="0022513C"/>
    <w:rsid w:val="002254CC"/>
    <w:rsid w:val="0022553E"/>
    <w:rsid w:val="0022579D"/>
    <w:rsid w:val="0022691E"/>
    <w:rsid w:val="0022725D"/>
    <w:rsid w:val="00227E86"/>
    <w:rsid w:val="00230279"/>
    <w:rsid w:val="002307A7"/>
    <w:rsid w:val="00231698"/>
    <w:rsid w:val="00231DA9"/>
    <w:rsid w:val="002324AD"/>
    <w:rsid w:val="0023303E"/>
    <w:rsid w:val="002330D0"/>
    <w:rsid w:val="00233411"/>
    <w:rsid w:val="0023347B"/>
    <w:rsid w:val="00233FB4"/>
    <w:rsid w:val="00234E50"/>
    <w:rsid w:val="00235D0C"/>
    <w:rsid w:val="00235DC8"/>
    <w:rsid w:val="00235FC6"/>
    <w:rsid w:val="00236544"/>
    <w:rsid w:val="00237916"/>
    <w:rsid w:val="00240C70"/>
    <w:rsid w:val="00240F3F"/>
    <w:rsid w:val="002410CC"/>
    <w:rsid w:val="0024163B"/>
    <w:rsid w:val="00241DEA"/>
    <w:rsid w:val="0024230B"/>
    <w:rsid w:val="0024279C"/>
    <w:rsid w:val="00243380"/>
    <w:rsid w:val="00243413"/>
    <w:rsid w:val="002436E8"/>
    <w:rsid w:val="00243EDB"/>
    <w:rsid w:val="00244651"/>
    <w:rsid w:val="00244AEE"/>
    <w:rsid w:val="00245228"/>
    <w:rsid w:val="002464EA"/>
    <w:rsid w:val="0024728A"/>
    <w:rsid w:val="00247753"/>
    <w:rsid w:val="00250E74"/>
    <w:rsid w:val="00250F79"/>
    <w:rsid w:val="0025181D"/>
    <w:rsid w:val="0025217A"/>
    <w:rsid w:val="002521A7"/>
    <w:rsid w:val="00252353"/>
    <w:rsid w:val="00252579"/>
    <w:rsid w:val="0025267A"/>
    <w:rsid w:val="002533C2"/>
    <w:rsid w:val="00253ABF"/>
    <w:rsid w:val="00253BD1"/>
    <w:rsid w:val="002540CB"/>
    <w:rsid w:val="00254A06"/>
    <w:rsid w:val="00255DEA"/>
    <w:rsid w:val="002572C1"/>
    <w:rsid w:val="002574AE"/>
    <w:rsid w:val="0025791B"/>
    <w:rsid w:val="00260058"/>
    <w:rsid w:val="002602F8"/>
    <w:rsid w:val="00260325"/>
    <w:rsid w:val="00260369"/>
    <w:rsid w:val="00260B82"/>
    <w:rsid w:val="00260D3D"/>
    <w:rsid w:val="00261CC2"/>
    <w:rsid w:val="00262EF2"/>
    <w:rsid w:val="002630EE"/>
    <w:rsid w:val="00263C0A"/>
    <w:rsid w:val="002640D1"/>
    <w:rsid w:val="00264DBE"/>
    <w:rsid w:val="00265C1B"/>
    <w:rsid w:val="00265D3D"/>
    <w:rsid w:val="00266146"/>
    <w:rsid w:val="0026653D"/>
    <w:rsid w:val="00266956"/>
    <w:rsid w:val="00267A45"/>
    <w:rsid w:val="00267BBA"/>
    <w:rsid w:val="00267F64"/>
    <w:rsid w:val="00270E99"/>
    <w:rsid w:val="00270EF0"/>
    <w:rsid w:val="00271402"/>
    <w:rsid w:val="00272144"/>
    <w:rsid w:val="00272A0F"/>
    <w:rsid w:val="00273503"/>
    <w:rsid w:val="00273F8F"/>
    <w:rsid w:val="00274C70"/>
    <w:rsid w:val="00275C9D"/>
    <w:rsid w:val="00275E5F"/>
    <w:rsid w:val="00276675"/>
    <w:rsid w:val="00276890"/>
    <w:rsid w:val="00276F7A"/>
    <w:rsid w:val="002772C7"/>
    <w:rsid w:val="002774B7"/>
    <w:rsid w:val="0027760B"/>
    <w:rsid w:val="00277724"/>
    <w:rsid w:val="00277DD4"/>
    <w:rsid w:val="002805D6"/>
    <w:rsid w:val="00280995"/>
    <w:rsid w:val="00280DFE"/>
    <w:rsid w:val="002811DC"/>
    <w:rsid w:val="00281294"/>
    <w:rsid w:val="0028211F"/>
    <w:rsid w:val="002824A3"/>
    <w:rsid w:val="0028306B"/>
    <w:rsid w:val="0028361C"/>
    <w:rsid w:val="00283C61"/>
    <w:rsid w:val="002842DC"/>
    <w:rsid w:val="0028537C"/>
    <w:rsid w:val="00285452"/>
    <w:rsid w:val="00285747"/>
    <w:rsid w:val="00285D6D"/>
    <w:rsid w:val="00286675"/>
    <w:rsid w:val="002874B9"/>
    <w:rsid w:val="00290756"/>
    <w:rsid w:val="00291095"/>
    <w:rsid w:val="00292155"/>
    <w:rsid w:val="0029353F"/>
    <w:rsid w:val="00293B3A"/>
    <w:rsid w:val="00294525"/>
    <w:rsid w:val="00294567"/>
    <w:rsid w:val="00294BB7"/>
    <w:rsid w:val="00295897"/>
    <w:rsid w:val="002960F9"/>
    <w:rsid w:val="00296824"/>
    <w:rsid w:val="00296DA1"/>
    <w:rsid w:val="00296E5E"/>
    <w:rsid w:val="00296F27"/>
    <w:rsid w:val="00297071"/>
    <w:rsid w:val="00297ACF"/>
    <w:rsid w:val="00297BB4"/>
    <w:rsid w:val="00297CE1"/>
    <w:rsid w:val="002A019F"/>
    <w:rsid w:val="002A02DB"/>
    <w:rsid w:val="002A0542"/>
    <w:rsid w:val="002A14E8"/>
    <w:rsid w:val="002A1741"/>
    <w:rsid w:val="002A188F"/>
    <w:rsid w:val="002A220B"/>
    <w:rsid w:val="002A233A"/>
    <w:rsid w:val="002A2BED"/>
    <w:rsid w:val="002A313A"/>
    <w:rsid w:val="002A3909"/>
    <w:rsid w:val="002A3F5C"/>
    <w:rsid w:val="002A3F8D"/>
    <w:rsid w:val="002A502D"/>
    <w:rsid w:val="002A55FE"/>
    <w:rsid w:val="002A5B5D"/>
    <w:rsid w:val="002A5F11"/>
    <w:rsid w:val="002A60C1"/>
    <w:rsid w:val="002A61FD"/>
    <w:rsid w:val="002A68F4"/>
    <w:rsid w:val="002A6AFE"/>
    <w:rsid w:val="002A7124"/>
    <w:rsid w:val="002B0039"/>
    <w:rsid w:val="002B0312"/>
    <w:rsid w:val="002B1472"/>
    <w:rsid w:val="002B21B0"/>
    <w:rsid w:val="002B22FF"/>
    <w:rsid w:val="002B28D7"/>
    <w:rsid w:val="002B2DB9"/>
    <w:rsid w:val="002B3C33"/>
    <w:rsid w:val="002B3D2B"/>
    <w:rsid w:val="002B43E3"/>
    <w:rsid w:val="002B45A8"/>
    <w:rsid w:val="002B5393"/>
    <w:rsid w:val="002B5673"/>
    <w:rsid w:val="002B5723"/>
    <w:rsid w:val="002B609F"/>
    <w:rsid w:val="002B6192"/>
    <w:rsid w:val="002B643E"/>
    <w:rsid w:val="002B6A14"/>
    <w:rsid w:val="002C0233"/>
    <w:rsid w:val="002C031B"/>
    <w:rsid w:val="002C0386"/>
    <w:rsid w:val="002C07A5"/>
    <w:rsid w:val="002C0841"/>
    <w:rsid w:val="002C086A"/>
    <w:rsid w:val="002C0BC9"/>
    <w:rsid w:val="002C0E9D"/>
    <w:rsid w:val="002C1256"/>
    <w:rsid w:val="002C1837"/>
    <w:rsid w:val="002C1900"/>
    <w:rsid w:val="002C1CEC"/>
    <w:rsid w:val="002C1D34"/>
    <w:rsid w:val="002C1DE7"/>
    <w:rsid w:val="002C202D"/>
    <w:rsid w:val="002C28F0"/>
    <w:rsid w:val="002C2AA8"/>
    <w:rsid w:val="002C2CF3"/>
    <w:rsid w:val="002C2E6F"/>
    <w:rsid w:val="002C38B5"/>
    <w:rsid w:val="002C4A44"/>
    <w:rsid w:val="002C56B0"/>
    <w:rsid w:val="002C596A"/>
    <w:rsid w:val="002C5A96"/>
    <w:rsid w:val="002C5A9B"/>
    <w:rsid w:val="002C65AB"/>
    <w:rsid w:val="002C6852"/>
    <w:rsid w:val="002C7135"/>
    <w:rsid w:val="002C7CD6"/>
    <w:rsid w:val="002C7F3B"/>
    <w:rsid w:val="002D09EE"/>
    <w:rsid w:val="002D1127"/>
    <w:rsid w:val="002D11E3"/>
    <w:rsid w:val="002D1216"/>
    <w:rsid w:val="002D1DCA"/>
    <w:rsid w:val="002D201B"/>
    <w:rsid w:val="002D3A6F"/>
    <w:rsid w:val="002D3EEA"/>
    <w:rsid w:val="002D40BC"/>
    <w:rsid w:val="002D4361"/>
    <w:rsid w:val="002D52A6"/>
    <w:rsid w:val="002D56AF"/>
    <w:rsid w:val="002D6949"/>
    <w:rsid w:val="002D6B1F"/>
    <w:rsid w:val="002D6EAA"/>
    <w:rsid w:val="002D74D3"/>
    <w:rsid w:val="002D760E"/>
    <w:rsid w:val="002D7618"/>
    <w:rsid w:val="002E15C5"/>
    <w:rsid w:val="002E320C"/>
    <w:rsid w:val="002E3358"/>
    <w:rsid w:val="002E3897"/>
    <w:rsid w:val="002E46EC"/>
    <w:rsid w:val="002E54BD"/>
    <w:rsid w:val="002E5A9C"/>
    <w:rsid w:val="002E740B"/>
    <w:rsid w:val="002E78E7"/>
    <w:rsid w:val="002F0E6D"/>
    <w:rsid w:val="002F11D7"/>
    <w:rsid w:val="002F158B"/>
    <w:rsid w:val="002F1768"/>
    <w:rsid w:val="002F1935"/>
    <w:rsid w:val="002F203F"/>
    <w:rsid w:val="002F34A6"/>
    <w:rsid w:val="002F356F"/>
    <w:rsid w:val="002F395F"/>
    <w:rsid w:val="002F39A7"/>
    <w:rsid w:val="002F3D39"/>
    <w:rsid w:val="002F4439"/>
    <w:rsid w:val="002F4462"/>
    <w:rsid w:val="002F54F4"/>
    <w:rsid w:val="002F5D44"/>
    <w:rsid w:val="002F5D6F"/>
    <w:rsid w:val="002F6254"/>
    <w:rsid w:val="002F647B"/>
    <w:rsid w:val="002F67CB"/>
    <w:rsid w:val="002F6D70"/>
    <w:rsid w:val="00302048"/>
    <w:rsid w:val="003020F4"/>
    <w:rsid w:val="00303FD0"/>
    <w:rsid w:val="00304664"/>
    <w:rsid w:val="003047E6"/>
    <w:rsid w:val="00305419"/>
    <w:rsid w:val="003057A0"/>
    <w:rsid w:val="00305861"/>
    <w:rsid w:val="00305A24"/>
    <w:rsid w:val="00307206"/>
    <w:rsid w:val="003072B6"/>
    <w:rsid w:val="00307A57"/>
    <w:rsid w:val="00311489"/>
    <w:rsid w:val="00312C95"/>
    <w:rsid w:val="0031328C"/>
    <w:rsid w:val="003132E2"/>
    <w:rsid w:val="003139B0"/>
    <w:rsid w:val="00313D96"/>
    <w:rsid w:val="00314997"/>
    <w:rsid w:val="00314D3E"/>
    <w:rsid w:val="00314E1C"/>
    <w:rsid w:val="00316005"/>
    <w:rsid w:val="0031619F"/>
    <w:rsid w:val="00316AF0"/>
    <w:rsid w:val="0032058B"/>
    <w:rsid w:val="003216AB"/>
    <w:rsid w:val="003220F5"/>
    <w:rsid w:val="003226DE"/>
    <w:rsid w:val="00323654"/>
    <w:rsid w:val="0032373B"/>
    <w:rsid w:val="00323757"/>
    <w:rsid w:val="003258C5"/>
    <w:rsid w:val="00325E52"/>
    <w:rsid w:val="003268C8"/>
    <w:rsid w:val="00326FCA"/>
    <w:rsid w:val="00326FDC"/>
    <w:rsid w:val="0032707F"/>
    <w:rsid w:val="00327216"/>
    <w:rsid w:val="003273B5"/>
    <w:rsid w:val="0032760B"/>
    <w:rsid w:val="00327B12"/>
    <w:rsid w:val="00327BA4"/>
    <w:rsid w:val="003312DF"/>
    <w:rsid w:val="00331A24"/>
    <w:rsid w:val="003321D3"/>
    <w:rsid w:val="00332211"/>
    <w:rsid w:val="00332B81"/>
    <w:rsid w:val="0033363F"/>
    <w:rsid w:val="003337E8"/>
    <w:rsid w:val="00333C6E"/>
    <w:rsid w:val="00333D74"/>
    <w:rsid w:val="00334202"/>
    <w:rsid w:val="003356F3"/>
    <w:rsid w:val="003357E9"/>
    <w:rsid w:val="00335A1D"/>
    <w:rsid w:val="00336324"/>
    <w:rsid w:val="00336A25"/>
    <w:rsid w:val="00336D25"/>
    <w:rsid w:val="00336DB2"/>
    <w:rsid w:val="00337589"/>
    <w:rsid w:val="00337D3F"/>
    <w:rsid w:val="00337F58"/>
    <w:rsid w:val="00340CAA"/>
    <w:rsid w:val="00340EB4"/>
    <w:rsid w:val="0034124B"/>
    <w:rsid w:val="003412E0"/>
    <w:rsid w:val="00341CA9"/>
    <w:rsid w:val="00342344"/>
    <w:rsid w:val="003424B4"/>
    <w:rsid w:val="003425B4"/>
    <w:rsid w:val="003435AC"/>
    <w:rsid w:val="003448A7"/>
    <w:rsid w:val="00344A8B"/>
    <w:rsid w:val="00344BF7"/>
    <w:rsid w:val="00345384"/>
    <w:rsid w:val="00345F26"/>
    <w:rsid w:val="0034624B"/>
    <w:rsid w:val="003465F7"/>
    <w:rsid w:val="003466E9"/>
    <w:rsid w:val="00346806"/>
    <w:rsid w:val="00346D1E"/>
    <w:rsid w:val="00346FC4"/>
    <w:rsid w:val="00347C2F"/>
    <w:rsid w:val="003516DD"/>
    <w:rsid w:val="0035179C"/>
    <w:rsid w:val="00352C7D"/>
    <w:rsid w:val="00353594"/>
    <w:rsid w:val="003546B8"/>
    <w:rsid w:val="00355A4F"/>
    <w:rsid w:val="00355BC7"/>
    <w:rsid w:val="00355D26"/>
    <w:rsid w:val="00356177"/>
    <w:rsid w:val="003561D9"/>
    <w:rsid w:val="00356FF8"/>
    <w:rsid w:val="00357827"/>
    <w:rsid w:val="00357DA6"/>
    <w:rsid w:val="0036083A"/>
    <w:rsid w:val="00360CBC"/>
    <w:rsid w:val="0036180C"/>
    <w:rsid w:val="00361860"/>
    <w:rsid w:val="003618F2"/>
    <w:rsid w:val="003619A7"/>
    <w:rsid w:val="00361A3E"/>
    <w:rsid w:val="00361B65"/>
    <w:rsid w:val="00362D33"/>
    <w:rsid w:val="00363852"/>
    <w:rsid w:val="00363A7B"/>
    <w:rsid w:val="00363B81"/>
    <w:rsid w:val="00364063"/>
    <w:rsid w:val="003640F4"/>
    <w:rsid w:val="00364435"/>
    <w:rsid w:val="00365525"/>
    <w:rsid w:val="00366001"/>
    <w:rsid w:val="00366B76"/>
    <w:rsid w:val="0036730F"/>
    <w:rsid w:val="00367755"/>
    <w:rsid w:val="00367B20"/>
    <w:rsid w:val="00370422"/>
    <w:rsid w:val="00370FAE"/>
    <w:rsid w:val="0037104E"/>
    <w:rsid w:val="00371DF3"/>
    <w:rsid w:val="00372491"/>
    <w:rsid w:val="00372637"/>
    <w:rsid w:val="00372E30"/>
    <w:rsid w:val="003732FF"/>
    <w:rsid w:val="00374B57"/>
    <w:rsid w:val="00375865"/>
    <w:rsid w:val="00377707"/>
    <w:rsid w:val="00377B12"/>
    <w:rsid w:val="00377C83"/>
    <w:rsid w:val="00381AE6"/>
    <w:rsid w:val="00381DA2"/>
    <w:rsid w:val="00382605"/>
    <w:rsid w:val="00384E3F"/>
    <w:rsid w:val="003852D8"/>
    <w:rsid w:val="003863A5"/>
    <w:rsid w:val="0038782A"/>
    <w:rsid w:val="0038794D"/>
    <w:rsid w:val="003902D7"/>
    <w:rsid w:val="00390FD5"/>
    <w:rsid w:val="00391493"/>
    <w:rsid w:val="00391697"/>
    <w:rsid w:val="00391A1B"/>
    <w:rsid w:val="00392A52"/>
    <w:rsid w:val="00392DC6"/>
    <w:rsid w:val="00392E4B"/>
    <w:rsid w:val="0039381D"/>
    <w:rsid w:val="00393827"/>
    <w:rsid w:val="003941B2"/>
    <w:rsid w:val="00394E32"/>
    <w:rsid w:val="00395407"/>
    <w:rsid w:val="00396C8B"/>
    <w:rsid w:val="00397631"/>
    <w:rsid w:val="00397667"/>
    <w:rsid w:val="00397887"/>
    <w:rsid w:val="00397CEE"/>
    <w:rsid w:val="003A0DC5"/>
    <w:rsid w:val="003A0DD5"/>
    <w:rsid w:val="003A0F18"/>
    <w:rsid w:val="003A1E30"/>
    <w:rsid w:val="003A2B47"/>
    <w:rsid w:val="003A390A"/>
    <w:rsid w:val="003A3C13"/>
    <w:rsid w:val="003A426E"/>
    <w:rsid w:val="003A443F"/>
    <w:rsid w:val="003A4478"/>
    <w:rsid w:val="003A46BB"/>
    <w:rsid w:val="003A4E01"/>
    <w:rsid w:val="003A4EEF"/>
    <w:rsid w:val="003A51B0"/>
    <w:rsid w:val="003A62E2"/>
    <w:rsid w:val="003A65C1"/>
    <w:rsid w:val="003A66EF"/>
    <w:rsid w:val="003A68C7"/>
    <w:rsid w:val="003A70BD"/>
    <w:rsid w:val="003A76AD"/>
    <w:rsid w:val="003B042A"/>
    <w:rsid w:val="003B0B09"/>
    <w:rsid w:val="003B0B55"/>
    <w:rsid w:val="003B24B6"/>
    <w:rsid w:val="003B2630"/>
    <w:rsid w:val="003B2803"/>
    <w:rsid w:val="003B3014"/>
    <w:rsid w:val="003B375C"/>
    <w:rsid w:val="003B38C9"/>
    <w:rsid w:val="003B3D3D"/>
    <w:rsid w:val="003B4243"/>
    <w:rsid w:val="003B443A"/>
    <w:rsid w:val="003B4F8A"/>
    <w:rsid w:val="003B54E6"/>
    <w:rsid w:val="003B71AA"/>
    <w:rsid w:val="003B791A"/>
    <w:rsid w:val="003C0743"/>
    <w:rsid w:val="003C0CAF"/>
    <w:rsid w:val="003C0D93"/>
    <w:rsid w:val="003C269F"/>
    <w:rsid w:val="003C2708"/>
    <w:rsid w:val="003C2C4A"/>
    <w:rsid w:val="003C2E00"/>
    <w:rsid w:val="003C2E02"/>
    <w:rsid w:val="003C3DA6"/>
    <w:rsid w:val="003C459C"/>
    <w:rsid w:val="003C46BA"/>
    <w:rsid w:val="003C54DC"/>
    <w:rsid w:val="003C5940"/>
    <w:rsid w:val="003C666A"/>
    <w:rsid w:val="003C684E"/>
    <w:rsid w:val="003C698A"/>
    <w:rsid w:val="003C70FA"/>
    <w:rsid w:val="003D020E"/>
    <w:rsid w:val="003D0868"/>
    <w:rsid w:val="003D08E0"/>
    <w:rsid w:val="003D0C5F"/>
    <w:rsid w:val="003D0CA4"/>
    <w:rsid w:val="003D1465"/>
    <w:rsid w:val="003D170C"/>
    <w:rsid w:val="003D17C2"/>
    <w:rsid w:val="003D1F48"/>
    <w:rsid w:val="003D2AB2"/>
    <w:rsid w:val="003D2CF8"/>
    <w:rsid w:val="003D2D13"/>
    <w:rsid w:val="003D3D4D"/>
    <w:rsid w:val="003D4202"/>
    <w:rsid w:val="003D4509"/>
    <w:rsid w:val="003D46BF"/>
    <w:rsid w:val="003D5765"/>
    <w:rsid w:val="003D691C"/>
    <w:rsid w:val="003D7F31"/>
    <w:rsid w:val="003E005C"/>
    <w:rsid w:val="003E043C"/>
    <w:rsid w:val="003E0C6A"/>
    <w:rsid w:val="003E0CE3"/>
    <w:rsid w:val="003E1DE4"/>
    <w:rsid w:val="003E4163"/>
    <w:rsid w:val="003E425D"/>
    <w:rsid w:val="003E4738"/>
    <w:rsid w:val="003E47D1"/>
    <w:rsid w:val="003E48D7"/>
    <w:rsid w:val="003E4D1C"/>
    <w:rsid w:val="003E50E3"/>
    <w:rsid w:val="003E5D70"/>
    <w:rsid w:val="003E6F38"/>
    <w:rsid w:val="003E724C"/>
    <w:rsid w:val="003E7BC8"/>
    <w:rsid w:val="003F0973"/>
    <w:rsid w:val="003F09C4"/>
    <w:rsid w:val="003F0B86"/>
    <w:rsid w:val="003F0DA2"/>
    <w:rsid w:val="003F19EC"/>
    <w:rsid w:val="003F23A8"/>
    <w:rsid w:val="003F2687"/>
    <w:rsid w:val="003F292B"/>
    <w:rsid w:val="003F2C02"/>
    <w:rsid w:val="003F3461"/>
    <w:rsid w:val="003F3468"/>
    <w:rsid w:val="003F5F5E"/>
    <w:rsid w:val="003F637B"/>
    <w:rsid w:val="003F6DD2"/>
    <w:rsid w:val="003F7196"/>
    <w:rsid w:val="003F7639"/>
    <w:rsid w:val="00400266"/>
    <w:rsid w:val="00400992"/>
    <w:rsid w:val="00401239"/>
    <w:rsid w:val="00401BF1"/>
    <w:rsid w:val="004021C6"/>
    <w:rsid w:val="00402780"/>
    <w:rsid w:val="00402A51"/>
    <w:rsid w:val="00402B2F"/>
    <w:rsid w:val="004034EF"/>
    <w:rsid w:val="004035ED"/>
    <w:rsid w:val="004040B8"/>
    <w:rsid w:val="00405000"/>
    <w:rsid w:val="004050D6"/>
    <w:rsid w:val="00405150"/>
    <w:rsid w:val="00405A66"/>
    <w:rsid w:val="00405D63"/>
    <w:rsid w:val="00405DBA"/>
    <w:rsid w:val="00407364"/>
    <w:rsid w:val="00407482"/>
    <w:rsid w:val="00407DF5"/>
    <w:rsid w:val="00410779"/>
    <w:rsid w:val="00412088"/>
    <w:rsid w:val="00412B9E"/>
    <w:rsid w:val="00414875"/>
    <w:rsid w:val="0041516A"/>
    <w:rsid w:val="00415D07"/>
    <w:rsid w:val="00415EBE"/>
    <w:rsid w:val="00415F31"/>
    <w:rsid w:val="00415FB2"/>
    <w:rsid w:val="0041657A"/>
    <w:rsid w:val="00416928"/>
    <w:rsid w:val="00416A61"/>
    <w:rsid w:val="00417195"/>
    <w:rsid w:val="00417918"/>
    <w:rsid w:val="004210AD"/>
    <w:rsid w:val="00421950"/>
    <w:rsid w:val="00421B9A"/>
    <w:rsid w:val="00422020"/>
    <w:rsid w:val="00422305"/>
    <w:rsid w:val="004229CB"/>
    <w:rsid w:val="004230C0"/>
    <w:rsid w:val="004235C3"/>
    <w:rsid w:val="00423B96"/>
    <w:rsid w:val="00423CD5"/>
    <w:rsid w:val="004249E1"/>
    <w:rsid w:val="0042514C"/>
    <w:rsid w:val="0042546E"/>
    <w:rsid w:val="00426E0E"/>
    <w:rsid w:val="0042742C"/>
    <w:rsid w:val="00430F29"/>
    <w:rsid w:val="0043140B"/>
    <w:rsid w:val="00432B4C"/>
    <w:rsid w:val="00433749"/>
    <w:rsid w:val="004338C1"/>
    <w:rsid w:val="004338E4"/>
    <w:rsid w:val="00435678"/>
    <w:rsid w:val="00435E0D"/>
    <w:rsid w:val="004365E4"/>
    <w:rsid w:val="00436603"/>
    <w:rsid w:val="004366B4"/>
    <w:rsid w:val="00437312"/>
    <w:rsid w:val="0044003A"/>
    <w:rsid w:val="00440F17"/>
    <w:rsid w:val="00440F46"/>
    <w:rsid w:val="00441907"/>
    <w:rsid w:val="00441C06"/>
    <w:rsid w:val="00442612"/>
    <w:rsid w:val="00442C40"/>
    <w:rsid w:val="004435A2"/>
    <w:rsid w:val="0044375C"/>
    <w:rsid w:val="00444113"/>
    <w:rsid w:val="00444238"/>
    <w:rsid w:val="00445480"/>
    <w:rsid w:val="00445923"/>
    <w:rsid w:val="0044642C"/>
    <w:rsid w:val="00446C74"/>
    <w:rsid w:val="0044716A"/>
    <w:rsid w:val="0045015B"/>
    <w:rsid w:val="00450527"/>
    <w:rsid w:val="004507FD"/>
    <w:rsid w:val="00450E1C"/>
    <w:rsid w:val="00451432"/>
    <w:rsid w:val="004526B9"/>
    <w:rsid w:val="004530CA"/>
    <w:rsid w:val="004530E4"/>
    <w:rsid w:val="00453545"/>
    <w:rsid w:val="00453960"/>
    <w:rsid w:val="00453AD6"/>
    <w:rsid w:val="0045404E"/>
    <w:rsid w:val="00454B26"/>
    <w:rsid w:val="00454FC5"/>
    <w:rsid w:val="00455A7D"/>
    <w:rsid w:val="004563EE"/>
    <w:rsid w:val="00456604"/>
    <w:rsid w:val="00456DF2"/>
    <w:rsid w:val="00457ADD"/>
    <w:rsid w:val="004610A0"/>
    <w:rsid w:val="00461258"/>
    <w:rsid w:val="004614B3"/>
    <w:rsid w:val="00462123"/>
    <w:rsid w:val="00462176"/>
    <w:rsid w:val="00462DD4"/>
    <w:rsid w:val="004637BD"/>
    <w:rsid w:val="004637C5"/>
    <w:rsid w:val="004642EA"/>
    <w:rsid w:val="0046440B"/>
    <w:rsid w:val="00464A4D"/>
    <w:rsid w:val="00464E2F"/>
    <w:rsid w:val="00465165"/>
    <w:rsid w:val="00466FA9"/>
    <w:rsid w:val="00467DFC"/>
    <w:rsid w:val="00467FD2"/>
    <w:rsid w:val="0047104A"/>
    <w:rsid w:val="00471D89"/>
    <w:rsid w:val="0047299E"/>
    <w:rsid w:val="00472DB2"/>
    <w:rsid w:val="00473626"/>
    <w:rsid w:val="004738C0"/>
    <w:rsid w:val="00473D7B"/>
    <w:rsid w:val="004758CD"/>
    <w:rsid w:val="00475A44"/>
    <w:rsid w:val="00476AFA"/>
    <w:rsid w:val="004778F6"/>
    <w:rsid w:val="00480681"/>
    <w:rsid w:val="00480940"/>
    <w:rsid w:val="00480CE2"/>
    <w:rsid w:val="00480D4F"/>
    <w:rsid w:val="00481C21"/>
    <w:rsid w:val="00481D07"/>
    <w:rsid w:val="00482F70"/>
    <w:rsid w:val="00482FCC"/>
    <w:rsid w:val="00483883"/>
    <w:rsid w:val="00483909"/>
    <w:rsid w:val="004839A1"/>
    <w:rsid w:val="00483B6F"/>
    <w:rsid w:val="00483F5A"/>
    <w:rsid w:val="004841B8"/>
    <w:rsid w:val="0048427D"/>
    <w:rsid w:val="00484415"/>
    <w:rsid w:val="00484ABD"/>
    <w:rsid w:val="004854EE"/>
    <w:rsid w:val="00485544"/>
    <w:rsid w:val="00485A24"/>
    <w:rsid w:val="00485C3C"/>
    <w:rsid w:val="00486419"/>
    <w:rsid w:val="00486797"/>
    <w:rsid w:val="0048687C"/>
    <w:rsid w:val="00486896"/>
    <w:rsid w:val="00486A9F"/>
    <w:rsid w:val="00486AE8"/>
    <w:rsid w:val="00486FD1"/>
    <w:rsid w:val="00487341"/>
    <w:rsid w:val="00487906"/>
    <w:rsid w:val="00487F1B"/>
    <w:rsid w:val="00490BFB"/>
    <w:rsid w:val="00490D8B"/>
    <w:rsid w:val="00490FF5"/>
    <w:rsid w:val="00491162"/>
    <w:rsid w:val="00491D63"/>
    <w:rsid w:val="00492B52"/>
    <w:rsid w:val="00493442"/>
    <w:rsid w:val="00493B70"/>
    <w:rsid w:val="00493DDB"/>
    <w:rsid w:val="00494508"/>
    <w:rsid w:val="00494A96"/>
    <w:rsid w:val="00495930"/>
    <w:rsid w:val="00495A5C"/>
    <w:rsid w:val="00495BE6"/>
    <w:rsid w:val="00495D9A"/>
    <w:rsid w:val="00495E7E"/>
    <w:rsid w:val="00496B6B"/>
    <w:rsid w:val="00497637"/>
    <w:rsid w:val="0049770E"/>
    <w:rsid w:val="004A0635"/>
    <w:rsid w:val="004A15F2"/>
    <w:rsid w:val="004A18C3"/>
    <w:rsid w:val="004A2302"/>
    <w:rsid w:val="004A2761"/>
    <w:rsid w:val="004A3C23"/>
    <w:rsid w:val="004A4429"/>
    <w:rsid w:val="004A44EE"/>
    <w:rsid w:val="004A541C"/>
    <w:rsid w:val="004A5881"/>
    <w:rsid w:val="004A5BB1"/>
    <w:rsid w:val="004A63FF"/>
    <w:rsid w:val="004A6EC7"/>
    <w:rsid w:val="004A7263"/>
    <w:rsid w:val="004B0E2B"/>
    <w:rsid w:val="004B128B"/>
    <w:rsid w:val="004B12EE"/>
    <w:rsid w:val="004B304F"/>
    <w:rsid w:val="004B3107"/>
    <w:rsid w:val="004B4478"/>
    <w:rsid w:val="004B540D"/>
    <w:rsid w:val="004B697D"/>
    <w:rsid w:val="004B6A1A"/>
    <w:rsid w:val="004B7413"/>
    <w:rsid w:val="004B7463"/>
    <w:rsid w:val="004C163E"/>
    <w:rsid w:val="004C2DB8"/>
    <w:rsid w:val="004C4031"/>
    <w:rsid w:val="004C4197"/>
    <w:rsid w:val="004C425B"/>
    <w:rsid w:val="004C4C33"/>
    <w:rsid w:val="004C4C80"/>
    <w:rsid w:val="004C548B"/>
    <w:rsid w:val="004C5606"/>
    <w:rsid w:val="004C5A7F"/>
    <w:rsid w:val="004C5D34"/>
    <w:rsid w:val="004C5D6A"/>
    <w:rsid w:val="004C6282"/>
    <w:rsid w:val="004C68F1"/>
    <w:rsid w:val="004C6BA0"/>
    <w:rsid w:val="004C799B"/>
    <w:rsid w:val="004C7F50"/>
    <w:rsid w:val="004C7F73"/>
    <w:rsid w:val="004D0748"/>
    <w:rsid w:val="004D0B02"/>
    <w:rsid w:val="004D0E2B"/>
    <w:rsid w:val="004D1190"/>
    <w:rsid w:val="004D1706"/>
    <w:rsid w:val="004D190E"/>
    <w:rsid w:val="004D1C66"/>
    <w:rsid w:val="004D323A"/>
    <w:rsid w:val="004D33CF"/>
    <w:rsid w:val="004D3E91"/>
    <w:rsid w:val="004D4875"/>
    <w:rsid w:val="004D49D8"/>
    <w:rsid w:val="004D4D09"/>
    <w:rsid w:val="004D58BA"/>
    <w:rsid w:val="004D62A9"/>
    <w:rsid w:val="004D731A"/>
    <w:rsid w:val="004E0808"/>
    <w:rsid w:val="004E0933"/>
    <w:rsid w:val="004E0A9F"/>
    <w:rsid w:val="004E0FAA"/>
    <w:rsid w:val="004E106E"/>
    <w:rsid w:val="004E15E1"/>
    <w:rsid w:val="004E1EF7"/>
    <w:rsid w:val="004E2762"/>
    <w:rsid w:val="004E283C"/>
    <w:rsid w:val="004E2ABB"/>
    <w:rsid w:val="004E3244"/>
    <w:rsid w:val="004E3758"/>
    <w:rsid w:val="004E3EBE"/>
    <w:rsid w:val="004E40F3"/>
    <w:rsid w:val="004E44E5"/>
    <w:rsid w:val="004E4664"/>
    <w:rsid w:val="004E4B54"/>
    <w:rsid w:val="004E4C7E"/>
    <w:rsid w:val="004E629A"/>
    <w:rsid w:val="004E6EC4"/>
    <w:rsid w:val="004E6EE3"/>
    <w:rsid w:val="004E73A3"/>
    <w:rsid w:val="004E7B21"/>
    <w:rsid w:val="004F014A"/>
    <w:rsid w:val="004F0779"/>
    <w:rsid w:val="004F0940"/>
    <w:rsid w:val="004F0CBF"/>
    <w:rsid w:val="004F1FA4"/>
    <w:rsid w:val="004F2A37"/>
    <w:rsid w:val="004F397A"/>
    <w:rsid w:val="004F3BF9"/>
    <w:rsid w:val="004F4328"/>
    <w:rsid w:val="004F4347"/>
    <w:rsid w:val="004F44BE"/>
    <w:rsid w:val="004F4B02"/>
    <w:rsid w:val="004F5184"/>
    <w:rsid w:val="004F5922"/>
    <w:rsid w:val="004F62C8"/>
    <w:rsid w:val="004F6589"/>
    <w:rsid w:val="004F71C4"/>
    <w:rsid w:val="005000CC"/>
    <w:rsid w:val="00500CCE"/>
    <w:rsid w:val="00500EB6"/>
    <w:rsid w:val="00501649"/>
    <w:rsid w:val="00502C51"/>
    <w:rsid w:val="005032B0"/>
    <w:rsid w:val="00503355"/>
    <w:rsid w:val="005045F2"/>
    <w:rsid w:val="00505163"/>
    <w:rsid w:val="005053CC"/>
    <w:rsid w:val="00505597"/>
    <w:rsid w:val="00505F73"/>
    <w:rsid w:val="00506626"/>
    <w:rsid w:val="005069A3"/>
    <w:rsid w:val="00510187"/>
    <w:rsid w:val="005101C1"/>
    <w:rsid w:val="0051075E"/>
    <w:rsid w:val="00510B7F"/>
    <w:rsid w:val="005112E5"/>
    <w:rsid w:val="005116BF"/>
    <w:rsid w:val="005119B8"/>
    <w:rsid w:val="00511C76"/>
    <w:rsid w:val="00511EDA"/>
    <w:rsid w:val="0051243E"/>
    <w:rsid w:val="005133E3"/>
    <w:rsid w:val="00514455"/>
    <w:rsid w:val="00515006"/>
    <w:rsid w:val="005154CE"/>
    <w:rsid w:val="00516689"/>
    <w:rsid w:val="00516F36"/>
    <w:rsid w:val="0052062B"/>
    <w:rsid w:val="00520DF7"/>
    <w:rsid w:val="00521559"/>
    <w:rsid w:val="0052194F"/>
    <w:rsid w:val="0052348F"/>
    <w:rsid w:val="00523B90"/>
    <w:rsid w:val="005242B2"/>
    <w:rsid w:val="005242DC"/>
    <w:rsid w:val="00525295"/>
    <w:rsid w:val="005258F1"/>
    <w:rsid w:val="00525B59"/>
    <w:rsid w:val="00526D44"/>
    <w:rsid w:val="0052798C"/>
    <w:rsid w:val="00527D11"/>
    <w:rsid w:val="00530611"/>
    <w:rsid w:val="00531BAB"/>
    <w:rsid w:val="005323AC"/>
    <w:rsid w:val="0053240C"/>
    <w:rsid w:val="0053254D"/>
    <w:rsid w:val="00532790"/>
    <w:rsid w:val="005332D4"/>
    <w:rsid w:val="005332DC"/>
    <w:rsid w:val="00534122"/>
    <w:rsid w:val="0053449E"/>
    <w:rsid w:val="0053472A"/>
    <w:rsid w:val="00535226"/>
    <w:rsid w:val="0053711E"/>
    <w:rsid w:val="0054020B"/>
    <w:rsid w:val="005405A7"/>
    <w:rsid w:val="005408BF"/>
    <w:rsid w:val="0054135D"/>
    <w:rsid w:val="00541841"/>
    <w:rsid w:val="0054363E"/>
    <w:rsid w:val="00543E0A"/>
    <w:rsid w:val="0054482D"/>
    <w:rsid w:val="00544B7B"/>
    <w:rsid w:val="00545DBE"/>
    <w:rsid w:val="005463A8"/>
    <w:rsid w:val="00546D71"/>
    <w:rsid w:val="00546F06"/>
    <w:rsid w:val="005475CF"/>
    <w:rsid w:val="005509A3"/>
    <w:rsid w:val="00550BB3"/>
    <w:rsid w:val="00551939"/>
    <w:rsid w:val="00551AEF"/>
    <w:rsid w:val="00551C53"/>
    <w:rsid w:val="00551DA6"/>
    <w:rsid w:val="00551E4C"/>
    <w:rsid w:val="00553783"/>
    <w:rsid w:val="00553E22"/>
    <w:rsid w:val="00553F8C"/>
    <w:rsid w:val="00555340"/>
    <w:rsid w:val="0056003B"/>
    <w:rsid w:val="005617D6"/>
    <w:rsid w:val="00561F5D"/>
    <w:rsid w:val="00562925"/>
    <w:rsid w:val="00563D2B"/>
    <w:rsid w:val="0056471C"/>
    <w:rsid w:val="0056510A"/>
    <w:rsid w:val="00565155"/>
    <w:rsid w:val="0056671A"/>
    <w:rsid w:val="00566B01"/>
    <w:rsid w:val="0056731D"/>
    <w:rsid w:val="00567D76"/>
    <w:rsid w:val="00571F7A"/>
    <w:rsid w:val="0057200D"/>
    <w:rsid w:val="00572166"/>
    <w:rsid w:val="00572E78"/>
    <w:rsid w:val="00573753"/>
    <w:rsid w:val="00573B9A"/>
    <w:rsid w:val="00573BB9"/>
    <w:rsid w:val="0057447D"/>
    <w:rsid w:val="00574CA6"/>
    <w:rsid w:val="00574EB4"/>
    <w:rsid w:val="005753A3"/>
    <w:rsid w:val="00575E4F"/>
    <w:rsid w:val="00576B13"/>
    <w:rsid w:val="00576B2A"/>
    <w:rsid w:val="0057722E"/>
    <w:rsid w:val="00580DE5"/>
    <w:rsid w:val="00580E93"/>
    <w:rsid w:val="00582C0D"/>
    <w:rsid w:val="00583397"/>
    <w:rsid w:val="00584401"/>
    <w:rsid w:val="00584E7F"/>
    <w:rsid w:val="00585642"/>
    <w:rsid w:val="00585AE2"/>
    <w:rsid w:val="005867D5"/>
    <w:rsid w:val="00586AE6"/>
    <w:rsid w:val="00587692"/>
    <w:rsid w:val="005876D9"/>
    <w:rsid w:val="00587C58"/>
    <w:rsid w:val="00587CC0"/>
    <w:rsid w:val="00590C76"/>
    <w:rsid w:val="005916BC"/>
    <w:rsid w:val="0059226A"/>
    <w:rsid w:val="00593168"/>
    <w:rsid w:val="00593188"/>
    <w:rsid w:val="00593BAF"/>
    <w:rsid w:val="00593C6C"/>
    <w:rsid w:val="00593FBD"/>
    <w:rsid w:val="005940E2"/>
    <w:rsid w:val="00594487"/>
    <w:rsid w:val="00594C49"/>
    <w:rsid w:val="00594E93"/>
    <w:rsid w:val="005954EB"/>
    <w:rsid w:val="005955E6"/>
    <w:rsid w:val="00596BA3"/>
    <w:rsid w:val="00597703"/>
    <w:rsid w:val="00597E4C"/>
    <w:rsid w:val="005A0C0A"/>
    <w:rsid w:val="005A1D8B"/>
    <w:rsid w:val="005A3A67"/>
    <w:rsid w:val="005A3E40"/>
    <w:rsid w:val="005A4218"/>
    <w:rsid w:val="005A4BC6"/>
    <w:rsid w:val="005A58BF"/>
    <w:rsid w:val="005A5C17"/>
    <w:rsid w:val="005A689A"/>
    <w:rsid w:val="005A69EC"/>
    <w:rsid w:val="005A6D43"/>
    <w:rsid w:val="005A722E"/>
    <w:rsid w:val="005A74A6"/>
    <w:rsid w:val="005A7535"/>
    <w:rsid w:val="005A771D"/>
    <w:rsid w:val="005B0855"/>
    <w:rsid w:val="005B09E5"/>
    <w:rsid w:val="005B1A95"/>
    <w:rsid w:val="005B1D53"/>
    <w:rsid w:val="005B362B"/>
    <w:rsid w:val="005B37BB"/>
    <w:rsid w:val="005B392D"/>
    <w:rsid w:val="005B3F05"/>
    <w:rsid w:val="005B4657"/>
    <w:rsid w:val="005B4E28"/>
    <w:rsid w:val="005B55AE"/>
    <w:rsid w:val="005B55B9"/>
    <w:rsid w:val="005B5794"/>
    <w:rsid w:val="005B5BEA"/>
    <w:rsid w:val="005B61E2"/>
    <w:rsid w:val="005B7292"/>
    <w:rsid w:val="005C100D"/>
    <w:rsid w:val="005C12B3"/>
    <w:rsid w:val="005C19DE"/>
    <w:rsid w:val="005C2962"/>
    <w:rsid w:val="005C29B9"/>
    <w:rsid w:val="005C2E0F"/>
    <w:rsid w:val="005C398A"/>
    <w:rsid w:val="005C3B0E"/>
    <w:rsid w:val="005C3DFB"/>
    <w:rsid w:val="005C4059"/>
    <w:rsid w:val="005C4443"/>
    <w:rsid w:val="005C4E15"/>
    <w:rsid w:val="005C5650"/>
    <w:rsid w:val="005C56CC"/>
    <w:rsid w:val="005C59FE"/>
    <w:rsid w:val="005C5FF9"/>
    <w:rsid w:val="005C74BF"/>
    <w:rsid w:val="005C752B"/>
    <w:rsid w:val="005C77E8"/>
    <w:rsid w:val="005C7D5E"/>
    <w:rsid w:val="005D0875"/>
    <w:rsid w:val="005D08B2"/>
    <w:rsid w:val="005D1342"/>
    <w:rsid w:val="005D3F3E"/>
    <w:rsid w:val="005D4197"/>
    <w:rsid w:val="005D44A5"/>
    <w:rsid w:val="005D46DD"/>
    <w:rsid w:val="005D4E18"/>
    <w:rsid w:val="005D58E6"/>
    <w:rsid w:val="005D6497"/>
    <w:rsid w:val="005D6783"/>
    <w:rsid w:val="005D6F98"/>
    <w:rsid w:val="005D7848"/>
    <w:rsid w:val="005D7D7D"/>
    <w:rsid w:val="005E03AA"/>
    <w:rsid w:val="005E0576"/>
    <w:rsid w:val="005E06EB"/>
    <w:rsid w:val="005E0CDC"/>
    <w:rsid w:val="005E18E2"/>
    <w:rsid w:val="005E22A6"/>
    <w:rsid w:val="005E2440"/>
    <w:rsid w:val="005E2D20"/>
    <w:rsid w:val="005E3BE8"/>
    <w:rsid w:val="005E423F"/>
    <w:rsid w:val="005E4583"/>
    <w:rsid w:val="005E4EC9"/>
    <w:rsid w:val="005E5602"/>
    <w:rsid w:val="005E576D"/>
    <w:rsid w:val="005E66AB"/>
    <w:rsid w:val="005E746E"/>
    <w:rsid w:val="005E775C"/>
    <w:rsid w:val="005E7770"/>
    <w:rsid w:val="005E7B9B"/>
    <w:rsid w:val="005F0E53"/>
    <w:rsid w:val="005F117E"/>
    <w:rsid w:val="005F12EF"/>
    <w:rsid w:val="005F1379"/>
    <w:rsid w:val="005F16F4"/>
    <w:rsid w:val="005F1A15"/>
    <w:rsid w:val="005F26B8"/>
    <w:rsid w:val="005F3812"/>
    <w:rsid w:val="005F3BBD"/>
    <w:rsid w:val="005F43F6"/>
    <w:rsid w:val="005F4788"/>
    <w:rsid w:val="005F4D6A"/>
    <w:rsid w:val="005F4FCE"/>
    <w:rsid w:val="005F5661"/>
    <w:rsid w:val="005F641E"/>
    <w:rsid w:val="005F6506"/>
    <w:rsid w:val="0060015C"/>
    <w:rsid w:val="00600405"/>
    <w:rsid w:val="006005A8"/>
    <w:rsid w:val="00600C34"/>
    <w:rsid w:val="00601503"/>
    <w:rsid w:val="00601994"/>
    <w:rsid w:val="00601D88"/>
    <w:rsid w:val="00602B9C"/>
    <w:rsid w:val="00603327"/>
    <w:rsid w:val="00603330"/>
    <w:rsid w:val="00603E7E"/>
    <w:rsid w:val="00604AF5"/>
    <w:rsid w:val="0060598F"/>
    <w:rsid w:val="006060D4"/>
    <w:rsid w:val="006062E4"/>
    <w:rsid w:val="00606797"/>
    <w:rsid w:val="00606A17"/>
    <w:rsid w:val="00606AF0"/>
    <w:rsid w:val="006076E7"/>
    <w:rsid w:val="00610B43"/>
    <w:rsid w:val="00612C63"/>
    <w:rsid w:val="00612DAE"/>
    <w:rsid w:val="00614791"/>
    <w:rsid w:val="00614A86"/>
    <w:rsid w:val="00614BDF"/>
    <w:rsid w:val="00614DFA"/>
    <w:rsid w:val="00614FA4"/>
    <w:rsid w:val="00615272"/>
    <w:rsid w:val="006159E4"/>
    <w:rsid w:val="00616525"/>
    <w:rsid w:val="00617133"/>
    <w:rsid w:val="0061798E"/>
    <w:rsid w:val="00621B03"/>
    <w:rsid w:val="00621CB4"/>
    <w:rsid w:val="006233F7"/>
    <w:rsid w:val="00623D39"/>
    <w:rsid w:val="0062406D"/>
    <w:rsid w:val="0062440C"/>
    <w:rsid w:val="00624D83"/>
    <w:rsid w:val="006250ED"/>
    <w:rsid w:val="006256C7"/>
    <w:rsid w:val="00625AE7"/>
    <w:rsid w:val="00626D91"/>
    <w:rsid w:val="00626FEF"/>
    <w:rsid w:val="006278AE"/>
    <w:rsid w:val="006307AD"/>
    <w:rsid w:val="00630900"/>
    <w:rsid w:val="00630AF3"/>
    <w:rsid w:val="0063128F"/>
    <w:rsid w:val="00631605"/>
    <w:rsid w:val="0063164F"/>
    <w:rsid w:val="00631880"/>
    <w:rsid w:val="00631A99"/>
    <w:rsid w:val="00631CB3"/>
    <w:rsid w:val="00632898"/>
    <w:rsid w:val="00633058"/>
    <w:rsid w:val="00633621"/>
    <w:rsid w:val="0063389C"/>
    <w:rsid w:val="0063394E"/>
    <w:rsid w:val="00633F17"/>
    <w:rsid w:val="006341F1"/>
    <w:rsid w:val="00634C50"/>
    <w:rsid w:val="00634C9F"/>
    <w:rsid w:val="00634FF5"/>
    <w:rsid w:val="006355F7"/>
    <w:rsid w:val="0063566B"/>
    <w:rsid w:val="00635A87"/>
    <w:rsid w:val="00635C5F"/>
    <w:rsid w:val="006365B5"/>
    <w:rsid w:val="00636E02"/>
    <w:rsid w:val="0063726D"/>
    <w:rsid w:val="00637BCA"/>
    <w:rsid w:val="00640306"/>
    <w:rsid w:val="00641705"/>
    <w:rsid w:val="00642139"/>
    <w:rsid w:val="0064221A"/>
    <w:rsid w:val="006422E4"/>
    <w:rsid w:val="006423ED"/>
    <w:rsid w:val="00642BC5"/>
    <w:rsid w:val="00643580"/>
    <w:rsid w:val="0064379C"/>
    <w:rsid w:val="00643D02"/>
    <w:rsid w:val="00643D11"/>
    <w:rsid w:val="006448B9"/>
    <w:rsid w:val="00645549"/>
    <w:rsid w:val="00645915"/>
    <w:rsid w:val="00645E3D"/>
    <w:rsid w:val="00646488"/>
    <w:rsid w:val="00650458"/>
    <w:rsid w:val="00650D64"/>
    <w:rsid w:val="00654A07"/>
    <w:rsid w:val="00654B4F"/>
    <w:rsid w:val="00654FF8"/>
    <w:rsid w:val="0065539B"/>
    <w:rsid w:val="00655974"/>
    <w:rsid w:val="00655C99"/>
    <w:rsid w:val="006562A1"/>
    <w:rsid w:val="00656376"/>
    <w:rsid w:val="00656C73"/>
    <w:rsid w:val="00657192"/>
    <w:rsid w:val="006571FC"/>
    <w:rsid w:val="00660E06"/>
    <w:rsid w:val="00660FFD"/>
    <w:rsid w:val="00662773"/>
    <w:rsid w:val="00662AD2"/>
    <w:rsid w:val="00662F5A"/>
    <w:rsid w:val="00663AA3"/>
    <w:rsid w:val="00663B90"/>
    <w:rsid w:val="0066537F"/>
    <w:rsid w:val="0066614F"/>
    <w:rsid w:val="006666DA"/>
    <w:rsid w:val="00667A74"/>
    <w:rsid w:val="00667EC2"/>
    <w:rsid w:val="00670279"/>
    <w:rsid w:val="0067038E"/>
    <w:rsid w:val="00670913"/>
    <w:rsid w:val="00670A89"/>
    <w:rsid w:val="00670E04"/>
    <w:rsid w:val="0067175A"/>
    <w:rsid w:val="00671BDF"/>
    <w:rsid w:val="00671CC0"/>
    <w:rsid w:val="00671F80"/>
    <w:rsid w:val="006733CB"/>
    <w:rsid w:val="006737A1"/>
    <w:rsid w:val="00673A4F"/>
    <w:rsid w:val="00673FDF"/>
    <w:rsid w:val="006749A3"/>
    <w:rsid w:val="00674C66"/>
    <w:rsid w:val="00674DF6"/>
    <w:rsid w:val="00674F57"/>
    <w:rsid w:val="0067554A"/>
    <w:rsid w:val="006768F2"/>
    <w:rsid w:val="00676E9D"/>
    <w:rsid w:val="0068255B"/>
    <w:rsid w:val="006838EF"/>
    <w:rsid w:val="00683A84"/>
    <w:rsid w:val="00684C81"/>
    <w:rsid w:val="006856E7"/>
    <w:rsid w:val="00686CB4"/>
    <w:rsid w:val="006877B3"/>
    <w:rsid w:val="00687AC4"/>
    <w:rsid w:val="00687BC7"/>
    <w:rsid w:val="0069084A"/>
    <w:rsid w:val="00690C41"/>
    <w:rsid w:val="0069132A"/>
    <w:rsid w:val="00691D61"/>
    <w:rsid w:val="00692003"/>
    <w:rsid w:val="00692AE8"/>
    <w:rsid w:val="00694D04"/>
    <w:rsid w:val="00694E2B"/>
    <w:rsid w:val="00694EE0"/>
    <w:rsid w:val="0069592E"/>
    <w:rsid w:val="00695B7E"/>
    <w:rsid w:val="00695C63"/>
    <w:rsid w:val="00696832"/>
    <w:rsid w:val="006A1A0A"/>
    <w:rsid w:val="006A3FE7"/>
    <w:rsid w:val="006A426D"/>
    <w:rsid w:val="006A55D9"/>
    <w:rsid w:val="006A7D8C"/>
    <w:rsid w:val="006A7DF3"/>
    <w:rsid w:val="006B0009"/>
    <w:rsid w:val="006B01E0"/>
    <w:rsid w:val="006B020E"/>
    <w:rsid w:val="006B124D"/>
    <w:rsid w:val="006B27EF"/>
    <w:rsid w:val="006B2FB5"/>
    <w:rsid w:val="006B3891"/>
    <w:rsid w:val="006B38DF"/>
    <w:rsid w:val="006B4DA3"/>
    <w:rsid w:val="006B5596"/>
    <w:rsid w:val="006B5CF5"/>
    <w:rsid w:val="006B6540"/>
    <w:rsid w:val="006B66B8"/>
    <w:rsid w:val="006B6A35"/>
    <w:rsid w:val="006B6B38"/>
    <w:rsid w:val="006B7B28"/>
    <w:rsid w:val="006B7F04"/>
    <w:rsid w:val="006C1813"/>
    <w:rsid w:val="006C18CD"/>
    <w:rsid w:val="006C1F88"/>
    <w:rsid w:val="006C1F93"/>
    <w:rsid w:val="006C2ADD"/>
    <w:rsid w:val="006C2FEA"/>
    <w:rsid w:val="006C30D3"/>
    <w:rsid w:val="006C330A"/>
    <w:rsid w:val="006C3CED"/>
    <w:rsid w:val="006C60BA"/>
    <w:rsid w:val="006C650C"/>
    <w:rsid w:val="006C67B6"/>
    <w:rsid w:val="006C6D95"/>
    <w:rsid w:val="006C7FDA"/>
    <w:rsid w:val="006D0C33"/>
    <w:rsid w:val="006D0F81"/>
    <w:rsid w:val="006D1940"/>
    <w:rsid w:val="006D1E42"/>
    <w:rsid w:val="006D25F9"/>
    <w:rsid w:val="006D2E3A"/>
    <w:rsid w:val="006D321B"/>
    <w:rsid w:val="006D3ABC"/>
    <w:rsid w:val="006D3C69"/>
    <w:rsid w:val="006D44CB"/>
    <w:rsid w:val="006D4C1E"/>
    <w:rsid w:val="006D50B5"/>
    <w:rsid w:val="006D56E5"/>
    <w:rsid w:val="006D58E3"/>
    <w:rsid w:val="006D6192"/>
    <w:rsid w:val="006D61FF"/>
    <w:rsid w:val="006D6287"/>
    <w:rsid w:val="006D6DDF"/>
    <w:rsid w:val="006D7C36"/>
    <w:rsid w:val="006E0454"/>
    <w:rsid w:val="006E056A"/>
    <w:rsid w:val="006E0749"/>
    <w:rsid w:val="006E0852"/>
    <w:rsid w:val="006E134B"/>
    <w:rsid w:val="006E1811"/>
    <w:rsid w:val="006E2C39"/>
    <w:rsid w:val="006E2C81"/>
    <w:rsid w:val="006E2FEF"/>
    <w:rsid w:val="006E365B"/>
    <w:rsid w:val="006E3F25"/>
    <w:rsid w:val="006E484E"/>
    <w:rsid w:val="006E4D91"/>
    <w:rsid w:val="006E4E81"/>
    <w:rsid w:val="006E4F10"/>
    <w:rsid w:val="006E59E2"/>
    <w:rsid w:val="006E608A"/>
    <w:rsid w:val="006E6527"/>
    <w:rsid w:val="006F0844"/>
    <w:rsid w:val="006F167E"/>
    <w:rsid w:val="006F1915"/>
    <w:rsid w:val="006F200E"/>
    <w:rsid w:val="006F2164"/>
    <w:rsid w:val="006F260F"/>
    <w:rsid w:val="006F366F"/>
    <w:rsid w:val="006F4021"/>
    <w:rsid w:val="006F4A10"/>
    <w:rsid w:val="006F523D"/>
    <w:rsid w:val="006F53C6"/>
    <w:rsid w:val="006F578A"/>
    <w:rsid w:val="006F6AB5"/>
    <w:rsid w:val="006F6B0F"/>
    <w:rsid w:val="006F6D00"/>
    <w:rsid w:val="006F6EDF"/>
    <w:rsid w:val="00700040"/>
    <w:rsid w:val="0070016C"/>
    <w:rsid w:val="00700173"/>
    <w:rsid w:val="007019BD"/>
    <w:rsid w:val="007026DF"/>
    <w:rsid w:val="00703288"/>
    <w:rsid w:val="00703ACD"/>
    <w:rsid w:val="00704C33"/>
    <w:rsid w:val="00705DD0"/>
    <w:rsid w:val="00707419"/>
    <w:rsid w:val="00710622"/>
    <w:rsid w:val="007119C8"/>
    <w:rsid w:val="0071237F"/>
    <w:rsid w:val="00712D19"/>
    <w:rsid w:val="00713000"/>
    <w:rsid w:val="0071356D"/>
    <w:rsid w:val="0071358A"/>
    <w:rsid w:val="00713898"/>
    <w:rsid w:val="007142CD"/>
    <w:rsid w:val="007145DC"/>
    <w:rsid w:val="00714C1F"/>
    <w:rsid w:val="00714D81"/>
    <w:rsid w:val="007153A6"/>
    <w:rsid w:val="0071588F"/>
    <w:rsid w:val="00715BD9"/>
    <w:rsid w:val="00715C7C"/>
    <w:rsid w:val="00715F4A"/>
    <w:rsid w:val="00716566"/>
    <w:rsid w:val="00716B49"/>
    <w:rsid w:val="00716F65"/>
    <w:rsid w:val="00716FA4"/>
    <w:rsid w:val="00717A3F"/>
    <w:rsid w:val="007205F0"/>
    <w:rsid w:val="00720F9A"/>
    <w:rsid w:val="00721370"/>
    <w:rsid w:val="007215A4"/>
    <w:rsid w:val="007217EE"/>
    <w:rsid w:val="007237A8"/>
    <w:rsid w:val="007240DA"/>
    <w:rsid w:val="0072457C"/>
    <w:rsid w:val="007247A7"/>
    <w:rsid w:val="00724B2A"/>
    <w:rsid w:val="00724B8E"/>
    <w:rsid w:val="00724D91"/>
    <w:rsid w:val="00724FF8"/>
    <w:rsid w:val="00725689"/>
    <w:rsid w:val="00725BCA"/>
    <w:rsid w:val="00726434"/>
    <w:rsid w:val="007266C4"/>
    <w:rsid w:val="00726958"/>
    <w:rsid w:val="00727154"/>
    <w:rsid w:val="00727837"/>
    <w:rsid w:val="007304FC"/>
    <w:rsid w:val="00730BB0"/>
    <w:rsid w:val="007310E4"/>
    <w:rsid w:val="007311A4"/>
    <w:rsid w:val="007312D1"/>
    <w:rsid w:val="0073171F"/>
    <w:rsid w:val="00731A58"/>
    <w:rsid w:val="00731D32"/>
    <w:rsid w:val="007322A3"/>
    <w:rsid w:val="007322BC"/>
    <w:rsid w:val="00732A9C"/>
    <w:rsid w:val="00732B22"/>
    <w:rsid w:val="007330F6"/>
    <w:rsid w:val="00733572"/>
    <w:rsid w:val="007347E5"/>
    <w:rsid w:val="007356F1"/>
    <w:rsid w:val="00735704"/>
    <w:rsid w:val="0073604B"/>
    <w:rsid w:val="007365AE"/>
    <w:rsid w:val="007368DE"/>
    <w:rsid w:val="00736D86"/>
    <w:rsid w:val="007372FD"/>
    <w:rsid w:val="007374E3"/>
    <w:rsid w:val="007378F1"/>
    <w:rsid w:val="00737FD7"/>
    <w:rsid w:val="007409AF"/>
    <w:rsid w:val="00740E9D"/>
    <w:rsid w:val="00741078"/>
    <w:rsid w:val="007412E4"/>
    <w:rsid w:val="00741C43"/>
    <w:rsid w:val="00741E95"/>
    <w:rsid w:val="007427CD"/>
    <w:rsid w:val="0074343C"/>
    <w:rsid w:val="00743E28"/>
    <w:rsid w:val="00744B4E"/>
    <w:rsid w:val="00744E7E"/>
    <w:rsid w:val="007455BC"/>
    <w:rsid w:val="00745820"/>
    <w:rsid w:val="0074701E"/>
    <w:rsid w:val="00747739"/>
    <w:rsid w:val="0074792E"/>
    <w:rsid w:val="0075068A"/>
    <w:rsid w:val="00750C5E"/>
    <w:rsid w:val="00750F56"/>
    <w:rsid w:val="00751769"/>
    <w:rsid w:val="007519F8"/>
    <w:rsid w:val="00751EDC"/>
    <w:rsid w:val="0075250A"/>
    <w:rsid w:val="00752DF7"/>
    <w:rsid w:val="00752EC7"/>
    <w:rsid w:val="00753447"/>
    <w:rsid w:val="00753E2D"/>
    <w:rsid w:val="00753FFB"/>
    <w:rsid w:val="0075448A"/>
    <w:rsid w:val="00754E37"/>
    <w:rsid w:val="00755D62"/>
    <w:rsid w:val="0075756B"/>
    <w:rsid w:val="0075769D"/>
    <w:rsid w:val="00761339"/>
    <w:rsid w:val="00761CDF"/>
    <w:rsid w:val="00761FDC"/>
    <w:rsid w:val="00761FFC"/>
    <w:rsid w:val="007621C7"/>
    <w:rsid w:val="00763175"/>
    <w:rsid w:val="007633E5"/>
    <w:rsid w:val="00763670"/>
    <w:rsid w:val="007657CE"/>
    <w:rsid w:val="007660C7"/>
    <w:rsid w:val="00766C04"/>
    <w:rsid w:val="00766F62"/>
    <w:rsid w:val="00767942"/>
    <w:rsid w:val="00767B95"/>
    <w:rsid w:val="00771B87"/>
    <w:rsid w:val="007730B6"/>
    <w:rsid w:val="00774A79"/>
    <w:rsid w:val="00775132"/>
    <w:rsid w:val="00775A3E"/>
    <w:rsid w:val="00776E4F"/>
    <w:rsid w:val="0077734B"/>
    <w:rsid w:val="007777E0"/>
    <w:rsid w:val="00777B54"/>
    <w:rsid w:val="00777C66"/>
    <w:rsid w:val="00777D76"/>
    <w:rsid w:val="007806FE"/>
    <w:rsid w:val="00781897"/>
    <w:rsid w:val="007819C8"/>
    <w:rsid w:val="00781B71"/>
    <w:rsid w:val="00782754"/>
    <w:rsid w:val="007834B7"/>
    <w:rsid w:val="0078394F"/>
    <w:rsid w:val="0078405D"/>
    <w:rsid w:val="00785901"/>
    <w:rsid w:val="00787132"/>
    <w:rsid w:val="00787204"/>
    <w:rsid w:val="007872F7"/>
    <w:rsid w:val="0078743E"/>
    <w:rsid w:val="007909D0"/>
    <w:rsid w:val="00790DD4"/>
    <w:rsid w:val="00791AE4"/>
    <w:rsid w:val="00791B26"/>
    <w:rsid w:val="00791D87"/>
    <w:rsid w:val="007935D8"/>
    <w:rsid w:val="007946FA"/>
    <w:rsid w:val="007948A0"/>
    <w:rsid w:val="00795408"/>
    <w:rsid w:val="00796196"/>
    <w:rsid w:val="007965FD"/>
    <w:rsid w:val="007968DF"/>
    <w:rsid w:val="00797406"/>
    <w:rsid w:val="00797748"/>
    <w:rsid w:val="0079777B"/>
    <w:rsid w:val="007A039D"/>
    <w:rsid w:val="007A0AF6"/>
    <w:rsid w:val="007A1CE2"/>
    <w:rsid w:val="007A20D0"/>
    <w:rsid w:val="007A36B3"/>
    <w:rsid w:val="007A3B87"/>
    <w:rsid w:val="007A3CD9"/>
    <w:rsid w:val="007A3DA5"/>
    <w:rsid w:val="007A3F41"/>
    <w:rsid w:val="007A43E0"/>
    <w:rsid w:val="007A458D"/>
    <w:rsid w:val="007A480A"/>
    <w:rsid w:val="007A498C"/>
    <w:rsid w:val="007A51E2"/>
    <w:rsid w:val="007A5DC0"/>
    <w:rsid w:val="007A61AA"/>
    <w:rsid w:val="007A6D44"/>
    <w:rsid w:val="007B162D"/>
    <w:rsid w:val="007B2913"/>
    <w:rsid w:val="007B335E"/>
    <w:rsid w:val="007B342E"/>
    <w:rsid w:val="007B4A2F"/>
    <w:rsid w:val="007B4BD2"/>
    <w:rsid w:val="007B4D96"/>
    <w:rsid w:val="007B6C37"/>
    <w:rsid w:val="007B6CD7"/>
    <w:rsid w:val="007B6F7E"/>
    <w:rsid w:val="007B721C"/>
    <w:rsid w:val="007B7332"/>
    <w:rsid w:val="007B7669"/>
    <w:rsid w:val="007C02F9"/>
    <w:rsid w:val="007C1001"/>
    <w:rsid w:val="007C1468"/>
    <w:rsid w:val="007C1ED7"/>
    <w:rsid w:val="007C23FF"/>
    <w:rsid w:val="007C275E"/>
    <w:rsid w:val="007C3A7E"/>
    <w:rsid w:val="007C41D0"/>
    <w:rsid w:val="007C42C6"/>
    <w:rsid w:val="007C62E5"/>
    <w:rsid w:val="007C6A9B"/>
    <w:rsid w:val="007C6BCA"/>
    <w:rsid w:val="007C6C31"/>
    <w:rsid w:val="007C705E"/>
    <w:rsid w:val="007C780A"/>
    <w:rsid w:val="007D0368"/>
    <w:rsid w:val="007D18F2"/>
    <w:rsid w:val="007D1EAE"/>
    <w:rsid w:val="007D1EE9"/>
    <w:rsid w:val="007D2A09"/>
    <w:rsid w:val="007D352E"/>
    <w:rsid w:val="007D3AEE"/>
    <w:rsid w:val="007D3F66"/>
    <w:rsid w:val="007D40A7"/>
    <w:rsid w:val="007D4119"/>
    <w:rsid w:val="007D46C9"/>
    <w:rsid w:val="007D5A6E"/>
    <w:rsid w:val="007D62BE"/>
    <w:rsid w:val="007D6876"/>
    <w:rsid w:val="007D6A86"/>
    <w:rsid w:val="007D6BF0"/>
    <w:rsid w:val="007D6CDF"/>
    <w:rsid w:val="007D73C6"/>
    <w:rsid w:val="007D7C18"/>
    <w:rsid w:val="007E0784"/>
    <w:rsid w:val="007E14F9"/>
    <w:rsid w:val="007E1512"/>
    <w:rsid w:val="007E16D7"/>
    <w:rsid w:val="007E1852"/>
    <w:rsid w:val="007E270F"/>
    <w:rsid w:val="007E274E"/>
    <w:rsid w:val="007E3CD5"/>
    <w:rsid w:val="007E5069"/>
    <w:rsid w:val="007E56EB"/>
    <w:rsid w:val="007E5D60"/>
    <w:rsid w:val="007E6B09"/>
    <w:rsid w:val="007E7B2B"/>
    <w:rsid w:val="007E7C09"/>
    <w:rsid w:val="007F043C"/>
    <w:rsid w:val="007F1394"/>
    <w:rsid w:val="007F2439"/>
    <w:rsid w:val="007F2B0D"/>
    <w:rsid w:val="007F338E"/>
    <w:rsid w:val="007F38A8"/>
    <w:rsid w:val="007F3E03"/>
    <w:rsid w:val="007F3E5B"/>
    <w:rsid w:val="007F48C0"/>
    <w:rsid w:val="007F4AF0"/>
    <w:rsid w:val="007F62E4"/>
    <w:rsid w:val="007F6578"/>
    <w:rsid w:val="007F6993"/>
    <w:rsid w:val="007F7A46"/>
    <w:rsid w:val="008000EE"/>
    <w:rsid w:val="00801211"/>
    <w:rsid w:val="00801798"/>
    <w:rsid w:val="008024D5"/>
    <w:rsid w:val="0080298C"/>
    <w:rsid w:val="00802D08"/>
    <w:rsid w:val="00803D6A"/>
    <w:rsid w:val="0080440E"/>
    <w:rsid w:val="00804942"/>
    <w:rsid w:val="00804CA4"/>
    <w:rsid w:val="00804F90"/>
    <w:rsid w:val="00805E8F"/>
    <w:rsid w:val="0080623A"/>
    <w:rsid w:val="0080681C"/>
    <w:rsid w:val="008068E9"/>
    <w:rsid w:val="0080719C"/>
    <w:rsid w:val="00807831"/>
    <w:rsid w:val="0080793D"/>
    <w:rsid w:val="00807FB5"/>
    <w:rsid w:val="0081183A"/>
    <w:rsid w:val="00811DBB"/>
    <w:rsid w:val="00811E6C"/>
    <w:rsid w:val="00812BC2"/>
    <w:rsid w:val="00813225"/>
    <w:rsid w:val="0081510E"/>
    <w:rsid w:val="008157B0"/>
    <w:rsid w:val="008159D0"/>
    <w:rsid w:val="00816391"/>
    <w:rsid w:val="0081659A"/>
    <w:rsid w:val="00816BA8"/>
    <w:rsid w:val="0081758F"/>
    <w:rsid w:val="00820519"/>
    <w:rsid w:val="00820C7C"/>
    <w:rsid w:val="00820D1C"/>
    <w:rsid w:val="00821554"/>
    <w:rsid w:val="00821DDE"/>
    <w:rsid w:val="0082226F"/>
    <w:rsid w:val="00822DC4"/>
    <w:rsid w:val="00822F3B"/>
    <w:rsid w:val="00823676"/>
    <w:rsid w:val="00824FB9"/>
    <w:rsid w:val="008252C7"/>
    <w:rsid w:val="00825630"/>
    <w:rsid w:val="00825CD9"/>
    <w:rsid w:val="00825E3E"/>
    <w:rsid w:val="0082712B"/>
    <w:rsid w:val="00827584"/>
    <w:rsid w:val="00827D73"/>
    <w:rsid w:val="008305D1"/>
    <w:rsid w:val="008306AF"/>
    <w:rsid w:val="0083081E"/>
    <w:rsid w:val="00830C89"/>
    <w:rsid w:val="008310C9"/>
    <w:rsid w:val="00831AE5"/>
    <w:rsid w:val="00831CF6"/>
    <w:rsid w:val="00832C9F"/>
    <w:rsid w:val="00832ECF"/>
    <w:rsid w:val="0083307F"/>
    <w:rsid w:val="0083343E"/>
    <w:rsid w:val="00834071"/>
    <w:rsid w:val="0083455F"/>
    <w:rsid w:val="00834F02"/>
    <w:rsid w:val="0083540E"/>
    <w:rsid w:val="00835FBF"/>
    <w:rsid w:val="008369FD"/>
    <w:rsid w:val="00836D76"/>
    <w:rsid w:val="00837222"/>
    <w:rsid w:val="00840E5A"/>
    <w:rsid w:val="008417C9"/>
    <w:rsid w:val="008422E0"/>
    <w:rsid w:val="00843A5D"/>
    <w:rsid w:val="00843C17"/>
    <w:rsid w:val="0084412A"/>
    <w:rsid w:val="00844B18"/>
    <w:rsid w:val="00844C4C"/>
    <w:rsid w:val="00845344"/>
    <w:rsid w:val="00845659"/>
    <w:rsid w:val="00846558"/>
    <w:rsid w:val="00846680"/>
    <w:rsid w:val="00847121"/>
    <w:rsid w:val="00847393"/>
    <w:rsid w:val="00847972"/>
    <w:rsid w:val="00847C32"/>
    <w:rsid w:val="008511E5"/>
    <w:rsid w:val="00851905"/>
    <w:rsid w:val="008529B1"/>
    <w:rsid w:val="00852EA8"/>
    <w:rsid w:val="00853CBB"/>
    <w:rsid w:val="00854BFC"/>
    <w:rsid w:val="008551EE"/>
    <w:rsid w:val="00855F99"/>
    <w:rsid w:val="00856765"/>
    <w:rsid w:val="008573CE"/>
    <w:rsid w:val="008578F9"/>
    <w:rsid w:val="00857AC4"/>
    <w:rsid w:val="00860112"/>
    <w:rsid w:val="008606C1"/>
    <w:rsid w:val="00860C77"/>
    <w:rsid w:val="00861735"/>
    <w:rsid w:val="00861D02"/>
    <w:rsid w:val="00861D6B"/>
    <w:rsid w:val="008624CA"/>
    <w:rsid w:val="0086253C"/>
    <w:rsid w:val="008628FC"/>
    <w:rsid w:val="00862DFA"/>
    <w:rsid w:val="00862FE9"/>
    <w:rsid w:val="008633D8"/>
    <w:rsid w:val="0086375D"/>
    <w:rsid w:val="008639E1"/>
    <w:rsid w:val="00865507"/>
    <w:rsid w:val="00865749"/>
    <w:rsid w:val="00866E36"/>
    <w:rsid w:val="00867065"/>
    <w:rsid w:val="00867469"/>
    <w:rsid w:val="00867811"/>
    <w:rsid w:val="00870D2B"/>
    <w:rsid w:val="0087174B"/>
    <w:rsid w:val="00871C3D"/>
    <w:rsid w:val="00871D40"/>
    <w:rsid w:val="008720A5"/>
    <w:rsid w:val="00872971"/>
    <w:rsid w:val="00873BB6"/>
    <w:rsid w:val="00873DCA"/>
    <w:rsid w:val="00873ECF"/>
    <w:rsid w:val="00874B3D"/>
    <w:rsid w:val="00876737"/>
    <w:rsid w:val="00876A00"/>
    <w:rsid w:val="0087776D"/>
    <w:rsid w:val="0087786B"/>
    <w:rsid w:val="00877A4E"/>
    <w:rsid w:val="0088107F"/>
    <w:rsid w:val="00881C79"/>
    <w:rsid w:val="00882E05"/>
    <w:rsid w:val="00883348"/>
    <w:rsid w:val="0088356E"/>
    <w:rsid w:val="00883571"/>
    <w:rsid w:val="00883CAD"/>
    <w:rsid w:val="00883F6A"/>
    <w:rsid w:val="00885E6E"/>
    <w:rsid w:val="00887500"/>
    <w:rsid w:val="008879E2"/>
    <w:rsid w:val="008902F0"/>
    <w:rsid w:val="00890789"/>
    <w:rsid w:val="00890E18"/>
    <w:rsid w:val="00890E37"/>
    <w:rsid w:val="00891B59"/>
    <w:rsid w:val="00891D83"/>
    <w:rsid w:val="0089265C"/>
    <w:rsid w:val="008932A4"/>
    <w:rsid w:val="00894964"/>
    <w:rsid w:val="00894989"/>
    <w:rsid w:val="00895E23"/>
    <w:rsid w:val="00896A66"/>
    <w:rsid w:val="008974FC"/>
    <w:rsid w:val="0089781D"/>
    <w:rsid w:val="00897FBA"/>
    <w:rsid w:val="008A0597"/>
    <w:rsid w:val="008A0949"/>
    <w:rsid w:val="008A2049"/>
    <w:rsid w:val="008A229A"/>
    <w:rsid w:val="008A2686"/>
    <w:rsid w:val="008A31CB"/>
    <w:rsid w:val="008A45AD"/>
    <w:rsid w:val="008A45E3"/>
    <w:rsid w:val="008A4E8F"/>
    <w:rsid w:val="008A54F7"/>
    <w:rsid w:val="008A5974"/>
    <w:rsid w:val="008A68F3"/>
    <w:rsid w:val="008A6A37"/>
    <w:rsid w:val="008A7005"/>
    <w:rsid w:val="008A74D8"/>
    <w:rsid w:val="008A74F5"/>
    <w:rsid w:val="008A7B7A"/>
    <w:rsid w:val="008B02F7"/>
    <w:rsid w:val="008B1173"/>
    <w:rsid w:val="008B1222"/>
    <w:rsid w:val="008B149E"/>
    <w:rsid w:val="008B1C5C"/>
    <w:rsid w:val="008B1CAB"/>
    <w:rsid w:val="008B2473"/>
    <w:rsid w:val="008B38D2"/>
    <w:rsid w:val="008B403B"/>
    <w:rsid w:val="008B4557"/>
    <w:rsid w:val="008B478A"/>
    <w:rsid w:val="008B4D5B"/>
    <w:rsid w:val="008B5DA9"/>
    <w:rsid w:val="008B6082"/>
    <w:rsid w:val="008B792D"/>
    <w:rsid w:val="008C1577"/>
    <w:rsid w:val="008C1845"/>
    <w:rsid w:val="008C1ED1"/>
    <w:rsid w:val="008C1FEC"/>
    <w:rsid w:val="008C2CA0"/>
    <w:rsid w:val="008C2FC4"/>
    <w:rsid w:val="008C32E9"/>
    <w:rsid w:val="008C378B"/>
    <w:rsid w:val="008C3AF6"/>
    <w:rsid w:val="008C3F83"/>
    <w:rsid w:val="008C3FDA"/>
    <w:rsid w:val="008C45B8"/>
    <w:rsid w:val="008C535F"/>
    <w:rsid w:val="008C5BB2"/>
    <w:rsid w:val="008C5BF5"/>
    <w:rsid w:val="008C62AD"/>
    <w:rsid w:val="008C63B6"/>
    <w:rsid w:val="008C678F"/>
    <w:rsid w:val="008D0143"/>
    <w:rsid w:val="008D1ACE"/>
    <w:rsid w:val="008D1C20"/>
    <w:rsid w:val="008D20D5"/>
    <w:rsid w:val="008D221A"/>
    <w:rsid w:val="008D2609"/>
    <w:rsid w:val="008D2636"/>
    <w:rsid w:val="008D2AC2"/>
    <w:rsid w:val="008D2D50"/>
    <w:rsid w:val="008D477C"/>
    <w:rsid w:val="008D485B"/>
    <w:rsid w:val="008D51AC"/>
    <w:rsid w:val="008D5CA1"/>
    <w:rsid w:val="008D5D9E"/>
    <w:rsid w:val="008D7497"/>
    <w:rsid w:val="008E03A4"/>
    <w:rsid w:val="008E0468"/>
    <w:rsid w:val="008E0D0D"/>
    <w:rsid w:val="008E1378"/>
    <w:rsid w:val="008E2FEF"/>
    <w:rsid w:val="008E4511"/>
    <w:rsid w:val="008E4A18"/>
    <w:rsid w:val="008E5CD9"/>
    <w:rsid w:val="008E68E6"/>
    <w:rsid w:val="008E6946"/>
    <w:rsid w:val="008E6B6C"/>
    <w:rsid w:val="008E6CE7"/>
    <w:rsid w:val="008F0151"/>
    <w:rsid w:val="008F0701"/>
    <w:rsid w:val="008F0CDC"/>
    <w:rsid w:val="008F14B9"/>
    <w:rsid w:val="008F2CAF"/>
    <w:rsid w:val="008F2D92"/>
    <w:rsid w:val="008F3160"/>
    <w:rsid w:val="008F3B43"/>
    <w:rsid w:val="008F3C2A"/>
    <w:rsid w:val="008F40B6"/>
    <w:rsid w:val="008F4CA5"/>
    <w:rsid w:val="008F5898"/>
    <w:rsid w:val="008F6056"/>
    <w:rsid w:val="008F65CB"/>
    <w:rsid w:val="008F666A"/>
    <w:rsid w:val="008F6798"/>
    <w:rsid w:val="008F6BDC"/>
    <w:rsid w:val="008F73AF"/>
    <w:rsid w:val="00900486"/>
    <w:rsid w:val="009011CA"/>
    <w:rsid w:val="009013A5"/>
    <w:rsid w:val="00901578"/>
    <w:rsid w:val="0090179B"/>
    <w:rsid w:val="00902174"/>
    <w:rsid w:val="00902D75"/>
    <w:rsid w:val="00902E49"/>
    <w:rsid w:val="00902F6C"/>
    <w:rsid w:val="00903466"/>
    <w:rsid w:val="00903D2F"/>
    <w:rsid w:val="00903DE6"/>
    <w:rsid w:val="0090504E"/>
    <w:rsid w:val="009051EF"/>
    <w:rsid w:val="00905DD3"/>
    <w:rsid w:val="00905FF6"/>
    <w:rsid w:val="00906332"/>
    <w:rsid w:val="00906622"/>
    <w:rsid w:val="00906715"/>
    <w:rsid w:val="00906AE7"/>
    <w:rsid w:val="00910350"/>
    <w:rsid w:val="009103DD"/>
    <w:rsid w:val="009106A8"/>
    <w:rsid w:val="009114B7"/>
    <w:rsid w:val="00911D1E"/>
    <w:rsid w:val="00911D26"/>
    <w:rsid w:val="00911DF8"/>
    <w:rsid w:val="00912358"/>
    <w:rsid w:val="0091253C"/>
    <w:rsid w:val="00912A8A"/>
    <w:rsid w:val="00912C4C"/>
    <w:rsid w:val="00912C77"/>
    <w:rsid w:val="00913A30"/>
    <w:rsid w:val="009147DC"/>
    <w:rsid w:val="00915A15"/>
    <w:rsid w:val="00916391"/>
    <w:rsid w:val="0091694E"/>
    <w:rsid w:val="00917F2C"/>
    <w:rsid w:val="0092002F"/>
    <w:rsid w:val="00920717"/>
    <w:rsid w:val="00920AE3"/>
    <w:rsid w:val="00920C8B"/>
    <w:rsid w:val="00920DF8"/>
    <w:rsid w:val="00920F1F"/>
    <w:rsid w:val="0092111F"/>
    <w:rsid w:val="00921295"/>
    <w:rsid w:val="009220E7"/>
    <w:rsid w:val="00922566"/>
    <w:rsid w:val="00923261"/>
    <w:rsid w:val="0092332E"/>
    <w:rsid w:val="00924599"/>
    <w:rsid w:val="009245D5"/>
    <w:rsid w:val="00924A99"/>
    <w:rsid w:val="00926712"/>
    <w:rsid w:val="00926D80"/>
    <w:rsid w:val="009270A9"/>
    <w:rsid w:val="00927126"/>
    <w:rsid w:val="00927B83"/>
    <w:rsid w:val="009305E0"/>
    <w:rsid w:val="009319BE"/>
    <w:rsid w:val="00931DB6"/>
    <w:rsid w:val="00931E7E"/>
    <w:rsid w:val="00932262"/>
    <w:rsid w:val="0093276B"/>
    <w:rsid w:val="00933080"/>
    <w:rsid w:val="009332AD"/>
    <w:rsid w:val="0093333C"/>
    <w:rsid w:val="009347ED"/>
    <w:rsid w:val="00934D2D"/>
    <w:rsid w:val="0093544E"/>
    <w:rsid w:val="0093571A"/>
    <w:rsid w:val="0093592D"/>
    <w:rsid w:val="00935F14"/>
    <w:rsid w:val="00936B93"/>
    <w:rsid w:val="00936E68"/>
    <w:rsid w:val="00936ECF"/>
    <w:rsid w:val="00937808"/>
    <w:rsid w:val="009379BD"/>
    <w:rsid w:val="00937D16"/>
    <w:rsid w:val="00937E69"/>
    <w:rsid w:val="00940844"/>
    <w:rsid w:val="00940FCA"/>
    <w:rsid w:val="00941024"/>
    <w:rsid w:val="009410B8"/>
    <w:rsid w:val="009415AF"/>
    <w:rsid w:val="009428E8"/>
    <w:rsid w:val="00942E48"/>
    <w:rsid w:val="00943056"/>
    <w:rsid w:val="009439D0"/>
    <w:rsid w:val="0094461A"/>
    <w:rsid w:val="00944842"/>
    <w:rsid w:val="00944CC3"/>
    <w:rsid w:val="00945458"/>
    <w:rsid w:val="00945EF4"/>
    <w:rsid w:val="00946605"/>
    <w:rsid w:val="009476D6"/>
    <w:rsid w:val="00947743"/>
    <w:rsid w:val="0095025B"/>
    <w:rsid w:val="0095081D"/>
    <w:rsid w:val="00950B16"/>
    <w:rsid w:val="009519B7"/>
    <w:rsid w:val="00951CDA"/>
    <w:rsid w:val="009523B2"/>
    <w:rsid w:val="00952F4E"/>
    <w:rsid w:val="009536DA"/>
    <w:rsid w:val="00953B0C"/>
    <w:rsid w:val="00953C71"/>
    <w:rsid w:val="00953D47"/>
    <w:rsid w:val="0095552D"/>
    <w:rsid w:val="00956768"/>
    <w:rsid w:val="00957136"/>
    <w:rsid w:val="009579D7"/>
    <w:rsid w:val="009607F1"/>
    <w:rsid w:val="009609CF"/>
    <w:rsid w:val="00960D07"/>
    <w:rsid w:val="0096181B"/>
    <w:rsid w:val="0096183E"/>
    <w:rsid w:val="009620BE"/>
    <w:rsid w:val="009632C0"/>
    <w:rsid w:val="00963618"/>
    <w:rsid w:val="0096367B"/>
    <w:rsid w:val="00964212"/>
    <w:rsid w:val="009645E9"/>
    <w:rsid w:val="009647FE"/>
    <w:rsid w:val="00965C49"/>
    <w:rsid w:val="00965EC1"/>
    <w:rsid w:val="009660F4"/>
    <w:rsid w:val="00966130"/>
    <w:rsid w:val="0096682B"/>
    <w:rsid w:val="0096695F"/>
    <w:rsid w:val="00966C18"/>
    <w:rsid w:val="0096738A"/>
    <w:rsid w:val="009674A7"/>
    <w:rsid w:val="0097049B"/>
    <w:rsid w:val="009706CA"/>
    <w:rsid w:val="0097210C"/>
    <w:rsid w:val="0097244C"/>
    <w:rsid w:val="00972975"/>
    <w:rsid w:val="00973420"/>
    <w:rsid w:val="00974315"/>
    <w:rsid w:val="00974837"/>
    <w:rsid w:val="00974C06"/>
    <w:rsid w:val="00974C58"/>
    <w:rsid w:val="00974D1C"/>
    <w:rsid w:val="009761AD"/>
    <w:rsid w:val="0097626D"/>
    <w:rsid w:val="009771F5"/>
    <w:rsid w:val="00977FEF"/>
    <w:rsid w:val="009802C5"/>
    <w:rsid w:val="009808EE"/>
    <w:rsid w:val="0098147D"/>
    <w:rsid w:val="009815A6"/>
    <w:rsid w:val="00981705"/>
    <w:rsid w:val="00982128"/>
    <w:rsid w:val="009823FB"/>
    <w:rsid w:val="009828A2"/>
    <w:rsid w:val="00982F85"/>
    <w:rsid w:val="009833AD"/>
    <w:rsid w:val="0098349B"/>
    <w:rsid w:val="0098547A"/>
    <w:rsid w:val="00985D59"/>
    <w:rsid w:val="00985F49"/>
    <w:rsid w:val="00986B61"/>
    <w:rsid w:val="009905E4"/>
    <w:rsid w:val="00990627"/>
    <w:rsid w:val="00990B9F"/>
    <w:rsid w:val="00990FFA"/>
    <w:rsid w:val="00991597"/>
    <w:rsid w:val="009919C7"/>
    <w:rsid w:val="00991A3E"/>
    <w:rsid w:val="00992B73"/>
    <w:rsid w:val="00992EAB"/>
    <w:rsid w:val="00993022"/>
    <w:rsid w:val="009940BC"/>
    <w:rsid w:val="0099508A"/>
    <w:rsid w:val="00995E2F"/>
    <w:rsid w:val="00996199"/>
    <w:rsid w:val="009961BE"/>
    <w:rsid w:val="009965D3"/>
    <w:rsid w:val="0099673A"/>
    <w:rsid w:val="009971A9"/>
    <w:rsid w:val="00997D91"/>
    <w:rsid w:val="009A0B84"/>
    <w:rsid w:val="009A0C34"/>
    <w:rsid w:val="009A1532"/>
    <w:rsid w:val="009A233B"/>
    <w:rsid w:val="009A2B9A"/>
    <w:rsid w:val="009A44F5"/>
    <w:rsid w:val="009A4B80"/>
    <w:rsid w:val="009A4C32"/>
    <w:rsid w:val="009A55A6"/>
    <w:rsid w:val="009A58D3"/>
    <w:rsid w:val="009A6580"/>
    <w:rsid w:val="009A6CAE"/>
    <w:rsid w:val="009A6D40"/>
    <w:rsid w:val="009B03F3"/>
    <w:rsid w:val="009B06CB"/>
    <w:rsid w:val="009B1B70"/>
    <w:rsid w:val="009B2513"/>
    <w:rsid w:val="009B2BA2"/>
    <w:rsid w:val="009B4708"/>
    <w:rsid w:val="009B4D46"/>
    <w:rsid w:val="009B5A20"/>
    <w:rsid w:val="009B6A2A"/>
    <w:rsid w:val="009B6D46"/>
    <w:rsid w:val="009B6F2E"/>
    <w:rsid w:val="009C0AC7"/>
    <w:rsid w:val="009C1C8E"/>
    <w:rsid w:val="009C1FF1"/>
    <w:rsid w:val="009C28A0"/>
    <w:rsid w:val="009C2AF9"/>
    <w:rsid w:val="009C3837"/>
    <w:rsid w:val="009C38A5"/>
    <w:rsid w:val="009C3F10"/>
    <w:rsid w:val="009C4B94"/>
    <w:rsid w:val="009C5C6D"/>
    <w:rsid w:val="009C715F"/>
    <w:rsid w:val="009C769E"/>
    <w:rsid w:val="009C7D40"/>
    <w:rsid w:val="009D1197"/>
    <w:rsid w:val="009D120A"/>
    <w:rsid w:val="009D1DAE"/>
    <w:rsid w:val="009D258F"/>
    <w:rsid w:val="009D3265"/>
    <w:rsid w:val="009D3496"/>
    <w:rsid w:val="009D6157"/>
    <w:rsid w:val="009D652F"/>
    <w:rsid w:val="009D6926"/>
    <w:rsid w:val="009D6EDF"/>
    <w:rsid w:val="009D6EED"/>
    <w:rsid w:val="009D7334"/>
    <w:rsid w:val="009D7CB5"/>
    <w:rsid w:val="009D7FE7"/>
    <w:rsid w:val="009E0014"/>
    <w:rsid w:val="009E041B"/>
    <w:rsid w:val="009E1F2E"/>
    <w:rsid w:val="009E287F"/>
    <w:rsid w:val="009E2EBF"/>
    <w:rsid w:val="009E3A30"/>
    <w:rsid w:val="009E3DE3"/>
    <w:rsid w:val="009E55D0"/>
    <w:rsid w:val="009E67F5"/>
    <w:rsid w:val="009E682A"/>
    <w:rsid w:val="009E71EA"/>
    <w:rsid w:val="009E7269"/>
    <w:rsid w:val="009E7633"/>
    <w:rsid w:val="009E79F9"/>
    <w:rsid w:val="009F1038"/>
    <w:rsid w:val="009F1861"/>
    <w:rsid w:val="009F1953"/>
    <w:rsid w:val="009F20C5"/>
    <w:rsid w:val="009F2384"/>
    <w:rsid w:val="009F25E6"/>
    <w:rsid w:val="009F2693"/>
    <w:rsid w:val="009F2DA0"/>
    <w:rsid w:val="009F3132"/>
    <w:rsid w:val="009F49E0"/>
    <w:rsid w:val="009F4E4C"/>
    <w:rsid w:val="009F5847"/>
    <w:rsid w:val="009F6D8C"/>
    <w:rsid w:val="009F7140"/>
    <w:rsid w:val="009F74D1"/>
    <w:rsid w:val="009F7A82"/>
    <w:rsid w:val="00A002BA"/>
    <w:rsid w:val="00A020A6"/>
    <w:rsid w:val="00A02682"/>
    <w:rsid w:val="00A02B56"/>
    <w:rsid w:val="00A02F55"/>
    <w:rsid w:val="00A032C4"/>
    <w:rsid w:val="00A03B41"/>
    <w:rsid w:val="00A063A8"/>
    <w:rsid w:val="00A066B0"/>
    <w:rsid w:val="00A068BF"/>
    <w:rsid w:val="00A07221"/>
    <w:rsid w:val="00A10263"/>
    <w:rsid w:val="00A105EC"/>
    <w:rsid w:val="00A108CB"/>
    <w:rsid w:val="00A115B7"/>
    <w:rsid w:val="00A120F0"/>
    <w:rsid w:val="00A12114"/>
    <w:rsid w:val="00A13621"/>
    <w:rsid w:val="00A13C29"/>
    <w:rsid w:val="00A14368"/>
    <w:rsid w:val="00A15071"/>
    <w:rsid w:val="00A1556B"/>
    <w:rsid w:val="00A165C7"/>
    <w:rsid w:val="00A1750F"/>
    <w:rsid w:val="00A177D7"/>
    <w:rsid w:val="00A1784B"/>
    <w:rsid w:val="00A17E93"/>
    <w:rsid w:val="00A2038F"/>
    <w:rsid w:val="00A2105C"/>
    <w:rsid w:val="00A211F1"/>
    <w:rsid w:val="00A213E9"/>
    <w:rsid w:val="00A219B1"/>
    <w:rsid w:val="00A21EE6"/>
    <w:rsid w:val="00A241EE"/>
    <w:rsid w:val="00A24B55"/>
    <w:rsid w:val="00A2573F"/>
    <w:rsid w:val="00A25A82"/>
    <w:rsid w:val="00A25FD1"/>
    <w:rsid w:val="00A260DD"/>
    <w:rsid w:val="00A2724D"/>
    <w:rsid w:val="00A274C6"/>
    <w:rsid w:val="00A27B70"/>
    <w:rsid w:val="00A27BD0"/>
    <w:rsid w:val="00A27EE6"/>
    <w:rsid w:val="00A30773"/>
    <w:rsid w:val="00A30B43"/>
    <w:rsid w:val="00A30F3B"/>
    <w:rsid w:val="00A31B3A"/>
    <w:rsid w:val="00A31EC7"/>
    <w:rsid w:val="00A32725"/>
    <w:rsid w:val="00A32C5C"/>
    <w:rsid w:val="00A33265"/>
    <w:rsid w:val="00A33606"/>
    <w:rsid w:val="00A3449A"/>
    <w:rsid w:val="00A349CC"/>
    <w:rsid w:val="00A34B83"/>
    <w:rsid w:val="00A34E03"/>
    <w:rsid w:val="00A35625"/>
    <w:rsid w:val="00A356B1"/>
    <w:rsid w:val="00A356B8"/>
    <w:rsid w:val="00A35AC8"/>
    <w:rsid w:val="00A35F28"/>
    <w:rsid w:val="00A36559"/>
    <w:rsid w:val="00A36825"/>
    <w:rsid w:val="00A372B0"/>
    <w:rsid w:val="00A37418"/>
    <w:rsid w:val="00A407C6"/>
    <w:rsid w:val="00A40B16"/>
    <w:rsid w:val="00A411BB"/>
    <w:rsid w:val="00A420AD"/>
    <w:rsid w:val="00A4214B"/>
    <w:rsid w:val="00A44795"/>
    <w:rsid w:val="00A4480A"/>
    <w:rsid w:val="00A44CE9"/>
    <w:rsid w:val="00A4677E"/>
    <w:rsid w:val="00A46B2D"/>
    <w:rsid w:val="00A46C3D"/>
    <w:rsid w:val="00A478A9"/>
    <w:rsid w:val="00A47B5F"/>
    <w:rsid w:val="00A47DAD"/>
    <w:rsid w:val="00A50097"/>
    <w:rsid w:val="00A51211"/>
    <w:rsid w:val="00A51320"/>
    <w:rsid w:val="00A5181C"/>
    <w:rsid w:val="00A518A6"/>
    <w:rsid w:val="00A51EB8"/>
    <w:rsid w:val="00A5210F"/>
    <w:rsid w:val="00A52622"/>
    <w:rsid w:val="00A53272"/>
    <w:rsid w:val="00A5374F"/>
    <w:rsid w:val="00A54633"/>
    <w:rsid w:val="00A548F7"/>
    <w:rsid w:val="00A54B3F"/>
    <w:rsid w:val="00A54BE5"/>
    <w:rsid w:val="00A554D0"/>
    <w:rsid w:val="00A56389"/>
    <w:rsid w:val="00A571F8"/>
    <w:rsid w:val="00A574D4"/>
    <w:rsid w:val="00A57F3E"/>
    <w:rsid w:val="00A608B8"/>
    <w:rsid w:val="00A60D54"/>
    <w:rsid w:val="00A614C7"/>
    <w:rsid w:val="00A6188D"/>
    <w:rsid w:val="00A621F3"/>
    <w:rsid w:val="00A62702"/>
    <w:rsid w:val="00A630C4"/>
    <w:rsid w:val="00A631F9"/>
    <w:rsid w:val="00A63C1E"/>
    <w:rsid w:val="00A63F26"/>
    <w:rsid w:val="00A6420C"/>
    <w:rsid w:val="00A64310"/>
    <w:rsid w:val="00A6581F"/>
    <w:rsid w:val="00A66443"/>
    <w:rsid w:val="00A66546"/>
    <w:rsid w:val="00A67359"/>
    <w:rsid w:val="00A7061E"/>
    <w:rsid w:val="00A715D4"/>
    <w:rsid w:val="00A72536"/>
    <w:rsid w:val="00A72DC1"/>
    <w:rsid w:val="00A732F0"/>
    <w:rsid w:val="00A74E11"/>
    <w:rsid w:val="00A74E74"/>
    <w:rsid w:val="00A76175"/>
    <w:rsid w:val="00A77403"/>
    <w:rsid w:val="00A7749D"/>
    <w:rsid w:val="00A80884"/>
    <w:rsid w:val="00A81584"/>
    <w:rsid w:val="00A81FB2"/>
    <w:rsid w:val="00A82D2F"/>
    <w:rsid w:val="00A82EAF"/>
    <w:rsid w:val="00A836B8"/>
    <w:rsid w:val="00A83849"/>
    <w:rsid w:val="00A840A8"/>
    <w:rsid w:val="00A844CC"/>
    <w:rsid w:val="00A8480B"/>
    <w:rsid w:val="00A85441"/>
    <w:rsid w:val="00A85910"/>
    <w:rsid w:val="00A85AFE"/>
    <w:rsid w:val="00A870D2"/>
    <w:rsid w:val="00A8712F"/>
    <w:rsid w:val="00A87B8A"/>
    <w:rsid w:val="00A87FBB"/>
    <w:rsid w:val="00A900D0"/>
    <w:rsid w:val="00A90223"/>
    <w:rsid w:val="00A90551"/>
    <w:rsid w:val="00A907E4"/>
    <w:rsid w:val="00A90864"/>
    <w:rsid w:val="00A908E1"/>
    <w:rsid w:val="00A910F2"/>
    <w:rsid w:val="00A92157"/>
    <w:rsid w:val="00A92BD7"/>
    <w:rsid w:val="00A92C8A"/>
    <w:rsid w:val="00A94532"/>
    <w:rsid w:val="00A94577"/>
    <w:rsid w:val="00A9676A"/>
    <w:rsid w:val="00A96AC9"/>
    <w:rsid w:val="00A96B04"/>
    <w:rsid w:val="00A96CF4"/>
    <w:rsid w:val="00AA0299"/>
    <w:rsid w:val="00AA0B77"/>
    <w:rsid w:val="00AA1468"/>
    <w:rsid w:val="00AA168C"/>
    <w:rsid w:val="00AA1855"/>
    <w:rsid w:val="00AA202D"/>
    <w:rsid w:val="00AA25A7"/>
    <w:rsid w:val="00AA26DB"/>
    <w:rsid w:val="00AA2FF6"/>
    <w:rsid w:val="00AA3824"/>
    <w:rsid w:val="00AA4E32"/>
    <w:rsid w:val="00AA5B2F"/>
    <w:rsid w:val="00AA6783"/>
    <w:rsid w:val="00AA7206"/>
    <w:rsid w:val="00AB0385"/>
    <w:rsid w:val="00AB064E"/>
    <w:rsid w:val="00AB1C22"/>
    <w:rsid w:val="00AB23A4"/>
    <w:rsid w:val="00AB268A"/>
    <w:rsid w:val="00AB2F74"/>
    <w:rsid w:val="00AB4352"/>
    <w:rsid w:val="00AB4719"/>
    <w:rsid w:val="00AB4A02"/>
    <w:rsid w:val="00AB519E"/>
    <w:rsid w:val="00AB5486"/>
    <w:rsid w:val="00AB5C96"/>
    <w:rsid w:val="00AB5DF7"/>
    <w:rsid w:val="00AB73D9"/>
    <w:rsid w:val="00AB7851"/>
    <w:rsid w:val="00AB7F3E"/>
    <w:rsid w:val="00AC0074"/>
    <w:rsid w:val="00AC09F7"/>
    <w:rsid w:val="00AC0FB0"/>
    <w:rsid w:val="00AC1734"/>
    <w:rsid w:val="00AC2060"/>
    <w:rsid w:val="00AC2134"/>
    <w:rsid w:val="00AC219F"/>
    <w:rsid w:val="00AC26D5"/>
    <w:rsid w:val="00AC26E4"/>
    <w:rsid w:val="00AC3FF5"/>
    <w:rsid w:val="00AC40CF"/>
    <w:rsid w:val="00AC454F"/>
    <w:rsid w:val="00AC541F"/>
    <w:rsid w:val="00AC5656"/>
    <w:rsid w:val="00AC5833"/>
    <w:rsid w:val="00AC630B"/>
    <w:rsid w:val="00AC63C6"/>
    <w:rsid w:val="00AC7776"/>
    <w:rsid w:val="00AC7B42"/>
    <w:rsid w:val="00AD078B"/>
    <w:rsid w:val="00AD0AEF"/>
    <w:rsid w:val="00AD0D0D"/>
    <w:rsid w:val="00AD163B"/>
    <w:rsid w:val="00AD177E"/>
    <w:rsid w:val="00AD22FF"/>
    <w:rsid w:val="00AD2921"/>
    <w:rsid w:val="00AD37DC"/>
    <w:rsid w:val="00AD5D5C"/>
    <w:rsid w:val="00AD718A"/>
    <w:rsid w:val="00AD7C4E"/>
    <w:rsid w:val="00AE04D5"/>
    <w:rsid w:val="00AE069E"/>
    <w:rsid w:val="00AE070D"/>
    <w:rsid w:val="00AE0727"/>
    <w:rsid w:val="00AE227B"/>
    <w:rsid w:val="00AE27B5"/>
    <w:rsid w:val="00AE2BC7"/>
    <w:rsid w:val="00AE2DA6"/>
    <w:rsid w:val="00AE31DB"/>
    <w:rsid w:val="00AE3B24"/>
    <w:rsid w:val="00AE4CB1"/>
    <w:rsid w:val="00AE4E5D"/>
    <w:rsid w:val="00AE51BD"/>
    <w:rsid w:val="00AE5340"/>
    <w:rsid w:val="00AE5FC5"/>
    <w:rsid w:val="00AE63D0"/>
    <w:rsid w:val="00AE7C17"/>
    <w:rsid w:val="00AF07F1"/>
    <w:rsid w:val="00AF091B"/>
    <w:rsid w:val="00AF0FD4"/>
    <w:rsid w:val="00AF1411"/>
    <w:rsid w:val="00AF1445"/>
    <w:rsid w:val="00AF1469"/>
    <w:rsid w:val="00AF1658"/>
    <w:rsid w:val="00AF21CC"/>
    <w:rsid w:val="00AF24EC"/>
    <w:rsid w:val="00AF2D36"/>
    <w:rsid w:val="00AF3072"/>
    <w:rsid w:val="00AF3CBA"/>
    <w:rsid w:val="00AF50E9"/>
    <w:rsid w:val="00AF5607"/>
    <w:rsid w:val="00AF5619"/>
    <w:rsid w:val="00AF5664"/>
    <w:rsid w:val="00AF6084"/>
    <w:rsid w:val="00AF63B9"/>
    <w:rsid w:val="00AF65F3"/>
    <w:rsid w:val="00AF7099"/>
    <w:rsid w:val="00AF7503"/>
    <w:rsid w:val="00AF7E32"/>
    <w:rsid w:val="00AF7EEF"/>
    <w:rsid w:val="00B0010A"/>
    <w:rsid w:val="00B007F9"/>
    <w:rsid w:val="00B015FA"/>
    <w:rsid w:val="00B01784"/>
    <w:rsid w:val="00B01906"/>
    <w:rsid w:val="00B01FE7"/>
    <w:rsid w:val="00B02475"/>
    <w:rsid w:val="00B0272A"/>
    <w:rsid w:val="00B028CA"/>
    <w:rsid w:val="00B035A2"/>
    <w:rsid w:val="00B03E78"/>
    <w:rsid w:val="00B043EC"/>
    <w:rsid w:val="00B04AE5"/>
    <w:rsid w:val="00B0541B"/>
    <w:rsid w:val="00B05B08"/>
    <w:rsid w:val="00B06916"/>
    <w:rsid w:val="00B076B4"/>
    <w:rsid w:val="00B079BB"/>
    <w:rsid w:val="00B07C91"/>
    <w:rsid w:val="00B07ED2"/>
    <w:rsid w:val="00B10236"/>
    <w:rsid w:val="00B1063A"/>
    <w:rsid w:val="00B10FF2"/>
    <w:rsid w:val="00B112AB"/>
    <w:rsid w:val="00B1131B"/>
    <w:rsid w:val="00B11410"/>
    <w:rsid w:val="00B12799"/>
    <w:rsid w:val="00B129B4"/>
    <w:rsid w:val="00B12C43"/>
    <w:rsid w:val="00B13092"/>
    <w:rsid w:val="00B13224"/>
    <w:rsid w:val="00B136F9"/>
    <w:rsid w:val="00B13BDB"/>
    <w:rsid w:val="00B14C1B"/>
    <w:rsid w:val="00B14E5B"/>
    <w:rsid w:val="00B1532F"/>
    <w:rsid w:val="00B1580C"/>
    <w:rsid w:val="00B170CD"/>
    <w:rsid w:val="00B17E39"/>
    <w:rsid w:val="00B21E63"/>
    <w:rsid w:val="00B223F2"/>
    <w:rsid w:val="00B22647"/>
    <w:rsid w:val="00B233FF"/>
    <w:rsid w:val="00B23868"/>
    <w:rsid w:val="00B23BC8"/>
    <w:rsid w:val="00B2428C"/>
    <w:rsid w:val="00B247E6"/>
    <w:rsid w:val="00B24C2D"/>
    <w:rsid w:val="00B25149"/>
    <w:rsid w:val="00B25953"/>
    <w:rsid w:val="00B25B3E"/>
    <w:rsid w:val="00B25B5D"/>
    <w:rsid w:val="00B26430"/>
    <w:rsid w:val="00B26920"/>
    <w:rsid w:val="00B269F3"/>
    <w:rsid w:val="00B26D2C"/>
    <w:rsid w:val="00B26F5D"/>
    <w:rsid w:val="00B272A1"/>
    <w:rsid w:val="00B2746D"/>
    <w:rsid w:val="00B279A8"/>
    <w:rsid w:val="00B3076A"/>
    <w:rsid w:val="00B30F79"/>
    <w:rsid w:val="00B312B6"/>
    <w:rsid w:val="00B314F0"/>
    <w:rsid w:val="00B317D4"/>
    <w:rsid w:val="00B31EA8"/>
    <w:rsid w:val="00B321C0"/>
    <w:rsid w:val="00B33754"/>
    <w:rsid w:val="00B3405B"/>
    <w:rsid w:val="00B341FC"/>
    <w:rsid w:val="00B34FAA"/>
    <w:rsid w:val="00B36303"/>
    <w:rsid w:val="00B36543"/>
    <w:rsid w:val="00B36E3A"/>
    <w:rsid w:val="00B3758C"/>
    <w:rsid w:val="00B409A1"/>
    <w:rsid w:val="00B4123A"/>
    <w:rsid w:val="00B414CF"/>
    <w:rsid w:val="00B425B1"/>
    <w:rsid w:val="00B42A11"/>
    <w:rsid w:val="00B42F32"/>
    <w:rsid w:val="00B43CB0"/>
    <w:rsid w:val="00B43EC7"/>
    <w:rsid w:val="00B440D3"/>
    <w:rsid w:val="00B4467C"/>
    <w:rsid w:val="00B4498A"/>
    <w:rsid w:val="00B44F2F"/>
    <w:rsid w:val="00B4512C"/>
    <w:rsid w:val="00B454BC"/>
    <w:rsid w:val="00B458DE"/>
    <w:rsid w:val="00B45F42"/>
    <w:rsid w:val="00B46D15"/>
    <w:rsid w:val="00B46E4E"/>
    <w:rsid w:val="00B46EA1"/>
    <w:rsid w:val="00B47D65"/>
    <w:rsid w:val="00B50CAD"/>
    <w:rsid w:val="00B51055"/>
    <w:rsid w:val="00B51784"/>
    <w:rsid w:val="00B5273E"/>
    <w:rsid w:val="00B52AAA"/>
    <w:rsid w:val="00B5329F"/>
    <w:rsid w:val="00B536FA"/>
    <w:rsid w:val="00B53E3D"/>
    <w:rsid w:val="00B541AF"/>
    <w:rsid w:val="00B54B9C"/>
    <w:rsid w:val="00B54FDD"/>
    <w:rsid w:val="00B55162"/>
    <w:rsid w:val="00B55180"/>
    <w:rsid w:val="00B5551E"/>
    <w:rsid w:val="00B56208"/>
    <w:rsid w:val="00B5683B"/>
    <w:rsid w:val="00B56F4A"/>
    <w:rsid w:val="00B578AD"/>
    <w:rsid w:val="00B600AC"/>
    <w:rsid w:val="00B60135"/>
    <w:rsid w:val="00B60175"/>
    <w:rsid w:val="00B60397"/>
    <w:rsid w:val="00B60B1A"/>
    <w:rsid w:val="00B61294"/>
    <w:rsid w:val="00B6165E"/>
    <w:rsid w:val="00B61A69"/>
    <w:rsid w:val="00B6201A"/>
    <w:rsid w:val="00B62386"/>
    <w:rsid w:val="00B625FD"/>
    <w:rsid w:val="00B6292B"/>
    <w:rsid w:val="00B62D94"/>
    <w:rsid w:val="00B62F55"/>
    <w:rsid w:val="00B62FA3"/>
    <w:rsid w:val="00B6342F"/>
    <w:rsid w:val="00B64E9F"/>
    <w:rsid w:val="00B651B1"/>
    <w:rsid w:val="00B662E5"/>
    <w:rsid w:val="00B66907"/>
    <w:rsid w:val="00B66C74"/>
    <w:rsid w:val="00B672D0"/>
    <w:rsid w:val="00B673A2"/>
    <w:rsid w:val="00B6793E"/>
    <w:rsid w:val="00B67BF8"/>
    <w:rsid w:val="00B70290"/>
    <w:rsid w:val="00B7095D"/>
    <w:rsid w:val="00B7158C"/>
    <w:rsid w:val="00B718CF"/>
    <w:rsid w:val="00B71BA8"/>
    <w:rsid w:val="00B724B8"/>
    <w:rsid w:val="00B7289E"/>
    <w:rsid w:val="00B7356E"/>
    <w:rsid w:val="00B73596"/>
    <w:rsid w:val="00B73729"/>
    <w:rsid w:val="00B74C54"/>
    <w:rsid w:val="00B75292"/>
    <w:rsid w:val="00B75404"/>
    <w:rsid w:val="00B75A44"/>
    <w:rsid w:val="00B76716"/>
    <w:rsid w:val="00B77114"/>
    <w:rsid w:val="00B77990"/>
    <w:rsid w:val="00B77F08"/>
    <w:rsid w:val="00B8012E"/>
    <w:rsid w:val="00B81066"/>
    <w:rsid w:val="00B81137"/>
    <w:rsid w:val="00B8188B"/>
    <w:rsid w:val="00B82302"/>
    <w:rsid w:val="00B825F4"/>
    <w:rsid w:val="00B826C9"/>
    <w:rsid w:val="00B828BD"/>
    <w:rsid w:val="00B83C62"/>
    <w:rsid w:val="00B8417E"/>
    <w:rsid w:val="00B842E8"/>
    <w:rsid w:val="00B845C4"/>
    <w:rsid w:val="00B8478C"/>
    <w:rsid w:val="00B84912"/>
    <w:rsid w:val="00B86400"/>
    <w:rsid w:val="00B8679E"/>
    <w:rsid w:val="00B868F2"/>
    <w:rsid w:val="00B86E5F"/>
    <w:rsid w:val="00B86F27"/>
    <w:rsid w:val="00B87BB6"/>
    <w:rsid w:val="00B87D16"/>
    <w:rsid w:val="00B904C4"/>
    <w:rsid w:val="00B907A3"/>
    <w:rsid w:val="00B91A6D"/>
    <w:rsid w:val="00B924A6"/>
    <w:rsid w:val="00B926B1"/>
    <w:rsid w:val="00B927A3"/>
    <w:rsid w:val="00B932FE"/>
    <w:rsid w:val="00B938FA"/>
    <w:rsid w:val="00B93B57"/>
    <w:rsid w:val="00B943AD"/>
    <w:rsid w:val="00B94D8E"/>
    <w:rsid w:val="00B95DE7"/>
    <w:rsid w:val="00B95E80"/>
    <w:rsid w:val="00B963B7"/>
    <w:rsid w:val="00B963DB"/>
    <w:rsid w:val="00B96C32"/>
    <w:rsid w:val="00B96C4F"/>
    <w:rsid w:val="00B97093"/>
    <w:rsid w:val="00B973DA"/>
    <w:rsid w:val="00B977CF"/>
    <w:rsid w:val="00B97B49"/>
    <w:rsid w:val="00B97BB2"/>
    <w:rsid w:val="00BA0846"/>
    <w:rsid w:val="00BA0887"/>
    <w:rsid w:val="00BA1C70"/>
    <w:rsid w:val="00BA2E41"/>
    <w:rsid w:val="00BA2F73"/>
    <w:rsid w:val="00BA412C"/>
    <w:rsid w:val="00BA45D3"/>
    <w:rsid w:val="00BA5D31"/>
    <w:rsid w:val="00BA5D44"/>
    <w:rsid w:val="00BA5F79"/>
    <w:rsid w:val="00BA654B"/>
    <w:rsid w:val="00BA6F25"/>
    <w:rsid w:val="00BA7151"/>
    <w:rsid w:val="00BA7587"/>
    <w:rsid w:val="00BA7D49"/>
    <w:rsid w:val="00BA7E01"/>
    <w:rsid w:val="00BB01FB"/>
    <w:rsid w:val="00BB03B5"/>
    <w:rsid w:val="00BB118F"/>
    <w:rsid w:val="00BB2654"/>
    <w:rsid w:val="00BB2790"/>
    <w:rsid w:val="00BB3514"/>
    <w:rsid w:val="00BB3DC5"/>
    <w:rsid w:val="00BB4171"/>
    <w:rsid w:val="00BB447F"/>
    <w:rsid w:val="00BB4657"/>
    <w:rsid w:val="00BB4721"/>
    <w:rsid w:val="00BB5B66"/>
    <w:rsid w:val="00BB609C"/>
    <w:rsid w:val="00BB64CC"/>
    <w:rsid w:val="00BB69A0"/>
    <w:rsid w:val="00BB6BA2"/>
    <w:rsid w:val="00BB6E41"/>
    <w:rsid w:val="00BC07CE"/>
    <w:rsid w:val="00BC13C0"/>
    <w:rsid w:val="00BC14F4"/>
    <w:rsid w:val="00BC1914"/>
    <w:rsid w:val="00BC1D77"/>
    <w:rsid w:val="00BC1E3D"/>
    <w:rsid w:val="00BC25FE"/>
    <w:rsid w:val="00BC2B96"/>
    <w:rsid w:val="00BC3436"/>
    <w:rsid w:val="00BC3C67"/>
    <w:rsid w:val="00BC4465"/>
    <w:rsid w:val="00BC44B1"/>
    <w:rsid w:val="00BC470F"/>
    <w:rsid w:val="00BC4785"/>
    <w:rsid w:val="00BC4A20"/>
    <w:rsid w:val="00BC59D4"/>
    <w:rsid w:val="00BC5B4B"/>
    <w:rsid w:val="00BC6224"/>
    <w:rsid w:val="00BC7E1F"/>
    <w:rsid w:val="00BC7EEA"/>
    <w:rsid w:val="00BD1BC8"/>
    <w:rsid w:val="00BD1BF5"/>
    <w:rsid w:val="00BD1CCA"/>
    <w:rsid w:val="00BD2746"/>
    <w:rsid w:val="00BD28C7"/>
    <w:rsid w:val="00BD2D58"/>
    <w:rsid w:val="00BD3114"/>
    <w:rsid w:val="00BD39A3"/>
    <w:rsid w:val="00BD3CD9"/>
    <w:rsid w:val="00BD412A"/>
    <w:rsid w:val="00BD4563"/>
    <w:rsid w:val="00BD4B01"/>
    <w:rsid w:val="00BD5EAC"/>
    <w:rsid w:val="00BD67C7"/>
    <w:rsid w:val="00BD6A6F"/>
    <w:rsid w:val="00BD6B5C"/>
    <w:rsid w:val="00BD7595"/>
    <w:rsid w:val="00BD77C4"/>
    <w:rsid w:val="00BE1006"/>
    <w:rsid w:val="00BE243E"/>
    <w:rsid w:val="00BE2855"/>
    <w:rsid w:val="00BE3316"/>
    <w:rsid w:val="00BE33ED"/>
    <w:rsid w:val="00BE3FEB"/>
    <w:rsid w:val="00BE408F"/>
    <w:rsid w:val="00BE420F"/>
    <w:rsid w:val="00BE56C2"/>
    <w:rsid w:val="00BE5919"/>
    <w:rsid w:val="00BE6480"/>
    <w:rsid w:val="00BE6A12"/>
    <w:rsid w:val="00BE6B43"/>
    <w:rsid w:val="00BE6FE1"/>
    <w:rsid w:val="00BE7228"/>
    <w:rsid w:val="00BE7491"/>
    <w:rsid w:val="00BF01BA"/>
    <w:rsid w:val="00BF05F7"/>
    <w:rsid w:val="00BF0828"/>
    <w:rsid w:val="00BF0E95"/>
    <w:rsid w:val="00BF1467"/>
    <w:rsid w:val="00BF1699"/>
    <w:rsid w:val="00BF1AEA"/>
    <w:rsid w:val="00BF2523"/>
    <w:rsid w:val="00BF268A"/>
    <w:rsid w:val="00BF2EAB"/>
    <w:rsid w:val="00BF3B8C"/>
    <w:rsid w:val="00BF4313"/>
    <w:rsid w:val="00BF43A5"/>
    <w:rsid w:val="00BF440B"/>
    <w:rsid w:val="00BF4784"/>
    <w:rsid w:val="00BF52EE"/>
    <w:rsid w:val="00BF548D"/>
    <w:rsid w:val="00BF6115"/>
    <w:rsid w:val="00BF7511"/>
    <w:rsid w:val="00BF7633"/>
    <w:rsid w:val="00BF76B2"/>
    <w:rsid w:val="00BF7A73"/>
    <w:rsid w:val="00C01044"/>
    <w:rsid w:val="00C01075"/>
    <w:rsid w:val="00C01964"/>
    <w:rsid w:val="00C01A92"/>
    <w:rsid w:val="00C0274E"/>
    <w:rsid w:val="00C030F2"/>
    <w:rsid w:val="00C05104"/>
    <w:rsid w:val="00C0548E"/>
    <w:rsid w:val="00C05701"/>
    <w:rsid w:val="00C05ACC"/>
    <w:rsid w:val="00C06667"/>
    <w:rsid w:val="00C06DAB"/>
    <w:rsid w:val="00C103DE"/>
    <w:rsid w:val="00C10505"/>
    <w:rsid w:val="00C108D7"/>
    <w:rsid w:val="00C109C8"/>
    <w:rsid w:val="00C10C0A"/>
    <w:rsid w:val="00C11300"/>
    <w:rsid w:val="00C11406"/>
    <w:rsid w:val="00C11673"/>
    <w:rsid w:val="00C11B40"/>
    <w:rsid w:val="00C12565"/>
    <w:rsid w:val="00C12882"/>
    <w:rsid w:val="00C13429"/>
    <w:rsid w:val="00C13C22"/>
    <w:rsid w:val="00C14148"/>
    <w:rsid w:val="00C14410"/>
    <w:rsid w:val="00C148AB"/>
    <w:rsid w:val="00C152D6"/>
    <w:rsid w:val="00C1597A"/>
    <w:rsid w:val="00C159F4"/>
    <w:rsid w:val="00C164CA"/>
    <w:rsid w:val="00C1701E"/>
    <w:rsid w:val="00C17A66"/>
    <w:rsid w:val="00C20231"/>
    <w:rsid w:val="00C20FF3"/>
    <w:rsid w:val="00C21EB3"/>
    <w:rsid w:val="00C22231"/>
    <w:rsid w:val="00C2238D"/>
    <w:rsid w:val="00C22993"/>
    <w:rsid w:val="00C2339C"/>
    <w:rsid w:val="00C234D0"/>
    <w:rsid w:val="00C24260"/>
    <w:rsid w:val="00C244E8"/>
    <w:rsid w:val="00C2573B"/>
    <w:rsid w:val="00C260A5"/>
    <w:rsid w:val="00C26AE0"/>
    <w:rsid w:val="00C26CC5"/>
    <w:rsid w:val="00C26DDE"/>
    <w:rsid w:val="00C274AA"/>
    <w:rsid w:val="00C27D9C"/>
    <w:rsid w:val="00C27EA4"/>
    <w:rsid w:val="00C27EC6"/>
    <w:rsid w:val="00C3052A"/>
    <w:rsid w:val="00C316FF"/>
    <w:rsid w:val="00C317F1"/>
    <w:rsid w:val="00C31EC3"/>
    <w:rsid w:val="00C3204D"/>
    <w:rsid w:val="00C33B3B"/>
    <w:rsid w:val="00C33D0C"/>
    <w:rsid w:val="00C34478"/>
    <w:rsid w:val="00C35258"/>
    <w:rsid w:val="00C357BA"/>
    <w:rsid w:val="00C3684D"/>
    <w:rsid w:val="00C36929"/>
    <w:rsid w:val="00C36F97"/>
    <w:rsid w:val="00C37355"/>
    <w:rsid w:val="00C37410"/>
    <w:rsid w:val="00C37DC3"/>
    <w:rsid w:val="00C40579"/>
    <w:rsid w:val="00C409F3"/>
    <w:rsid w:val="00C40E67"/>
    <w:rsid w:val="00C413C0"/>
    <w:rsid w:val="00C42493"/>
    <w:rsid w:val="00C424E3"/>
    <w:rsid w:val="00C42A3D"/>
    <w:rsid w:val="00C42DFB"/>
    <w:rsid w:val="00C436AF"/>
    <w:rsid w:val="00C437CF"/>
    <w:rsid w:val="00C43ABD"/>
    <w:rsid w:val="00C440D6"/>
    <w:rsid w:val="00C44831"/>
    <w:rsid w:val="00C46C92"/>
    <w:rsid w:val="00C500F9"/>
    <w:rsid w:val="00C5013A"/>
    <w:rsid w:val="00C5031A"/>
    <w:rsid w:val="00C51175"/>
    <w:rsid w:val="00C51569"/>
    <w:rsid w:val="00C51D86"/>
    <w:rsid w:val="00C51EE2"/>
    <w:rsid w:val="00C52D1E"/>
    <w:rsid w:val="00C53123"/>
    <w:rsid w:val="00C5340F"/>
    <w:rsid w:val="00C54502"/>
    <w:rsid w:val="00C5559E"/>
    <w:rsid w:val="00C56456"/>
    <w:rsid w:val="00C5696D"/>
    <w:rsid w:val="00C570FB"/>
    <w:rsid w:val="00C574DC"/>
    <w:rsid w:val="00C57B14"/>
    <w:rsid w:val="00C60147"/>
    <w:rsid w:val="00C60458"/>
    <w:rsid w:val="00C60C17"/>
    <w:rsid w:val="00C60D30"/>
    <w:rsid w:val="00C60F1E"/>
    <w:rsid w:val="00C61AF0"/>
    <w:rsid w:val="00C61E51"/>
    <w:rsid w:val="00C623A0"/>
    <w:rsid w:val="00C62690"/>
    <w:rsid w:val="00C62E7D"/>
    <w:rsid w:val="00C63115"/>
    <w:rsid w:val="00C63FE0"/>
    <w:rsid w:val="00C64C54"/>
    <w:rsid w:val="00C6508A"/>
    <w:rsid w:val="00C65E39"/>
    <w:rsid w:val="00C66447"/>
    <w:rsid w:val="00C666A9"/>
    <w:rsid w:val="00C66B81"/>
    <w:rsid w:val="00C671AC"/>
    <w:rsid w:val="00C67422"/>
    <w:rsid w:val="00C675CF"/>
    <w:rsid w:val="00C67A53"/>
    <w:rsid w:val="00C706C2"/>
    <w:rsid w:val="00C70CF9"/>
    <w:rsid w:val="00C70E4C"/>
    <w:rsid w:val="00C70EBD"/>
    <w:rsid w:val="00C71308"/>
    <w:rsid w:val="00C72256"/>
    <w:rsid w:val="00C72D9E"/>
    <w:rsid w:val="00C7309D"/>
    <w:rsid w:val="00C73842"/>
    <w:rsid w:val="00C75B31"/>
    <w:rsid w:val="00C75D95"/>
    <w:rsid w:val="00C76158"/>
    <w:rsid w:val="00C77D03"/>
    <w:rsid w:val="00C8047A"/>
    <w:rsid w:val="00C816C4"/>
    <w:rsid w:val="00C81A0D"/>
    <w:rsid w:val="00C81EC4"/>
    <w:rsid w:val="00C82D2A"/>
    <w:rsid w:val="00C83D98"/>
    <w:rsid w:val="00C8408A"/>
    <w:rsid w:val="00C84183"/>
    <w:rsid w:val="00C8426D"/>
    <w:rsid w:val="00C86875"/>
    <w:rsid w:val="00C86B98"/>
    <w:rsid w:val="00C87AD7"/>
    <w:rsid w:val="00C87DCC"/>
    <w:rsid w:val="00C87F66"/>
    <w:rsid w:val="00C9052F"/>
    <w:rsid w:val="00C918EF"/>
    <w:rsid w:val="00C91A8C"/>
    <w:rsid w:val="00C922F4"/>
    <w:rsid w:val="00C9359F"/>
    <w:rsid w:val="00C94A19"/>
    <w:rsid w:val="00C94C2F"/>
    <w:rsid w:val="00C954D4"/>
    <w:rsid w:val="00CA01C6"/>
    <w:rsid w:val="00CA0484"/>
    <w:rsid w:val="00CA052C"/>
    <w:rsid w:val="00CA05D1"/>
    <w:rsid w:val="00CA0B7A"/>
    <w:rsid w:val="00CA1490"/>
    <w:rsid w:val="00CA2325"/>
    <w:rsid w:val="00CA2837"/>
    <w:rsid w:val="00CA3215"/>
    <w:rsid w:val="00CA3235"/>
    <w:rsid w:val="00CA33FF"/>
    <w:rsid w:val="00CA3F2B"/>
    <w:rsid w:val="00CA49E2"/>
    <w:rsid w:val="00CA4C3D"/>
    <w:rsid w:val="00CA4FD0"/>
    <w:rsid w:val="00CA50E5"/>
    <w:rsid w:val="00CA5DAC"/>
    <w:rsid w:val="00CA694F"/>
    <w:rsid w:val="00CA6D8B"/>
    <w:rsid w:val="00CA7C36"/>
    <w:rsid w:val="00CB0460"/>
    <w:rsid w:val="00CB0E57"/>
    <w:rsid w:val="00CB24CC"/>
    <w:rsid w:val="00CB2DDF"/>
    <w:rsid w:val="00CB3888"/>
    <w:rsid w:val="00CB3BB5"/>
    <w:rsid w:val="00CB3EDE"/>
    <w:rsid w:val="00CB4449"/>
    <w:rsid w:val="00CB4867"/>
    <w:rsid w:val="00CB4BD4"/>
    <w:rsid w:val="00CB5080"/>
    <w:rsid w:val="00CB55F8"/>
    <w:rsid w:val="00CB5679"/>
    <w:rsid w:val="00CB59BB"/>
    <w:rsid w:val="00CB59BC"/>
    <w:rsid w:val="00CB5F81"/>
    <w:rsid w:val="00CB65B2"/>
    <w:rsid w:val="00CB6B00"/>
    <w:rsid w:val="00CB6BB4"/>
    <w:rsid w:val="00CB72B2"/>
    <w:rsid w:val="00CC0269"/>
    <w:rsid w:val="00CC20E3"/>
    <w:rsid w:val="00CC2AB7"/>
    <w:rsid w:val="00CC2B9C"/>
    <w:rsid w:val="00CC2E3C"/>
    <w:rsid w:val="00CC2E89"/>
    <w:rsid w:val="00CC33BB"/>
    <w:rsid w:val="00CC4357"/>
    <w:rsid w:val="00CC4784"/>
    <w:rsid w:val="00CC54A8"/>
    <w:rsid w:val="00CC5DE5"/>
    <w:rsid w:val="00CC60F9"/>
    <w:rsid w:val="00CC6C5E"/>
    <w:rsid w:val="00CC7136"/>
    <w:rsid w:val="00CD2193"/>
    <w:rsid w:val="00CD270E"/>
    <w:rsid w:val="00CD2C2B"/>
    <w:rsid w:val="00CD2FF0"/>
    <w:rsid w:val="00CD5FF5"/>
    <w:rsid w:val="00CD664D"/>
    <w:rsid w:val="00CD6BBE"/>
    <w:rsid w:val="00CD748B"/>
    <w:rsid w:val="00CD786A"/>
    <w:rsid w:val="00CD792A"/>
    <w:rsid w:val="00CE0AC6"/>
    <w:rsid w:val="00CE167D"/>
    <w:rsid w:val="00CE18E6"/>
    <w:rsid w:val="00CE1F7F"/>
    <w:rsid w:val="00CE258D"/>
    <w:rsid w:val="00CE36A2"/>
    <w:rsid w:val="00CE38C1"/>
    <w:rsid w:val="00CE40A6"/>
    <w:rsid w:val="00CE43D6"/>
    <w:rsid w:val="00CE4983"/>
    <w:rsid w:val="00CE515C"/>
    <w:rsid w:val="00CE756E"/>
    <w:rsid w:val="00CE760E"/>
    <w:rsid w:val="00CE7916"/>
    <w:rsid w:val="00CE7991"/>
    <w:rsid w:val="00CF0A6A"/>
    <w:rsid w:val="00CF11C1"/>
    <w:rsid w:val="00CF1465"/>
    <w:rsid w:val="00CF259A"/>
    <w:rsid w:val="00CF2BAC"/>
    <w:rsid w:val="00CF2E73"/>
    <w:rsid w:val="00CF3AE4"/>
    <w:rsid w:val="00CF43E6"/>
    <w:rsid w:val="00CF4B89"/>
    <w:rsid w:val="00CF5E83"/>
    <w:rsid w:val="00CF6747"/>
    <w:rsid w:val="00CF6FE5"/>
    <w:rsid w:val="00CF72C7"/>
    <w:rsid w:val="00CF7642"/>
    <w:rsid w:val="00D00515"/>
    <w:rsid w:val="00D01DD3"/>
    <w:rsid w:val="00D03228"/>
    <w:rsid w:val="00D03B27"/>
    <w:rsid w:val="00D04386"/>
    <w:rsid w:val="00D04C51"/>
    <w:rsid w:val="00D04E26"/>
    <w:rsid w:val="00D04F57"/>
    <w:rsid w:val="00D05E06"/>
    <w:rsid w:val="00D06AEB"/>
    <w:rsid w:val="00D07357"/>
    <w:rsid w:val="00D073DF"/>
    <w:rsid w:val="00D07A29"/>
    <w:rsid w:val="00D07B0F"/>
    <w:rsid w:val="00D109FF"/>
    <w:rsid w:val="00D11159"/>
    <w:rsid w:val="00D125BE"/>
    <w:rsid w:val="00D12FD3"/>
    <w:rsid w:val="00D1385D"/>
    <w:rsid w:val="00D13BA1"/>
    <w:rsid w:val="00D140F6"/>
    <w:rsid w:val="00D146A9"/>
    <w:rsid w:val="00D149F1"/>
    <w:rsid w:val="00D14D32"/>
    <w:rsid w:val="00D14F7F"/>
    <w:rsid w:val="00D15464"/>
    <w:rsid w:val="00D15616"/>
    <w:rsid w:val="00D168BD"/>
    <w:rsid w:val="00D205AA"/>
    <w:rsid w:val="00D21868"/>
    <w:rsid w:val="00D21AB1"/>
    <w:rsid w:val="00D21E57"/>
    <w:rsid w:val="00D22324"/>
    <w:rsid w:val="00D2232D"/>
    <w:rsid w:val="00D22B63"/>
    <w:rsid w:val="00D24058"/>
    <w:rsid w:val="00D246BB"/>
    <w:rsid w:val="00D24961"/>
    <w:rsid w:val="00D24E39"/>
    <w:rsid w:val="00D254E3"/>
    <w:rsid w:val="00D26C64"/>
    <w:rsid w:val="00D274F8"/>
    <w:rsid w:val="00D311B9"/>
    <w:rsid w:val="00D33899"/>
    <w:rsid w:val="00D33F0A"/>
    <w:rsid w:val="00D341A8"/>
    <w:rsid w:val="00D344C1"/>
    <w:rsid w:val="00D34A25"/>
    <w:rsid w:val="00D34C3B"/>
    <w:rsid w:val="00D352CB"/>
    <w:rsid w:val="00D35850"/>
    <w:rsid w:val="00D4017F"/>
    <w:rsid w:val="00D4024F"/>
    <w:rsid w:val="00D405FC"/>
    <w:rsid w:val="00D406D5"/>
    <w:rsid w:val="00D4096B"/>
    <w:rsid w:val="00D4117C"/>
    <w:rsid w:val="00D41606"/>
    <w:rsid w:val="00D43822"/>
    <w:rsid w:val="00D44DB5"/>
    <w:rsid w:val="00D455F7"/>
    <w:rsid w:val="00D459E8"/>
    <w:rsid w:val="00D45DF9"/>
    <w:rsid w:val="00D46112"/>
    <w:rsid w:val="00D4627F"/>
    <w:rsid w:val="00D46DC2"/>
    <w:rsid w:val="00D47076"/>
    <w:rsid w:val="00D502AD"/>
    <w:rsid w:val="00D51726"/>
    <w:rsid w:val="00D5220D"/>
    <w:rsid w:val="00D5293C"/>
    <w:rsid w:val="00D54406"/>
    <w:rsid w:val="00D55255"/>
    <w:rsid w:val="00D55387"/>
    <w:rsid w:val="00D56216"/>
    <w:rsid w:val="00D564A3"/>
    <w:rsid w:val="00D5673E"/>
    <w:rsid w:val="00D569CF"/>
    <w:rsid w:val="00D56BA5"/>
    <w:rsid w:val="00D6107B"/>
    <w:rsid w:val="00D6231E"/>
    <w:rsid w:val="00D6252A"/>
    <w:rsid w:val="00D63496"/>
    <w:rsid w:val="00D6413F"/>
    <w:rsid w:val="00D64536"/>
    <w:rsid w:val="00D649C6"/>
    <w:rsid w:val="00D652DD"/>
    <w:rsid w:val="00D65337"/>
    <w:rsid w:val="00D6552D"/>
    <w:rsid w:val="00D65A48"/>
    <w:rsid w:val="00D65AE3"/>
    <w:rsid w:val="00D66549"/>
    <w:rsid w:val="00D668E2"/>
    <w:rsid w:val="00D66FD9"/>
    <w:rsid w:val="00D703BD"/>
    <w:rsid w:val="00D71FB6"/>
    <w:rsid w:val="00D728A4"/>
    <w:rsid w:val="00D72920"/>
    <w:rsid w:val="00D73359"/>
    <w:rsid w:val="00D74826"/>
    <w:rsid w:val="00D75981"/>
    <w:rsid w:val="00D76B74"/>
    <w:rsid w:val="00D76DC6"/>
    <w:rsid w:val="00D77EB9"/>
    <w:rsid w:val="00D80FFB"/>
    <w:rsid w:val="00D81051"/>
    <w:rsid w:val="00D812D0"/>
    <w:rsid w:val="00D81943"/>
    <w:rsid w:val="00D819CD"/>
    <w:rsid w:val="00D81CB6"/>
    <w:rsid w:val="00D82FB8"/>
    <w:rsid w:val="00D847A9"/>
    <w:rsid w:val="00D848F8"/>
    <w:rsid w:val="00D84F63"/>
    <w:rsid w:val="00D85CFD"/>
    <w:rsid w:val="00D878B9"/>
    <w:rsid w:val="00D902B2"/>
    <w:rsid w:val="00D9063D"/>
    <w:rsid w:val="00D90842"/>
    <w:rsid w:val="00D90EFC"/>
    <w:rsid w:val="00D91434"/>
    <w:rsid w:val="00D92101"/>
    <w:rsid w:val="00D92940"/>
    <w:rsid w:val="00D930ED"/>
    <w:rsid w:val="00D94359"/>
    <w:rsid w:val="00D94D04"/>
    <w:rsid w:val="00D94DE6"/>
    <w:rsid w:val="00D95700"/>
    <w:rsid w:val="00D95AAC"/>
    <w:rsid w:val="00D965D7"/>
    <w:rsid w:val="00D96B7E"/>
    <w:rsid w:val="00D979BD"/>
    <w:rsid w:val="00D97AE0"/>
    <w:rsid w:val="00D97B47"/>
    <w:rsid w:val="00D97BC5"/>
    <w:rsid w:val="00DA01CA"/>
    <w:rsid w:val="00DA0A3D"/>
    <w:rsid w:val="00DA1330"/>
    <w:rsid w:val="00DA1334"/>
    <w:rsid w:val="00DA14C7"/>
    <w:rsid w:val="00DA183E"/>
    <w:rsid w:val="00DA20E7"/>
    <w:rsid w:val="00DA24E2"/>
    <w:rsid w:val="00DA2FC1"/>
    <w:rsid w:val="00DA3354"/>
    <w:rsid w:val="00DA4201"/>
    <w:rsid w:val="00DA4A57"/>
    <w:rsid w:val="00DA4FCF"/>
    <w:rsid w:val="00DA512E"/>
    <w:rsid w:val="00DA5261"/>
    <w:rsid w:val="00DA6480"/>
    <w:rsid w:val="00DA677E"/>
    <w:rsid w:val="00DA72E9"/>
    <w:rsid w:val="00DA7438"/>
    <w:rsid w:val="00DB05D2"/>
    <w:rsid w:val="00DB08B8"/>
    <w:rsid w:val="00DB0D1D"/>
    <w:rsid w:val="00DB0FDE"/>
    <w:rsid w:val="00DB160B"/>
    <w:rsid w:val="00DB173B"/>
    <w:rsid w:val="00DB1CD2"/>
    <w:rsid w:val="00DB2B33"/>
    <w:rsid w:val="00DB2FF1"/>
    <w:rsid w:val="00DB420C"/>
    <w:rsid w:val="00DB519E"/>
    <w:rsid w:val="00DB6167"/>
    <w:rsid w:val="00DB651C"/>
    <w:rsid w:val="00DB6E69"/>
    <w:rsid w:val="00DB74FE"/>
    <w:rsid w:val="00DB79E0"/>
    <w:rsid w:val="00DB7A67"/>
    <w:rsid w:val="00DB7FB9"/>
    <w:rsid w:val="00DC02E1"/>
    <w:rsid w:val="00DC0540"/>
    <w:rsid w:val="00DC0784"/>
    <w:rsid w:val="00DC0789"/>
    <w:rsid w:val="00DC0BE8"/>
    <w:rsid w:val="00DC11E4"/>
    <w:rsid w:val="00DC1EF1"/>
    <w:rsid w:val="00DC3643"/>
    <w:rsid w:val="00DC4C07"/>
    <w:rsid w:val="00DC4EDA"/>
    <w:rsid w:val="00DC61E2"/>
    <w:rsid w:val="00DC66D0"/>
    <w:rsid w:val="00DC6A8B"/>
    <w:rsid w:val="00DC6EDD"/>
    <w:rsid w:val="00DC7EA8"/>
    <w:rsid w:val="00DD11D0"/>
    <w:rsid w:val="00DD1279"/>
    <w:rsid w:val="00DD1E08"/>
    <w:rsid w:val="00DD24E0"/>
    <w:rsid w:val="00DD2807"/>
    <w:rsid w:val="00DD2DA8"/>
    <w:rsid w:val="00DD2E98"/>
    <w:rsid w:val="00DD41F2"/>
    <w:rsid w:val="00DD4357"/>
    <w:rsid w:val="00DD4F36"/>
    <w:rsid w:val="00DD6300"/>
    <w:rsid w:val="00DD63AA"/>
    <w:rsid w:val="00DD6538"/>
    <w:rsid w:val="00DD75AF"/>
    <w:rsid w:val="00DE110B"/>
    <w:rsid w:val="00DE128A"/>
    <w:rsid w:val="00DE1CBB"/>
    <w:rsid w:val="00DE297E"/>
    <w:rsid w:val="00DE2A4B"/>
    <w:rsid w:val="00DE4975"/>
    <w:rsid w:val="00DE4A0A"/>
    <w:rsid w:val="00DE4EF7"/>
    <w:rsid w:val="00DE515C"/>
    <w:rsid w:val="00DE56DD"/>
    <w:rsid w:val="00DE56E6"/>
    <w:rsid w:val="00DE57BD"/>
    <w:rsid w:val="00DE5E40"/>
    <w:rsid w:val="00DE60BF"/>
    <w:rsid w:val="00DE6333"/>
    <w:rsid w:val="00DE6548"/>
    <w:rsid w:val="00DF0648"/>
    <w:rsid w:val="00DF07D0"/>
    <w:rsid w:val="00DF0A4A"/>
    <w:rsid w:val="00DF1ACB"/>
    <w:rsid w:val="00DF20A5"/>
    <w:rsid w:val="00DF2936"/>
    <w:rsid w:val="00DF3652"/>
    <w:rsid w:val="00DF3783"/>
    <w:rsid w:val="00DF45C6"/>
    <w:rsid w:val="00DF469E"/>
    <w:rsid w:val="00DF50F5"/>
    <w:rsid w:val="00DF5BF0"/>
    <w:rsid w:val="00DF60DD"/>
    <w:rsid w:val="00DF6A12"/>
    <w:rsid w:val="00DF6CE8"/>
    <w:rsid w:val="00DF6EDD"/>
    <w:rsid w:val="00DF731A"/>
    <w:rsid w:val="00E0054C"/>
    <w:rsid w:val="00E00B80"/>
    <w:rsid w:val="00E010C4"/>
    <w:rsid w:val="00E02488"/>
    <w:rsid w:val="00E028A7"/>
    <w:rsid w:val="00E036F8"/>
    <w:rsid w:val="00E0375F"/>
    <w:rsid w:val="00E03DB6"/>
    <w:rsid w:val="00E0410B"/>
    <w:rsid w:val="00E04C5A"/>
    <w:rsid w:val="00E04DE6"/>
    <w:rsid w:val="00E04E1E"/>
    <w:rsid w:val="00E05351"/>
    <w:rsid w:val="00E057D5"/>
    <w:rsid w:val="00E05F8C"/>
    <w:rsid w:val="00E0659C"/>
    <w:rsid w:val="00E06708"/>
    <w:rsid w:val="00E0765F"/>
    <w:rsid w:val="00E10706"/>
    <w:rsid w:val="00E113F0"/>
    <w:rsid w:val="00E11FBC"/>
    <w:rsid w:val="00E12252"/>
    <w:rsid w:val="00E126D1"/>
    <w:rsid w:val="00E12A39"/>
    <w:rsid w:val="00E12CF6"/>
    <w:rsid w:val="00E12EB7"/>
    <w:rsid w:val="00E13076"/>
    <w:rsid w:val="00E13107"/>
    <w:rsid w:val="00E13CA4"/>
    <w:rsid w:val="00E143E4"/>
    <w:rsid w:val="00E156B5"/>
    <w:rsid w:val="00E1585B"/>
    <w:rsid w:val="00E15CB6"/>
    <w:rsid w:val="00E1723A"/>
    <w:rsid w:val="00E176D0"/>
    <w:rsid w:val="00E1796A"/>
    <w:rsid w:val="00E17C90"/>
    <w:rsid w:val="00E20073"/>
    <w:rsid w:val="00E2007D"/>
    <w:rsid w:val="00E200A6"/>
    <w:rsid w:val="00E204BB"/>
    <w:rsid w:val="00E20E27"/>
    <w:rsid w:val="00E21504"/>
    <w:rsid w:val="00E21768"/>
    <w:rsid w:val="00E21C2A"/>
    <w:rsid w:val="00E22D19"/>
    <w:rsid w:val="00E22E15"/>
    <w:rsid w:val="00E239E4"/>
    <w:rsid w:val="00E24438"/>
    <w:rsid w:val="00E244B3"/>
    <w:rsid w:val="00E245F0"/>
    <w:rsid w:val="00E25085"/>
    <w:rsid w:val="00E25999"/>
    <w:rsid w:val="00E25BEE"/>
    <w:rsid w:val="00E260FF"/>
    <w:rsid w:val="00E26717"/>
    <w:rsid w:val="00E2720F"/>
    <w:rsid w:val="00E3139E"/>
    <w:rsid w:val="00E3179B"/>
    <w:rsid w:val="00E31EB3"/>
    <w:rsid w:val="00E31F3E"/>
    <w:rsid w:val="00E32CD7"/>
    <w:rsid w:val="00E33847"/>
    <w:rsid w:val="00E34D1D"/>
    <w:rsid w:val="00E377D5"/>
    <w:rsid w:val="00E37C2E"/>
    <w:rsid w:val="00E406E1"/>
    <w:rsid w:val="00E40C87"/>
    <w:rsid w:val="00E40E71"/>
    <w:rsid w:val="00E4130E"/>
    <w:rsid w:val="00E415E8"/>
    <w:rsid w:val="00E4184B"/>
    <w:rsid w:val="00E41C7E"/>
    <w:rsid w:val="00E422CD"/>
    <w:rsid w:val="00E434B9"/>
    <w:rsid w:val="00E434EB"/>
    <w:rsid w:val="00E43782"/>
    <w:rsid w:val="00E43819"/>
    <w:rsid w:val="00E4384C"/>
    <w:rsid w:val="00E43AA9"/>
    <w:rsid w:val="00E43D40"/>
    <w:rsid w:val="00E44108"/>
    <w:rsid w:val="00E443D7"/>
    <w:rsid w:val="00E44782"/>
    <w:rsid w:val="00E459AA"/>
    <w:rsid w:val="00E45CBA"/>
    <w:rsid w:val="00E462A3"/>
    <w:rsid w:val="00E4654D"/>
    <w:rsid w:val="00E46B52"/>
    <w:rsid w:val="00E46C0B"/>
    <w:rsid w:val="00E47688"/>
    <w:rsid w:val="00E479BF"/>
    <w:rsid w:val="00E47B06"/>
    <w:rsid w:val="00E47C72"/>
    <w:rsid w:val="00E47FC1"/>
    <w:rsid w:val="00E47FE6"/>
    <w:rsid w:val="00E500CA"/>
    <w:rsid w:val="00E50AFA"/>
    <w:rsid w:val="00E50EEA"/>
    <w:rsid w:val="00E51231"/>
    <w:rsid w:val="00E51413"/>
    <w:rsid w:val="00E5198F"/>
    <w:rsid w:val="00E51FFC"/>
    <w:rsid w:val="00E522E4"/>
    <w:rsid w:val="00E53028"/>
    <w:rsid w:val="00E536A3"/>
    <w:rsid w:val="00E540FA"/>
    <w:rsid w:val="00E55D8B"/>
    <w:rsid w:val="00E56B9E"/>
    <w:rsid w:val="00E56D0F"/>
    <w:rsid w:val="00E56F92"/>
    <w:rsid w:val="00E571F2"/>
    <w:rsid w:val="00E57215"/>
    <w:rsid w:val="00E608BB"/>
    <w:rsid w:val="00E60955"/>
    <w:rsid w:val="00E60D6D"/>
    <w:rsid w:val="00E61F35"/>
    <w:rsid w:val="00E6250B"/>
    <w:rsid w:val="00E62CCA"/>
    <w:rsid w:val="00E63553"/>
    <w:rsid w:val="00E63B2F"/>
    <w:rsid w:val="00E6550D"/>
    <w:rsid w:val="00E655B5"/>
    <w:rsid w:val="00E65DD7"/>
    <w:rsid w:val="00E664A2"/>
    <w:rsid w:val="00E66D4E"/>
    <w:rsid w:val="00E66ECF"/>
    <w:rsid w:val="00E66EF6"/>
    <w:rsid w:val="00E672C4"/>
    <w:rsid w:val="00E70B35"/>
    <w:rsid w:val="00E70FA4"/>
    <w:rsid w:val="00E724F6"/>
    <w:rsid w:val="00E7271B"/>
    <w:rsid w:val="00E72BFE"/>
    <w:rsid w:val="00E72D87"/>
    <w:rsid w:val="00E72F57"/>
    <w:rsid w:val="00E73A81"/>
    <w:rsid w:val="00E73F79"/>
    <w:rsid w:val="00E7498C"/>
    <w:rsid w:val="00E7564C"/>
    <w:rsid w:val="00E75757"/>
    <w:rsid w:val="00E75F21"/>
    <w:rsid w:val="00E75FCB"/>
    <w:rsid w:val="00E761B8"/>
    <w:rsid w:val="00E77003"/>
    <w:rsid w:val="00E770B7"/>
    <w:rsid w:val="00E77465"/>
    <w:rsid w:val="00E774ED"/>
    <w:rsid w:val="00E77C0A"/>
    <w:rsid w:val="00E800F4"/>
    <w:rsid w:val="00E80196"/>
    <w:rsid w:val="00E818C4"/>
    <w:rsid w:val="00E82123"/>
    <w:rsid w:val="00E8265F"/>
    <w:rsid w:val="00E82F89"/>
    <w:rsid w:val="00E839D2"/>
    <w:rsid w:val="00E83C57"/>
    <w:rsid w:val="00E84BA4"/>
    <w:rsid w:val="00E8519D"/>
    <w:rsid w:val="00E8532B"/>
    <w:rsid w:val="00E8542F"/>
    <w:rsid w:val="00E85C49"/>
    <w:rsid w:val="00E866EB"/>
    <w:rsid w:val="00E86A0C"/>
    <w:rsid w:val="00E86D80"/>
    <w:rsid w:val="00E87076"/>
    <w:rsid w:val="00E87B85"/>
    <w:rsid w:val="00E87BB2"/>
    <w:rsid w:val="00E87DE6"/>
    <w:rsid w:val="00E90108"/>
    <w:rsid w:val="00E90A1B"/>
    <w:rsid w:val="00E91265"/>
    <w:rsid w:val="00E91D74"/>
    <w:rsid w:val="00E9240D"/>
    <w:rsid w:val="00E931E0"/>
    <w:rsid w:val="00E93646"/>
    <w:rsid w:val="00E943BD"/>
    <w:rsid w:val="00E95BC8"/>
    <w:rsid w:val="00E960BD"/>
    <w:rsid w:val="00E963D8"/>
    <w:rsid w:val="00E9678D"/>
    <w:rsid w:val="00E968E6"/>
    <w:rsid w:val="00E96CF6"/>
    <w:rsid w:val="00EA0ABF"/>
    <w:rsid w:val="00EA1853"/>
    <w:rsid w:val="00EA1C3B"/>
    <w:rsid w:val="00EA1EF6"/>
    <w:rsid w:val="00EA303B"/>
    <w:rsid w:val="00EA3F8F"/>
    <w:rsid w:val="00EA511A"/>
    <w:rsid w:val="00EA5454"/>
    <w:rsid w:val="00EA5A24"/>
    <w:rsid w:val="00EA5B63"/>
    <w:rsid w:val="00EA628F"/>
    <w:rsid w:val="00EA63C7"/>
    <w:rsid w:val="00EA6D3E"/>
    <w:rsid w:val="00EB07C9"/>
    <w:rsid w:val="00EB0E35"/>
    <w:rsid w:val="00EB1AA3"/>
    <w:rsid w:val="00EB384C"/>
    <w:rsid w:val="00EB3E5C"/>
    <w:rsid w:val="00EB5144"/>
    <w:rsid w:val="00EB531C"/>
    <w:rsid w:val="00EB58E7"/>
    <w:rsid w:val="00EB6009"/>
    <w:rsid w:val="00EB618E"/>
    <w:rsid w:val="00EB62CC"/>
    <w:rsid w:val="00EB70FA"/>
    <w:rsid w:val="00EB77B8"/>
    <w:rsid w:val="00EB7EC5"/>
    <w:rsid w:val="00EB7F0E"/>
    <w:rsid w:val="00EC03F2"/>
    <w:rsid w:val="00EC054D"/>
    <w:rsid w:val="00EC1500"/>
    <w:rsid w:val="00EC1E85"/>
    <w:rsid w:val="00EC1EAF"/>
    <w:rsid w:val="00EC1F5D"/>
    <w:rsid w:val="00EC231F"/>
    <w:rsid w:val="00EC2886"/>
    <w:rsid w:val="00EC290F"/>
    <w:rsid w:val="00EC2A98"/>
    <w:rsid w:val="00EC32D0"/>
    <w:rsid w:val="00EC3C33"/>
    <w:rsid w:val="00EC4F56"/>
    <w:rsid w:val="00EC532A"/>
    <w:rsid w:val="00EC5AFA"/>
    <w:rsid w:val="00EC5D47"/>
    <w:rsid w:val="00EC604A"/>
    <w:rsid w:val="00EC634D"/>
    <w:rsid w:val="00EC779F"/>
    <w:rsid w:val="00EC7E65"/>
    <w:rsid w:val="00ED1B02"/>
    <w:rsid w:val="00ED1F88"/>
    <w:rsid w:val="00ED3379"/>
    <w:rsid w:val="00ED3711"/>
    <w:rsid w:val="00ED41C8"/>
    <w:rsid w:val="00ED45CB"/>
    <w:rsid w:val="00ED5EC8"/>
    <w:rsid w:val="00ED5F48"/>
    <w:rsid w:val="00ED626D"/>
    <w:rsid w:val="00ED6488"/>
    <w:rsid w:val="00ED6668"/>
    <w:rsid w:val="00ED6942"/>
    <w:rsid w:val="00ED7A4B"/>
    <w:rsid w:val="00ED7C4D"/>
    <w:rsid w:val="00EE0404"/>
    <w:rsid w:val="00EE09C4"/>
    <w:rsid w:val="00EE113F"/>
    <w:rsid w:val="00EE222F"/>
    <w:rsid w:val="00EE2A97"/>
    <w:rsid w:val="00EE2D8E"/>
    <w:rsid w:val="00EE31C9"/>
    <w:rsid w:val="00EE3D3B"/>
    <w:rsid w:val="00EE3F80"/>
    <w:rsid w:val="00EE41C4"/>
    <w:rsid w:val="00EE45FA"/>
    <w:rsid w:val="00EE5011"/>
    <w:rsid w:val="00EE5A14"/>
    <w:rsid w:val="00EE7426"/>
    <w:rsid w:val="00EF0668"/>
    <w:rsid w:val="00EF0695"/>
    <w:rsid w:val="00EF0B76"/>
    <w:rsid w:val="00EF1F1F"/>
    <w:rsid w:val="00EF2CC4"/>
    <w:rsid w:val="00EF48DA"/>
    <w:rsid w:val="00EF4904"/>
    <w:rsid w:val="00EF4BBE"/>
    <w:rsid w:val="00EF5ED9"/>
    <w:rsid w:val="00EF64E0"/>
    <w:rsid w:val="00EF72D9"/>
    <w:rsid w:val="00EF790E"/>
    <w:rsid w:val="00EF7E45"/>
    <w:rsid w:val="00EF7ECF"/>
    <w:rsid w:val="00EF7F4B"/>
    <w:rsid w:val="00F00071"/>
    <w:rsid w:val="00F00A2C"/>
    <w:rsid w:val="00F01307"/>
    <w:rsid w:val="00F01615"/>
    <w:rsid w:val="00F02D3F"/>
    <w:rsid w:val="00F03C8F"/>
    <w:rsid w:val="00F03D9C"/>
    <w:rsid w:val="00F040FC"/>
    <w:rsid w:val="00F042F6"/>
    <w:rsid w:val="00F04609"/>
    <w:rsid w:val="00F04F45"/>
    <w:rsid w:val="00F050CB"/>
    <w:rsid w:val="00F05CFB"/>
    <w:rsid w:val="00F10927"/>
    <w:rsid w:val="00F10F1A"/>
    <w:rsid w:val="00F11298"/>
    <w:rsid w:val="00F1190A"/>
    <w:rsid w:val="00F129BA"/>
    <w:rsid w:val="00F139DB"/>
    <w:rsid w:val="00F13D4D"/>
    <w:rsid w:val="00F14BD2"/>
    <w:rsid w:val="00F155DD"/>
    <w:rsid w:val="00F15779"/>
    <w:rsid w:val="00F15FFB"/>
    <w:rsid w:val="00F1633D"/>
    <w:rsid w:val="00F169FB"/>
    <w:rsid w:val="00F16B13"/>
    <w:rsid w:val="00F1743C"/>
    <w:rsid w:val="00F176DF"/>
    <w:rsid w:val="00F17A75"/>
    <w:rsid w:val="00F17B87"/>
    <w:rsid w:val="00F20042"/>
    <w:rsid w:val="00F2250A"/>
    <w:rsid w:val="00F225E4"/>
    <w:rsid w:val="00F229C8"/>
    <w:rsid w:val="00F2377E"/>
    <w:rsid w:val="00F23AB3"/>
    <w:rsid w:val="00F2485C"/>
    <w:rsid w:val="00F253DB"/>
    <w:rsid w:val="00F25F14"/>
    <w:rsid w:val="00F26115"/>
    <w:rsid w:val="00F26632"/>
    <w:rsid w:val="00F26CDD"/>
    <w:rsid w:val="00F26DD0"/>
    <w:rsid w:val="00F302B5"/>
    <w:rsid w:val="00F302EA"/>
    <w:rsid w:val="00F30AD2"/>
    <w:rsid w:val="00F311BB"/>
    <w:rsid w:val="00F311F2"/>
    <w:rsid w:val="00F3124D"/>
    <w:rsid w:val="00F31FBD"/>
    <w:rsid w:val="00F327DF"/>
    <w:rsid w:val="00F3359D"/>
    <w:rsid w:val="00F336B1"/>
    <w:rsid w:val="00F33A5D"/>
    <w:rsid w:val="00F33B49"/>
    <w:rsid w:val="00F33FB6"/>
    <w:rsid w:val="00F3542C"/>
    <w:rsid w:val="00F35FD1"/>
    <w:rsid w:val="00F36752"/>
    <w:rsid w:val="00F402B3"/>
    <w:rsid w:val="00F403B7"/>
    <w:rsid w:val="00F403D8"/>
    <w:rsid w:val="00F40845"/>
    <w:rsid w:val="00F41276"/>
    <w:rsid w:val="00F41604"/>
    <w:rsid w:val="00F41731"/>
    <w:rsid w:val="00F4190B"/>
    <w:rsid w:val="00F41D8B"/>
    <w:rsid w:val="00F42290"/>
    <w:rsid w:val="00F4234B"/>
    <w:rsid w:val="00F429BE"/>
    <w:rsid w:val="00F42B13"/>
    <w:rsid w:val="00F4307F"/>
    <w:rsid w:val="00F44F3C"/>
    <w:rsid w:val="00F45FC5"/>
    <w:rsid w:val="00F477F5"/>
    <w:rsid w:val="00F507A7"/>
    <w:rsid w:val="00F50B5A"/>
    <w:rsid w:val="00F50F3E"/>
    <w:rsid w:val="00F51911"/>
    <w:rsid w:val="00F5263D"/>
    <w:rsid w:val="00F52E5C"/>
    <w:rsid w:val="00F52F24"/>
    <w:rsid w:val="00F531B1"/>
    <w:rsid w:val="00F532CA"/>
    <w:rsid w:val="00F534B8"/>
    <w:rsid w:val="00F535B6"/>
    <w:rsid w:val="00F5433A"/>
    <w:rsid w:val="00F543AB"/>
    <w:rsid w:val="00F54996"/>
    <w:rsid w:val="00F558BB"/>
    <w:rsid w:val="00F55F4B"/>
    <w:rsid w:val="00F56051"/>
    <w:rsid w:val="00F562BE"/>
    <w:rsid w:val="00F56725"/>
    <w:rsid w:val="00F5680D"/>
    <w:rsid w:val="00F5701D"/>
    <w:rsid w:val="00F5714F"/>
    <w:rsid w:val="00F57686"/>
    <w:rsid w:val="00F577AC"/>
    <w:rsid w:val="00F57F0F"/>
    <w:rsid w:val="00F603D4"/>
    <w:rsid w:val="00F603EF"/>
    <w:rsid w:val="00F604BF"/>
    <w:rsid w:val="00F61A08"/>
    <w:rsid w:val="00F61BD9"/>
    <w:rsid w:val="00F61DFB"/>
    <w:rsid w:val="00F626B9"/>
    <w:rsid w:val="00F62A61"/>
    <w:rsid w:val="00F62BB6"/>
    <w:rsid w:val="00F6338F"/>
    <w:rsid w:val="00F6366D"/>
    <w:rsid w:val="00F64410"/>
    <w:rsid w:val="00F648F3"/>
    <w:rsid w:val="00F64A35"/>
    <w:rsid w:val="00F65344"/>
    <w:rsid w:val="00F65656"/>
    <w:rsid w:val="00F65A96"/>
    <w:rsid w:val="00F65B86"/>
    <w:rsid w:val="00F6618A"/>
    <w:rsid w:val="00F66381"/>
    <w:rsid w:val="00F66999"/>
    <w:rsid w:val="00F66F79"/>
    <w:rsid w:val="00F672F9"/>
    <w:rsid w:val="00F674DB"/>
    <w:rsid w:val="00F70C5C"/>
    <w:rsid w:val="00F71A93"/>
    <w:rsid w:val="00F722E1"/>
    <w:rsid w:val="00F72DD0"/>
    <w:rsid w:val="00F72DF2"/>
    <w:rsid w:val="00F72E4F"/>
    <w:rsid w:val="00F73496"/>
    <w:rsid w:val="00F7362C"/>
    <w:rsid w:val="00F73C45"/>
    <w:rsid w:val="00F746A7"/>
    <w:rsid w:val="00F75F8B"/>
    <w:rsid w:val="00F7669E"/>
    <w:rsid w:val="00F76ED2"/>
    <w:rsid w:val="00F77F29"/>
    <w:rsid w:val="00F80C67"/>
    <w:rsid w:val="00F816F5"/>
    <w:rsid w:val="00F81C72"/>
    <w:rsid w:val="00F82723"/>
    <w:rsid w:val="00F829A2"/>
    <w:rsid w:val="00F82B3A"/>
    <w:rsid w:val="00F833D8"/>
    <w:rsid w:val="00F841A9"/>
    <w:rsid w:val="00F8529D"/>
    <w:rsid w:val="00F86141"/>
    <w:rsid w:val="00F86EFC"/>
    <w:rsid w:val="00F9036F"/>
    <w:rsid w:val="00F9075B"/>
    <w:rsid w:val="00F90994"/>
    <w:rsid w:val="00F92B22"/>
    <w:rsid w:val="00F92F63"/>
    <w:rsid w:val="00F9346A"/>
    <w:rsid w:val="00F93682"/>
    <w:rsid w:val="00F93DE2"/>
    <w:rsid w:val="00F93E5F"/>
    <w:rsid w:val="00F94D42"/>
    <w:rsid w:val="00F94E5E"/>
    <w:rsid w:val="00F953B7"/>
    <w:rsid w:val="00F95D18"/>
    <w:rsid w:val="00F96627"/>
    <w:rsid w:val="00F9681D"/>
    <w:rsid w:val="00F97745"/>
    <w:rsid w:val="00FA1879"/>
    <w:rsid w:val="00FA1C24"/>
    <w:rsid w:val="00FA2CA2"/>
    <w:rsid w:val="00FA31C9"/>
    <w:rsid w:val="00FA3DCD"/>
    <w:rsid w:val="00FA4801"/>
    <w:rsid w:val="00FA6379"/>
    <w:rsid w:val="00FA668E"/>
    <w:rsid w:val="00FA673D"/>
    <w:rsid w:val="00FA6ADB"/>
    <w:rsid w:val="00FA6CE8"/>
    <w:rsid w:val="00FA7064"/>
    <w:rsid w:val="00FA72D8"/>
    <w:rsid w:val="00FA73F8"/>
    <w:rsid w:val="00FA7862"/>
    <w:rsid w:val="00FB0208"/>
    <w:rsid w:val="00FB0A47"/>
    <w:rsid w:val="00FB23C9"/>
    <w:rsid w:val="00FB2537"/>
    <w:rsid w:val="00FB28D8"/>
    <w:rsid w:val="00FB2D7A"/>
    <w:rsid w:val="00FB2DBE"/>
    <w:rsid w:val="00FB37E8"/>
    <w:rsid w:val="00FB3B17"/>
    <w:rsid w:val="00FB3C76"/>
    <w:rsid w:val="00FB3F07"/>
    <w:rsid w:val="00FB3F9B"/>
    <w:rsid w:val="00FB4338"/>
    <w:rsid w:val="00FB52EE"/>
    <w:rsid w:val="00FB53C9"/>
    <w:rsid w:val="00FB586D"/>
    <w:rsid w:val="00FB5AB1"/>
    <w:rsid w:val="00FB61C1"/>
    <w:rsid w:val="00FB6933"/>
    <w:rsid w:val="00FB6A57"/>
    <w:rsid w:val="00FB706C"/>
    <w:rsid w:val="00FC0B0A"/>
    <w:rsid w:val="00FC0CB8"/>
    <w:rsid w:val="00FC0DD6"/>
    <w:rsid w:val="00FC15AA"/>
    <w:rsid w:val="00FC20FF"/>
    <w:rsid w:val="00FC21FE"/>
    <w:rsid w:val="00FC22E5"/>
    <w:rsid w:val="00FC2B83"/>
    <w:rsid w:val="00FC2EC6"/>
    <w:rsid w:val="00FC3060"/>
    <w:rsid w:val="00FC32FC"/>
    <w:rsid w:val="00FC39D2"/>
    <w:rsid w:val="00FC462C"/>
    <w:rsid w:val="00FC4776"/>
    <w:rsid w:val="00FC477D"/>
    <w:rsid w:val="00FC4799"/>
    <w:rsid w:val="00FC497E"/>
    <w:rsid w:val="00FC4BB7"/>
    <w:rsid w:val="00FC71E6"/>
    <w:rsid w:val="00FC7850"/>
    <w:rsid w:val="00FC7BAF"/>
    <w:rsid w:val="00FD0933"/>
    <w:rsid w:val="00FD0EC7"/>
    <w:rsid w:val="00FD1349"/>
    <w:rsid w:val="00FD1591"/>
    <w:rsid w:val="00FD270C"/>
    <w:rsid w:val="00FD30FF"/>
    <w:rsid w:val="00FD339F"/>
    <w:rsid w:val="00FD3752"/>
    <w:rsid w:val="00FD4E58"/>
    <w:rsid w:val="00FD5156"/>
    <w:rsid w:val="00FD546B"/>
    <w:rsid w:val="00FD64A4"/>
    <w:rsid w:val="00FD6DC2"/>
    <w:rsid w:val="00FD6E4A"/>
    <w:rsid w:val="00FD70A2"/>
    <w:rsid w:val="00FD7FA8"/>
    <w:rsid w:val="00FE0AA4"/>
    <w:rsid w:val="00FE1D4A"/>
    <w:rsid w:val="00FE3CAA"/>
    <w:rsid w:val="00FE3CCC"/>
    <w:rsid w:val="00FE4551"/>
    <w:rsid w:val="00FE4605"/>
    <w:rsid w:val="00FE4C65"/>
    <w:rsid w:val="00FE4EB1"/>
    <w:rsid w:val="00FE52F2"/>
    <w:rsid w:val="00FE61FE"/>
    <w:rsid w:val="00FE681B"/>
    <w:rsid w:val="00FE74F3"/>
    <w:rsid w:val="00FE7BB0"/>
    <w:rsid w:val="00FF02D2"/>
    <w:rsid w:val="00FF077B"/>
    <w:rsid w:val="00FF0C0E"/>
    <w:rsid w:val="00FF0C8F"/>
    <w:rsid w:val="00FF1CB3"/>
    <w:rsid w:val="00FF1E9F"/>
    <w:rsid w:val="00FF1FE9"/>
    <w:rsid w:val="00FF2231"/>
    <w:rsid w:val="00FF245C"/>
    <w:rsid w:val="00FF2945"/>
    <w:rsid w:val="00FF3DAB"/>
    <w:rsid w:val="00FF48F0"/>
    <w:rsid w:val="00FF574D"/>
    <w:rsid w:val="00FF644A"/>
    <w:rsid w:val="00FF6D75"/>
    <w:rsid w:val="00FF73F7"/>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E003"/>
  <w15:chartTrackingRefBased/>
  <w15:docId w15:val="{81FFC9D1-355D-4DFE-8B6A-93D9B15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qFormat/>
    <w:rsid w:val="0060040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8C1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B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EA"/>
    <w:rPr>
      <w:color w:val="0000FF"/>
      <w:u w:val="single"/>
    </w:rPr>
  </w:style>
  <w:style w:type="paragraph" w:styleId="NormalWeb">
    <w:name w:val="Normal (Web)"/>
    <w:aliases w:val="webb,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6C2FEA"/>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p">
    <w:name w:val="cp"/>
    <w:basedOn w:val="Normal"/>
    <w:uiPriority w:val="99"/>
    <w:semiHidden/>
    <w:rsid w:val="006C2FEA"/>
    <w:pPr>
      <w:spacing w:after="0" w:line="240" w:lineRule="auto"/>
      <w:jc w:val="center"/>
    </w:pPr>
    <w:rPr>
      <w:rFonts w:ascii="Times New Roman" w:eastAsiaTheme="minorEastAsia" w:hAnsi="Times New Roman" w:cs="Times New Roman"/>
      <w:b/>
      <w:bCs/>
      <w:sz w:val="24"/>
      <w:szCs w:val="24"/>
      <w:lang w:val="en-US"/>
    </w:rPr>
  </w:style>
  <w:style w:type="character" w:styleId="Strong">
    <w:name w:val="Strong"/>
    <w:basedOn w:val="DefaultParagraphFont"/>
    <w:uiPriority w:val="22"/>
    <w:qFormat/>
    <w:rsid w:val="00E7498C"/>
    <w:rPr>
      <w:b/>
      <w:bCs/>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0823BD"/>
    <w:pPr>
      <w:spacing w:after="0" w:line="240" w:lineRule="auto"/>
    </w:pPr>
    <w:rPr>
      <w:sz w:val="20"/>
      <w:szCs w:val="20"/>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qFormat/>
    <w:rsid w:val="000823BD"/>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Char Char1,Знак1 Char1,FR"/>
    <w:basedOn w:val="DefaultParagraphFont"/>
    <w:link w:val="FNRefeCharChar"/>
    <w:uiPriority w:val="99"/>
    <w:unhideWhenUsed/>
    <w:qFormat/>
    <w:rsid w:val="000823BD"/>
    <w:rPr>
      <w:vertAlign w:val="superscript"/>
    </w:rPr>
  </w:style>
  <w:style w:type="character" w:customStyle="1" w:styleId="Heading1Char">
    <w:name w:val="Heading 1 Char"/>
    <w:basedOn w:val="DefaultParagraphFont"/>
    <w:link w:val="Heading1"/>
    <w:rsid w:val="00600405"/>
    <w:rPr>
      <w:rFonts w:asciiTheme="majorHAnsi" w:eastAsiaTheme="majorEastAsia" w:hAnsiTheme="majorHAnsi" w:cstheme="majorBidi"/>
      <w:color w:val="2E74B5" w:themeColor="accent1" w:themeShade="BF"/>
      <w:sz w:val="32"/>
      <w:szCs w:val="32"/>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00405"/>
    <w:pPr>
      <w:spacing w:line="240" w:lineRule="exact"/>
    </w:pPr>
    <w:rPr>
      <w:vertAlign w:val="superscript"/>
      <w:lang w:val="en-US"/>
    </w:rPr>
  </w:style>
  <w:style w:type="paragraph" w:customStyle="1" w:styleId="1">
    <w:name w:val="Стиль1"/>
    <w:basedOn w:val="NormalWeb"/>
    <w:link w:val="10"/>
    <w:autoRedefine/>
    <w:qFormat/>
    <w:rsid w:val="00600405"/>
    <w:pPr>
      <w:ind w:left="180" w:hanging="180"/>
    </w:pPr>
    <w:rPr>
      <w:rFonts w:asciiTheme="majorHAnsi" w:eastAsia="Times New Roman" w:hAnsiTheme="majorHAnsi" w:cstheme="majorHAnsi"/>
      <w:sz w:val="16"/>
      <w:szCs w:val="16"/>
    </w:rPr>
  </w:style>
  <w:style w:type="character" w:customStyle="1" w:styleId="10">
    <w:name w:val="Стиль1 Знак"/>
    <w:basedOn w:val="DefaultParagraphFont"/>
    <w:link w:val="1"/>
    <w:rsid w:val="00600405"/>
    <w:rPr>
      <w:rFonts w:asciiTheme="majorHAnsi" w:eastAsia="Times New Roman" w:hAnsiTheme="majorHAnsi" w:cstheme="majorHAnsi"/>
      <w:sz w:val="16"/>
      <w:szCs w:val="16"/>
    </w:rPr>
  </w:style>
  <w:style w:type="table" w:styleId="TableGrid">
    <w:name w:val="Table Grid"/>
    <w:basedOn w:val="TableNormal"/>
    <w:uiPriority w:val="39"/>
    <w:rsid w:val="007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List Paragraph 1,Scriptoria bullet points,standaard met opsomming,Абзац списка1,References,Liste 1,List Paragraph nowy,Numbered List Paragraph,List Paragraph (numbered (a)),Medium Grid 1 - Accent 21,Dot pt,Bullet Points,3"/>
    <w:basedOn w:val="Normal"/>
    <w:link w:val="ListParagraphChar"/>
    <w:uiPriority w:val="34"/>
    <w:qFormat/>
    <w:rsid w:val="0069132A"/>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References Char,Liste 1 Char,List Paragraph nowy Char,Numbered List Paragraph Char,Medium Grid 1 - Accent 21 Char"/>
    <w:link w:val="ListParagraph"/>
    <w:uiPriority w:val="34"/>
    <w:qFormat/>
    <w:locked/>
    <w:rsid w:val="0069132A"/>
    <w:rPr>
      <w:rFonts w:ascii="Times New Roman" w:hAnsi="Times New Roman"/>
      <w:sz w:val="28"/>
      <w:lang w:val="ro-RO"/>
    </w:rPr>
  </w:style>
  <w:style w:type="character" w:customStyle="1" w:styleId="Bodytext2">
    <w:name w:val="Body text (2)_"/>
    <w:basedOn w:val="DefaultParagraphFont"/>
    <w:rsid w:val="003E5D70"/>
    <w:rPr>
      <w:rFonts w:ascii="Times New Roman" w:eastAsia="Times New Roman" w:hAnsi="Times New Roman" w:cs="Times New Roman"/>
      <w:b w:val="0"/>
      <w:bCs w:val="0"/>
      <w:i w:val="0"/>
      <w:iCs w:val="0"/>
      <w:smallCaps w:val="0"/>
      <w:strike w:val="0"/>
      <w:sz w:val="28"/>
      <w:szCs w:val="28"/>
      <w:u w:val="none"/>
    </w:rPr>
  </w:style>
  <w:style w:type="character" w:customStyle="1" w:styleId="Bodytext2LucidaSansUnicode">
    <w:name w:val="Body text (2) + Lucida Sans Unicode"/>
    <w:aliases w:val="8 pt"/>
    <w:basedOn w:val="Bodytext2"/>
    <w:rsid w:val="003E5D70"/>
    <w:rPr>
      <w:rFonts w:ascii="Lucida Sans Unicode" w:eastAsia="Lucida Sans Unicode" w:hAnsi="Lucida Sans Unicode" w:cs="Lucida Sans Unicode"/>
      <w:b w:val="0"/>
      <w:bCs w:val="0"/>
      <w:i w:val="0"/>
      <w:iCs w:val="0"/>
      <w:smallCaps w:val="0"/>
      <w:strike w:val="0"/>
      <w:color w:val="808486"/>
      <w:spacing w:val="0"/>
      <w:w w:val="100"/>
      <w:position w:val="0"/>
      <w:sz w:val="16"/>
      <w:szCs w:val="16"/>
      <w:u w:val="none"/>
      <w:lang w:val="ro-RO" w:eastAsia="ro-RO" w:bidi="ro-RO"/>
    </w:rPr>
  </w:style>
  <w:style w:type="character" w:customStyle="1" w:styleId="Bodytext20">
    <w:name w:val="Body text (2)"/>
    <w:basedOn w:val="Bodytext2"/>
    <w:rsid w:val="003E5D70"/>
    <w:rPr>
      <w:rFonts w:ascii="Times New Roman" w:eastAsia="Times New Roman" w:hAnsi="Times New Roman" w:cs="Times New Roman"/>
      <w:b w:val="0"/>
      <w:bCs w:val="0"/>
      <w:i w:val="0"/>
      <w:iCs w:val="0"/>
      <w:smallCaps w:val="0"/>
      <w:strike w:val="0"/>
      <w:color w:val="636567"/>
      <w:spacing w:val="0"/>
      <w:w w:val="100"/>
      <w:position w:val="0"/>
      <w:sz w:val="28"/>
      <w:szCs w:val="28"/>
      <w:u w:val="none"/>
      <w:lang w:val="ro-RO" w:eastAsia="ro-RO" w:bidi="ro-RO"/>
    </w:rPr>
  </w:style>
  <w:style w:type="character" w:customStyle="1" w:styleId="Bodytext2Italic">
    <w:name w:val="Body text (2) + Italic"/>
    <w:basedOn w:val="Bodytext2"/>
    <w:rsid w:val="003E5D70"/>
    <w:rPr>
      <w:rFonts w:ascii="Times New Roman" w:eastAsia="Times New Roman" w:hAnsi="Times New Roman" w:cs="Times New Roman"/>
      <w:b w:val="0"/>
      <w:bCs w:val="0"/>
      <w:i/>
      <w:iCs/>
      <w:smallCaps w:val="0"/>
      <w:strike w:val="0"/>
      <w:color w:val="464949"/>
      <w:spacing w:val="0"/>
      <w:w w:val="100"/>
      <w:position w:val="0"/>
      <w:sz w:val="28"/>
      <w:szCs w:val="28"/>
      <w:u w:val="none"/>
      <w:lang w:val="ro-RO" w:eastAsia="ro-RO" w:bidi="ro-RO"/>
    </w:rPr>
  </w:style>
  <w:style w:type="character" w:styleId="Emphasis">
    <w:name w:val="Emphasis"/>
    <w:basedOn w:val="DefaultParagraphFont"/>
    <w:uiPriority w:val="20"/>
    <w:qFormat/>
    <w:rsid w:val="005C19DE"/>
    <w:rPr>
      <w:i/>
      <w:iCs/>
    </w:rPr>
  </w:style>
  <w:style w:type="paragraph" w:customStyle="1" w:styleId="Normal1">
    <w:name w:val="Normal1"/>
    <w:basedOn w:val="Normal"/>
    <w:rsid w:val="00EB7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EB77B8"/>
  </w:style>
  <w:style w:type="character" w:styleId="FollowedHyperlink">
    <w:name w:val="FollowedHyperlink"/>
    <w:basedOn w:val="DefaultParagraphFont"/>
    <w:uiPriority w:val="99"/>
    <w:semiHidden/>
    <w:unhideWhenUsed/>
    <w:rsid w:val="006D3ABC"/>
    <w:rPr>
      <w:color w:val="800080"/>
      <w:u w:val="single"/>
    </w:rPr>
  </w:style>
  <w:style w:type="numbering" w:customStyle="1" w:styleId="Style1">
    <w:name w:val="Style1"/>
    <w:uiPriority w:val="99"/>
    <w:rsid w:val="00527D11"/>
    <w:pPr>
      <w:numPr>
        <w:numId w:val="3"/>
      </w:numPr>
    </w:pPr>
  </w:style>
  <w:style w:type="numbering" w:customStyle="1" w:styleId="Style2">
    <w:name w:val="Style2"/>
    <w:uiPriority w:val="99"/>
    <w:rsid w:val="00527D11"/>
    <w:pPr>
      <w:numPr>
        <w:numId w:val="4"/>
      </w:numPr>
    </w:pPr>
  </w:style>
  <w:style w:type="character" w:customStyle="1" w:styleId="Bodytext4">
    <w:name w:val="Body text (4)_"/>
    <w:basedOn w:val="DefaultParagraphFont"/>
    <w:rsid w:val="00B13092"/>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B13092"/>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40">
    <w:name w:val="Body text (4)"/>
    <w:basedOn w:val="Bodytext4"/>
    <w:rsid w:val="00B13092"/>
    <w:rPr>
      <w:rFonts w:ascii="Times New Roman" w:eastAsia="Times New Roman" w:hAnsi="Times New Roman" w:cs="Times New Roman"/>
      <w:b w:val="0"/>
      <w:bCs w:val="0"/>
      <w:i/>
      <w:iCs/>
      <w:smallCaps w:val="0"/>
      <w:strike w:val="0"/>
      <w:color w:val="B1B1B1"/>
      <w:spacing w:val="0"/>
      <w:w w:val="100"/>
      <w:position w:val="0"/>
      <w:sz w:val="24"/>
      <w:szCs w:val="24"/>
      <w:u w:val="none"/>
      <w:lang w:val="ro-RO" w:eastAsia="ro-RO" w:bidi="ro-RO"/>
    </w:rPr>
  </w:style>
  <w:style w:type="character" w:customStyle="1" w:styleId="LegturInternet">
    <w:name w:val="Legătură Internet"/>
    <w:basedOn w:val="DefaultParagraphFont"/>
    <w:rsid w:val="007F62E4"/>
    <w:rPr>
      <w:color w:val="0563C1"/>
      <w:u w:val="single"/>
    </w:rPr>
  </w:style>
  <w:style w:type="character" w:customStyle="1" w:styleId="Bodytext3">
    <w:name w:val="Body text (3)_"/>
    <w:basedOn w:val="DefaultParagraphFont"/>
    <w:link w:val="Bodytext30"/>
    <w:rsid w:val="005B5BEA"/>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5B5BEA"/>
    <w:pPr>
      <w:widowControl w:val="0"/>
      <w:shd w:val="clear" w:color="auto" w:fill="FFFFFF"/>
      <w:spacing w:after="60" w:line="310" w:lineRule="exact"/>
    </w:pPr>
    <w:rPr>
      <w:rFonts w:ascii="Times New Roman" w:eastAsia="Times New Roman" w:hAnsi="Times New Roman" w:cs="Times New Roman"/>
      <w:b/>
      <w:bCs/>
      <w:sz w:val="28"/>
      <w:szCs w:val="28"/>
      <w:lang w:val="en-US"/>
    </w:rPr>
  </w:style>
  <w:style w:type="paragraph" w:customStyle="1" w:styleId="cb">
    <w:name w:val="cb"/>
    <w:basedOn w:val="Normal"/>
    <w:uiPriority w:val="99"/>
    <w:semiHidden/>
    <w:rsid w:val="00C72D9E"/>
    <w:pPr>
      <w:spacing w:after="0" w:line="240" w:lineRule="auto"/>
      <w:jc w:val="center"/>
    </w:pPr>
    <w:rPr>
      <w:rFonts w:ascii="Times New Roman" w:eastAsiaTheme="minorEastAsia" w:hAnsi="Times New Roman" w:cs="Times New Roman"/>
      <w:b/>
      <w:bCs/>
      <w:sz w:val="24"/>
      <w:szCs w:val="24"/>
      <w:lang w:val="en-US"/>
    </w:rPr>
  </w:style>
  <w:style w:type="paragraph" w:customStyle="1" w:styleId="tt">
    <w:name w:val="tt"/>
    <w:basedOn w:val="Normal"/>
    <w:rsid w:val="00D14D32"/>
    <w:pPr>
      <w:spacing w:after="0" w:line="240" w:lineRule="auto"/>
      <w:jc w:val="center"/>
    </w:pPr>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2D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1F"/>
    <w:rPr>
      <w:rFonts w:ascii="Segoe UI" w:hAnsi="Segoe UI" w:cs="Segoe UI"/>
      <w:sz w:val="18"/>
      <w:szCs w:val="18"/>
      <w:lang w:val="ro-MD"/>
    </w:rPr>
  </w:style>
  <w:style w:type="character" w:customStyle="1" w:styleId="Heading2Char">
    <w:name w:val="Heading 2 Char"/>
    <w:basedOn w:val="DefaultParagraphFont"/>
    <w:link w:val="Heading2"/>
    <w:uiPriority w:val="9"/>
    <w:rsid w:val="008C1845"/>
    <w:rPr>
      <w:rFonts w:asciiTheme="majorHAnsi" w:eastAsiaTheme="majorEastAsia" w:hAnsiTheme="majorHAnsi" w:cstheme="majorBidi"/>
      <w:color w:val="2E74B5" w:themeColor="accent1" w:themeShade="BF"/>
      <w:sz w:val="26"/>
      <w:szCs w:val="26"/>
      <w:lang w:val="ro-MD"/>
    </w:rPr>
  </w:style>
  <w:style w:type="character" w:customStyle="1" w:styleId="Heading3Char">
    <w:name w:val="Heading 3 Char"/>
    <w:basedOn w:val="DefaultParagraphFont"/>
    <w:link w:val="Heading3"/>
    <w:uiPriority w:val="9"/>
    <w:rsid w:val="00724B8E"/>
    <w:rPr>
      <w:rFonts w:asciiTheme="majorHAnsi" w:eastAsiaTheme="majorEastAsia" w:hAnsiTheme="majorHAnsi" w:cstheme="majorBidi"/>
      <w:color w:val="1F4D78" w:themeColor="accent1" w:themeShade="7F"/>
      <w:sz w:val="24"/>
      <w:szCs w:val="24"/>
      <w:lang w:val="ro-MD"/>
    </w:rPr>
  </w:style>
  <w:style w:type="paragraph" w:styleId="TOCHeading">
    <w:name w:val="TOC Heading"/>
    <w:basedOn w:val="Heading1"/>
    <w:next w:val="Normal"/>
    <w:uiPriority w:val="39"/>
    <w:unhideWhenUsed/>
    <w:qFormat/>
    <w:rsid w:val="00683A84"/>
    <w:pPr>
      <w:outlineLvl w:val="9"/>
    </w:pPr>
  </w:style>
  <w:style w:type="paragraph" w:styleId="TOC2">
    <w:name w:val="toc 2"/>
    <w:basedOn w:val="Normal"/>
    <w:next w:val="Normal"/>
    <w:autoRedefine/>
    <w:uiPriority w:val="39"/>
    <w:unhideWhenUsed/>
    <w:rsid w:val="00243EDB"/>
    <w:pPr>
      <w:tabs>
        <w:tab w:val="right" w:leader="dot" w:pos="9350"/>
      </w:tabs>
      <w:spacing w:after="100"/>
      <w:ind w:left="180"/>
      <w:jc w:val="both"/>
    </w:pPr>
    <w:rPr>
      <w:rFonts w:eastAsia="Times New Roman" w:cstheme="majorHAnsi"/>
      <w:b/>
      <w:noProof/>
      <w:lang w:val="en-US"/>
    </w:rPr>
  </w:style>
  <w:style w:type="paragraph" w:styleId="TOC1">
    <w:name w:val="toc 1"/>
    <w:basedOn w:val="Normal"/>
    <w:next w:val="Normal"/>
    <w:autoRedefine/>
    <w:uiPriority w:val="39"/>
    <w:unhideWhenUsed/>
    <w:rsid w:val="00E04E1E"/>
    <w:pPr>
      <w:tabs>
        <w:tab w:val="left" w:pos="180"/>
        <w:tab w:val="left" w:pos="270"/>
        <w:tab w:val="right" w:leader="dot" w:pos="9350"/>
      </w:tabs>
      <w:spacing w:after="100"/>
      <w:jc w:val="both"/>
    </w:pPr>
    <w:rPr>
      <w:rFonts w:cstheme="majorHAnsi"/>
      <w:b/>
      <w:noProof/>
    </w:rPr>
  </w:style>
  <w:style w:type="paragraph" w:styleId="TOC3">
    <w:name w:val="toc 3"/>
    <w:basedOn w:val="Normal"/>
    <w:next w:val="Normal"/>
    <w:autoRedefine/>
    <w:uiPriority w:val="39"/>
    <w:unhideWhenUsed/>
    <w:rsid w:val="004B540D"/>
    <w:pPr>
      <w:tabs>
        <w:tab w:val="left" w:pos="990"/>
        <w:tab w:val="left" w:pos="1320"/>
        <w:tab w:val="right" w:leader="dot" w:pos="9350"/>
      </w:tabs>
      <w:spacing w:after="100" w:line="240" w:lineRule="auto"/>
      <w:ind w:left="440"/>
      <w:jc w:val="both"/>
    </w:pPr>
    <w:rPr>
      <w:rFonts w:eastAsia="Times New Roman" w:cstheme="majorHAnsi"/>
      <w:b/>
      <w:noProof/>
      <w:color w:val="2E74B5" w:themeColor="accent1" w:themeShade="BF"/>
      <w:lang w:val="en-US"/>
    </w:rPr>
  </w:style>
  <w:style w:type="paragraph" w:styleId="Header">
    <w:name w:val="header"/>
    <w:basedOn w:val="Normal"/>
    <w:link w:val="HeaderChar"/>
    <w:uiPriority w:val="99"/>
    <w:unhideWhenUsed/>
    <w:rsid w:val="00692003"/>
    <w:pPr>
      <w:tabs>
        <w:tab w:val="center" w:pos="4844"/>
        <w:tab w:val="right" w:pos="9689"/>
      </w:tabs>
      <w:spacing w:after="0" w:line="240" w:lineRule="auto"/>
    </w:pPr>
  </w:style>
  <w:style w:type="character" w:customStyle="1" w:styleId="HeaderChar">
    <w:name w:val="Header Char"/>
    <w:basedOn w:val="DefaultParagraphFont"/>
    <w:link w:val="Header"/>
    <w:uiPriority w:val="99"/>
    <w:rsid w:val="00692003"/>
    <w:rPr>
      <w:lang w:val="ro-MD"/>
    </w:rPr>
  </w:style>
  <w:style w:type="paragraph" w:styleId="Footer">
    <w:name w:val="footer"/>
    <w:basedOn w:val="Normal"/>
    <w:link w:val="FooterChar"/>
    <w:uiPriority w:val="99"/>
    <w:unhideWhenUsed/>
    <w:rsid w:val="006920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692003"/>
    <w:rPr>
      <w:lang w:val="ro-MD"/>
    </w:rPr>
  </w:style>
  <w:style w:type="character" w:customStyle="1" w:styleId="fc1654585163170-0">
    <w:name w:val="fc1654585163170-0"/>
    <w:basedOn w:val="DefaultParagraphFont"/>
    <w:rsid w:val="00BE6480"/>
  </w:style>
  <w:style w:type="table" w:styleId="PlainTable5">
    <w:name w:val="Plain Table 5"/>
    <w:basedOn w:val="TableNormal"/>
    <w:uiPriority w:val="45"/>
    <w:rsid w:val="008165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F76B2"/>
    <w:rPr>
      <w:sz w:val="16"/>
      <w:szCs w:val="16"/>
    </w:rPr>
  </w:style>
  <w:style w:type="paragraph" w:styleId="CommentText">
    <w:name w:val="annotation text"/>
    <w:basedOn w:val="Normal"/>
    <w:link w:val="CommentTextChar"/>
    <w:uiPriority w:val="99"/>
    <w:semiHidden/>
    <w:unhideWhenUsed/>
    <w:rsid w:val="00BF76B2"/>
    <w:pPr>
      <w:spacing w:line="240" w:lineRule="auto"/>
    </w:pPr>
    <w:rPr>
      <w:sz w:val="20"/>
      <w:szCs w:val="20"/>
    </w:rPr>
  </w:style>
  <w:style w:type="character" w:customStyle="1" w:styleId="CommentTextChar">
    <w:name w:val="Comment Text Char"/>
    <w:basedOn w:val="DefaultParagraphFont"/>
    <w:link w:val="CommentText"/>
    <w:uiPriority w:val="99"/>
    <w:semiHidden/>
    <w:rsid w:val="00BF76B2"/>
    <w:rPr>
      <w:sz w:val="20"/>
      <w:szCs w:val="20"/>
      <w:lang w:val="ro-MD"/>
    </w:rPr>
  </w:style>
  <w:style w:type="paragraph" w:styleId="CommentSubject">
    <w:name w:val="annotation subject"/>
    <w:basedOn w:val="CommentText"/>
    <w:next w:val="CommentText"/>
    <w:link w:val="CommentSubjectChar"/>
    <w:uiPriority w:val="99"/>
    <w:semiHidden/>
    <w:unhideWhenUsed/>
    <w:rsid w:val="00BF76B2"/>
    <w:rPr>
      <w:b/>
      <w:bCs/>
    </w:rPr>
  </w:style>
  <w:style w:type="character" w:customStyle="1" w:styleId="CommentSubjectChar">
    <w:name w:val="Comment Subject Char"/>
    <w:basedOn w:val="CommentTextChar"/>
    <w:link w:val="CommentSubject"/>
    <w:uiPriority w:val="99"/>
    <w:semiHidden/>
    <w:rsid w:val="00BF76B2"/>
    <w:rPr>
      <w:b/>
      <w:bCs/>
      <w:sz w:val="20"/>
      <w:szCs w:val="20"/>
      <w:lang w:val="ro-MD"/>
    </w:rPr>
  </w:style>
  <w:style w:type="paragraph" w:styleId="Revision">
    <w:name w:val="Revision"/>
    <w:hidden/>
    <w:uiPriority w:val="99"/>
    <w:semiHidden/>
    <w:rsid w:val="00E04E1E"/>
    <w:pPr>
      <w:spacing w:after="0" w:line="240" w:lineRule="auto"/>
    </w:pPr>
    <w:rPr>
      <w:lang w:val="ro-MD"/>
    </w:rPr>
  </w:style>
  <w:style w:type="paragraph" w:customStyle="1" w:styleId="Default">
    <w:name w:val="Default"/>
    <w:rsid w:val="00E77003"/>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E156B5"/>
    <w:pPr>
      <w:suppressAutoHyphens/>
      <w:autoSpaceDN w:val="0"/>
      <w:spacing w:line="240" w:lineRule="auto"/>
      <w:textAlignment w:val="baseline"/>
    </w:pPr>
    <w:rPr>
      <w:rFonts w:ascii="Calibri" w:eastAsia="Calibri" w:hAnsi="Calibri" w:cs="Tahoma"/>
      <w:lang w:val="ru-RU"/>
    </w:rPr>
  </w:style>
  <w:style w:type="table" w:styleId="PlainTable2">
    <w:name w:val="Plain Table 2"/>
    <w:basedOn w:val="TableNormal"/>
    <w:uiPriority w:val="42"/>
    <w:rsid w:val="00940844"/>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WebChar">
    <w:name w:val="Normal (Web) Char"/>
    <w:aliases w:val="webb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rsid w:val="0094084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136">
      <w:bodyDiv w:val="1"/>
      <w:marLeft w:val="0"/>
      <w:marRight w:val="0"/>
      <w:marTop w:val="0"/>
      <w:marBottom w:val="0"/>
      <w:divBdr>
        <w:top w:val="none" w:sz="0" w:space="0" w:color="auto"/>
        <w:left w:val="none" w:sz="0" w:space="0" w:color="auto"/>
        <w:bottom w:val="none" w:sz="0" w:space="0" w:color="auto"/>
        <w:right w:val="none" w:sz="0" w:space="0" w:color="auto"/>
      </w:divBdr>
    </w:div>
    <w:div w:id="172695632">
      <w:bodyDiv w:val="1"/>
      <w:marLeft w:val="0"/>
      <w:marRight w:val="0"/>
      <w:marTop w:val="0"/>
      <w:marBottom w:val="0"/>
      <w:divBdr>
        <w:top w:val="none" w:sz="0" w:space="0" w:color="auto"/>
        <w:left w:val="none" w:sz="0" w:space="0" w:color="auto"/>
        <w:bottom w:val="none" w:sz="0" w:space="0" w:color="auto"/>
        <w:right w:val="none" w:sz="0" w:space="0" w:color="auto"/>
      </w:divBdr>
    </w:div>
    <w:div w:id="255328546">
      <w:bodyDiv w:val="1"/>
      <w:marLeft w:val="0"/>
      <w:marRight w:val="0"/>
      <w:marTop w:val="0"/>
      <w:marBottom w:val="0"/>
      <w:divBdr>
        <w:top w:val="none" w:sz="0" w:space="0" w:color="auto"/>
        <w:left w:val="none" w:sz="0" w:space="0" w:color="auto"/>
        <w:bottom w:val="none" w:sz="0" w:space="0" w:color="auto"/>
        <w:right w:val="none" w:sz="0" w:space="0" w:color="auto"/>
      </w:divBdr>
    </w:div>
    <w:div w:id="262541197">
      <w:bodyDiv w:val="1"/>
      <w:marLeft w:val="0"/>
      <w:marRight w:val="0"/>
      <w:marTop w:val="0"/>
      <w:marBottom w:val="0"/>
      <w:divBdr>
        <w:top w:val="none" w:sz="0" w:space="0" w:color="auto"/>
        <w:left w:val="none" w:sz="0" w:space="0" w:color="auto"/>
        <w:bottom w:val="none" w:sz="0" w:space="0" w:color="auto"/>
        <w:right w:val="none" w:sz="0" w:space="0" w:color="auto"/>
      </w:divBdr>
    </w:div>
    <w:div w:id="383137354">
      <w:bodyDiv w:val="1"/>
      <w:marLeft w:val="0"/>
      <w:marRight w:val="0"/>
      <w:marTop w:val="0"/>
      <w:marBottom w:val="0"/>
      <w:divBdr>
        <w:top w:val="none" w:sz="0" w:space="0" w:color="auto"/>
        <w:left w:val="none" w:sz="0" w:space="0" w:color="auto"/>
        <w:bottom w:val="none" w:sz="0" w:space="0" w:color="auto"/>
        <w:right w:val="none" w:sz="0" w:space="0" w:color="auto"/>
      </w:divBdr>
    </w:div>
    <w:div w:id="394939285">
      <w:bodyDiv w:val="1"/>
      <w:marLeft w:val="0"/>
      <w:marRight w:val="0"/>
      <w:marTop w:val="0"/>
      <w:marBottom w:val="0"/>
      <w:divBdr>
        <w:top w:val="none" w:sz="0" w:space="0" w:color="auto"/>
        <w:left w:val="none" w:sz="0" w:space="0" w:color="auto"/>
        <w:bottom w:val="none" w:sz="0" w:space="0" w:color="auto"/>
        <w:right w:val="none" w:sz="0" w:space="0" w:color="auto"/>
      </w:divBdr>
    </w:div>
    <w:div w:id="480080364">
      <w:bodyDiv w:val="1"/>
      <w:marLeft w:val="0"/>
      <w:marRight w:val="0"/>
      <w:marTop w:val="0"/>
      <w:marBottom w:val="0"/>
      <w:divBdr>
        <w:top w:val="none" w:sz="0" w:space="0" w:color="auto"/>
        <w:left w:val="none" w:sz="0" w:space="0" w:color="auto"/>
        <w:bottom w:val="none" w:sz="0" w:space="0" w:color="auto"/>
        <w:right w:val="none" w:sz="0" w:space="0" w:color="auto"/>
      </w:divBdr>
    </w:div>
    <w:div w:id="492376475">
      <w:bodyDiv w:val="1"/>
      <w:marLeft w:val="0"/>
      <w:marRight w:val="0"/>
      <w:marTop w:val="0"/>
      <w:marBottom w:val="0"/>
      <w:divBdr>
        <w:top w:val="none" w:sz="0" w:space="0" w:color="auto"/>
        <w:left w:val="none" w:sz="0" w:space="0" w:color="auto"/>
        <w:bottom w:val="none" w:sz="0" w:space="0" w:color="auto"/>
        <w:right w:val="none" w:sz="0" w:space="0" w:color="auto"/>
      </w:divBdr>
    </w:div>
    <w:div w:id="573783355">
      <w:bodyDiv w:val="1"/>
      <w:marLeft w:val="0"/>
      <w:marRight w:val="0"/>
      <w:marTop w:val="0"/>
      <w:marBottom w:val="0"/>
      <w:divBdr>
        <w:top w:val="none" w:sz="0" w:space="0" w:color="auto"/>
        <w:left w:val="none" w:sz="0" w:space="0" w:color="auto"/>
        <w:bottom w:val="none" w:sz="0" w:space="0" w:color="auto"/>
        <w:right w:val="none" w:sz="0" w:space="0" w:color="auto"/>
      </w:divBdr>
    </w:div>
    <w:div w:id="733086100">
      <w:bodyDiv w:val="1"/>
      <w:marLeft w:val="0"/>
      <w:marRight w:val="0"/>
      <w:marTop w:val="0"/>
      <w:marBottom w:val="0"/>
      <w:divBdr>
        <w:top w:val="none" w:sz="0" w:space="0" w:color="auto"/>
        <w:left w:val="none" w:sz="0" w:space="0" w:color="auto"/>
        <w:bottom w:val="none" w:sz="0" w:space="0" w:color="auto"/>
        <w:right w:val="none" w:sz="0" w:space="0" w:color="auto"/>
      </w:divBdr>
    </w:div>
    <w:div w:id="747651309">
      <w:bodyDiv w:val="1"/>
      <w:marLeft w:val="0"/>
      <w:marRight w:val="0"/>
      <w:marTop w:val="0"/>
      <w:marBottom w:val="0"/>
      <w:divBdr>
        <w:top w:val="none" w:sz="0" w:space="0" w:color="auto"/>
        <w:left w:val="none" w:sz="0" w:space="0" w:color="auto"/>
        <w:bottom w:val="none" w:sz="0" w:space="0" w:color="auto"/>
        <w:right w:val="none" w:sz="0" w:space="0" w:color="auto"/>
      </w:divBdr>
    </w:div>
    <w:div w:id="807363226">
      <w:bodyDiv w:val="1"/>
      <w:marLeft w:val="0"/>
      <w:marRight w:val="0"/>
      <w:marTop w:val="0"/>
      <w:marBottom w:val="0"/>
      <w:divBdr>
        <w:top w:val="none" w:sz="0" w:space="0" w:color="auto"/>
        <w:left w:val="none" w:sz="0" w:space="0" w:color="auto"/>
        <w:bottom w:val="none" w:sz="0" w:space="0" w:color="auto"/>
        <w:right w:val="none" w:sz="0" w:space="0" w:color="auto"/>
      </w:divBdr>
    </w:div>
    <w:div w:id="809246207">
      <w:bodyDiv w:val="1"/>
      <w:marLeft w:val="0"/>
      <w:marRight w:val="0"/>
      <w:marTop w:val="0"/>
      <w:marBottom w:val="0"/>
      <w:divBdr>
        <w:top w:val="none" w:sz="0" w:space="0" w:color="auto"/>
        <w:left w:val="none" w:sz="0" w:space="0" w:color="auto"/>
        <w:bottom w:val="none" w:sz="0" w:space="0" w:color="auto"/>
        <w:right w:val="none" w:sz="0" w:space="0" w:color="auto"/>
      </w:divBdr>
    </w:div>
    <w:div w:id="910623638">
      <w:bodyDiv w:val="1"/>
      <w:marLeft w:val="0"/>
      <w:marRight w:val="0"/>
      <w:marTop w:val="0"/>
      <w:marBottom w:val="0"/>
      <w:divBdr>
        <w:top w:val="none" w:sz="0" w:space="0" w:color="auto"/>
        <w:left w:val="none" w:sz="0" w:space="0" w:color="auto"/>
        <w:bottom w:val="none" w:sz="0" w:space="0" w:color="auto"/>
        <w:right w:val="none" w:sz="0" w:space="0" w:color="auto"/>
      </w:divBdr>
    </w:div>
    <w:div w:id="1203985074">
      <w:bodyDiv w:val="1"/>
      <w:marLeft w:val="0"/>
      <w:marRight w:val="0"/>
      <w:marTop w:val="0"/>
      <w:marBottom w:val="0"/>
      <w:divBdr>
        <w:top w:val="none" w:sz="0" w:space="0" w:color="auto"/>
        <w:left w:val="none" w:sz="0" w:space="0" w:color="auto"/>
        <w:bottom w:val="none" w:sz="0" w:space="0" w:color="auto"/>
        <w:right w:val="none" w:sz="0" w:space="0" w:color="auto"/>
      </w:divBdr>
    </w:div>
    <w:div w:id="1217397614">
      <w:bodyDiv w:val="1"/>
      <w:marLeft w:val="0"/>
      <w:marRight w:val="0"/>
      <w:marTop w:val="0"/>
      <w:marBottom w:val="0"/>
      <w:divBdr>
        <w:top w:val="none" w:sz="0" w:space="0" w:color="auto"/>
        <w:left w:val="none" w:sz="0" w:space="0" w:color="auto"/>
        <w:bottom w:val="none" w:sz="0" w:space="0" w:color="auto"/>
        <w:right w:val="none" w:sz="0" w:space="0" w:color="auto"/>
      </w:divBdr>
    </w:div>
    <w:div w:id="1395735133">
      <w:bodyDiv w:val="1"/>
      <w:marLeft w:val="0"/>
      <w:marRight w:val="0"/>
      <w:marTop w:val="0"/>
      <w:marBottom w:val="0"/>
      <w:divBdr>
        <w:top w:val="none" w:sz="0" w:space="0" w:color="auto"/>
        <w:left w:val="none" w:sz="0" w:space="0" w:color="auto"/>
        <w:bottom w:val="none" w:sz="0" w:space="0" w:color="auto"/>
        <w:right w:val="none" w:sz="0" w:space="0" w:color="auto"/>
      </w:divBdr>
    </w:div>
    <w:div w:id="1448547642">
      <w:bodyDiv w:val="1"/>
      <w:marLeft w:val="0"/>
      <w:marRight w:val="0"/>
      <w:marTop w:val="0"/>
      <w:marBottom w:val="0"/>
      <w:divBdr>
        <w:top w:val="none" w:sz="0" w:space="0" w:color="auto"/>
        <w:left w:val="none" w:sz="0" w:space="0" w:color="auto"/>
        <w:bottom w:val="none" w:sz="0" w:space="0" w:color="auto"/>
        <w:right w:val="none" w:sz="0" w:space="0" w:color="auto"/>
      </w:divBdr>
    </w:div>
    <w:div w:id="1453740998">
      <w:bodyDiv w:val="1"/>
      <w:marLeft w:val="0"/>
      <w:marRight w:val="0"/>
      <w:marTop w:val="0"/>
      <w:marBottom w:val="0"/>
      <w:divBdr>
        <w:top w:val="none" w:sz="0" w:space="0" w:color="auto"/>
        <w:left w:val="none" w:sz="0" w:space="0" w:color="auto"/>
        <w:bottom w:val="none" w:sz="0" w:space="0" w:color="auto"/>
        <w:right w:val="none" w:sz="0" w:space="0" w:color="auto"/>
      </w:divBdr>
    </w:div>
    <w:div w:id="1496147028">
      <w:bodyDiv w:val="1"/>
      <w:marLeft w:val="0"/>
      <w:marRight w:val="0"/>
      <w:marTop w:val="0"/>
      <w:marBottom w:val="0"/>
      <w:divBdr>
        <w:top w:val="none" w:sz="0" w:space="0" w:color="auto"/>
        <w:left w:val="none" w:sz="0" w:space="0" w:color="auto"/>
        <w:bottom w:val="none" w:sz="0" w:space="0" w:color="auto"/>
        <w:right w:val="none" w:sz="0" w:space="0" w:color="auto"/>
      </w:divBdr>
    </w:div>
    <w:div w:id="1552035569">
      <w:bodyDiv w:val="1"/>
      <w:marLeft w:val="0"/>
      <w:marRight w:val="0"/>
      <w:marTop w:val="0"/>
      <w:marBottom w:val="0"/>
      <w:divBdr>
        <w:top w:val="none" w:sz="0" w:space="0" w:color="auto"/>
        <w:left w:val="none" w:sz="0" w:space="0" w:color="auto"/>
        <w:bottom w:val="none" w:sz="0" w:space="0" w:color="auto"/>
        <w:right w:val="none" w:sz="0" w:space="0" w:color="auto"/>
      </w:divBdr>
    </w:div>
    <w:div w:id="1573008747">
      <w:bodyDiv w:val="1"/>
      <w:marLeft w:val="0"/>
      <w:marRight w:val="0"/>
      <w:marTop w:val="0"/>
      <w:marBottom w:val="0"/>
      <w:divBdr>
        <w:top w:val="none" w:sz="0" w:space="0" w:color="auto"/>
        <w:left w:val="none" w:sz="0" w:space="0" w:color="auto"/>
        <w:bottom w:val="none" w:sz="0" w:space="0" w:color="auto"/>
        <w:right w:val="none" w:sz="0" w:space="0" w:color="auto"/>
      </w:divBdr>
    </w:div>
    <w:div w:id="1698237555">
      <w:bodyDiv w:val="1"/>
      <w:marLeft w:val="0"/>
      <w:marRight w:val="0"/>
      <w:marTop w:val="0"/>
      <w:marBottom w:val="0"/>
      <w:divBdr>
        <w:top w:val="none" w:sz="0" w:space="0" w:color="auto"/>
        <w:left w:val="none" w:sz="0" w:space="0" w:color="auto"/>
        <w:bottom w:val="none" w:sz="0" w:space="0" w:color="auto"/>
        <w:right w:val="none" w:sz="0" w:space="0" w:color="auto"/>
      </w:divBdr>
    </w:div>
    <w:div w:id="1732195725">
      <w:bodyDiv w:val="1"/>
      <w:marLeft w:val="0"/>
      <w:marRight w:val="0"/>
      <w:marTop w:val="0"/>
      <w:marBottom w:val="0"/>
      <w:divBdr>
        <w:top w:val="none" w:sz="0" w:space="0" w:color="auto"/>
        <w:left w:val="none" w:sz="0" w:space="0" w:color="auto"/>
        <w:bottom w:val="none" w:sz="0" w:space="0" w:color="auto"/>
        <w:right w:val="none" w:sz="0" w:space="0" w:color="auto"/>
      </w:divBdr>
    </w:div>
    <w:div w:id="1872835700">
      <w:bodyDiv w:val="1"/>
      <w:marLeft w:val="0"/>
      <w:marRight w:val="0"/>
      <w:marTop w:val="0"/>
      <w:marBottom w:val="0"/>
      <w:divBdr>
        <w:top w:val="none" w:sz="0" w:space="0" w:color="auto"/>
        <w:left w:val="none" w:sz="0" w:space="0" w:color="auto"/>
        <w:bottom w:val="none" w:sz="0" w:space="0" w:color="auto"/>
        <w:right w:val="none" w:sz="0" w:space="0" w:color="auto"/>
      </w:divBdr>
    </w:div>
    <w:div w:id="1905603682">
      <w:bodyDiv w:val="1"/>
      <w:marLeft w:val="0"/>
      <w:marRight w:val="0"/>
      <w:marTop w:val="0"/>
      <w:marBottom w:val="0"/>
      <w:divBdr>
        <w:top w:val="none" w:sz="0" w:space="0" w:color="auto"/>
        <w:left w:val="none" w:sz="0" w:space="0" w:color="auto"/>
        <w:bottom w:val="none" w:sz="0" w:space="0" w:color="auto"/>
        <w:right w:val="none" w:sz="0" w:space="0" w:color="auto"/>
      </w:divBdr>
    </w:div>
    <w:div w:id="1916668573">
      <w:bodyDiv w:val="1"/>
      <w:marLeft w:val="0"/>
      <w:marRight w:val="0"/>
      <w:marTop w:val="0"/>
      <w:marBottom w:val="0"/>
      <w:divBdr>
        <w:top w:val="none" w:sz="0" w:space="0" w:color="auto"/>
        <w:left w:val="none" w:sz="0" w:space="0" w:color="auto"/>
        <w:bottom w:val="none" w:sz="0" w:space="0" w:color="auto"/>
        <w:right w:val="none" w:sz="0" w:space="0" w:color="auto"/>
      </w:divBdr>
    </w:div>
    <w:div w:id="1924947660">
      <w:bodyDiv w:val="1"/>
      <w:marLeft w:val="0"/>
      <w:marRight w:val="0"/>
      <w:marTop w:val="0"/>
      <w:marBottom w:val="0"/>
      <w:divBdr>
        <w:top w:val="none" w:sz="0" w:space="0" w:color="auto"/>
        <w:left w:val="none" w:sz="0" w:space="0" w:color="auto"/>
        <w:bottom w:val="none" w:sz="0" w:space="0" w:color="auto"/>
        <w:right w:val="none" w:sz="0" w:space="0" w:color="auto"/>
      </w:divBdr>
    </w:div>
    <w:div w:id="1980114818">
      <w:bodyDiv w:val="1"/>
      <w:marLeft w:val="0"/>
      <w:marRight w:val="0"/>
      <w:marTop w:val="0"/>
      <w:marBottom w:val="0"/>
      <w:divBdr>
        <w:top w:val="none" w:sz="0" w:space="0" w:color="auto"/>
        <w:left w:val="none" w:sz="0" w:space="0" w:color="auto"/>
        <w:bottom w:val="none" w:sz="0" w:space="0" w:color="auto"/>
        <w:right w:val="none" w:sz="0" w:space="0" w:color="auto"/>
      </w:divBdr>
    </w:div>
    <w:div w:id="2051104991">
      <w:bodyDiv w:val="1"/>
      <w:marLeft w:val="0"/>
      <w:marRight w:val="0"/>
      <w:marTop w:val="0"/>
      <w:marBottom w:val="0"/>
      <w:divBdr>
        <w:top w:val="none" w:sz="0" w:space="0" w:color="auto"/>
        <w:left w:val="none" w:sz="0" w:space="0" w:color="auto"/>
        <w:bottom w:val="none" w:sz="0" w:space="0" w:color="auto"/>
        <w:right w:val="none" w:sz="0" w:space="0" w:color="auto"/>
      </w:divBdr>
    </w:div>
    <w:div w:id="2081293382">
      <w:bodyDiv w:val="1"/>
      <w:marLeft w:val="0"/>
      <w:marRight w:val="0"/>
      <w:marTop w:val="0"/>
      <w:marBottom w:val="0"/>
      <w:divBdr>
        <w:top w:val="none" w:sz="0" w:space="0" w:color="auto"/>
        <w:left w:val="none" w:sz="0" w:space="0" w:color="auto"/>
        <w:bottom w:val="none" w:sz="0" w:space="0" w:color="auto"/>
        <w:right w:val="none" w:sz="0" w:space="0" w:color="auto"/>
      </w:divBdr>
    </w:div>
    <w:div w:id="21311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10" Type="http://schemas.openxmlformats.org/officeDocument/2006/relationships/hyperlink" Target="mailto:ccrm@ccrm.md"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2.xml"/><Relationship Id="rId22"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_certan\Desktop\Asisten&#539;a%20garantat&#259;%20de%20stat\RAPORTARE\Exccel%20raport\tabel%20buget%20remis%20CNAJGS%20lucrat%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ro-MD" sz="1200" b="1">
                <a:solidFill>
                  <a:schemeClr val="accent5">
                    <a:lumMod val="50000"/>
                  </a:schemeClr>
                </a:solidFill>
              </a:rPr>
              <a:t>Evoluția numărului</a:t>
            </a:r>
            <a:r>
              <a:rPr lang="ro-MD" sz="1200" b="1" baseline="0">
                <a:solidFill>
                  <a:schemeClr val="accent5">
                    <a:lumMod val="50000"/>
                  </a:schemeClr>
                </a:solidFill>
              </a:rPr>
              <a:t> de cazuri de AJGS comparativ cu mijloacele bugetare executate</a:t>
            </a:r>
            <a:endParaRPr lang="en-US"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2.6539278131634821E-2"/>
          <c:y val="0.29704379057880925"/>
          <c:w val="0.94161358811040341"/>
          <c:h val="0.54397438258814146"/>
        </c:manualLayout>
      </c:layout>
      <c:lineChart>
        <c:grouping val="standard"/>
        <c:varyColors val="0"/>
        <c:ser>
          <c:idx val="0"/>
          <c:order val="0"/>
          <c:tx>
            <c:strRef>
              <c:f>Лист1!$B$3</c:f>
              <c:strCache>
                <c:ptCount val="1"/>
                <c:pt idx="0">
                  <c:v>Nr. de cazuri de acordare a AJGS</c:v>
                </c:pt>
              </c:strCache>
            </c:strRef>
          </c:tx>
          <c:spPr>
            <a:ln w="28575" cap="rnd">
              <a:solidFill>
                <a:schemeClr val="accent1">
                  <a:lumMod val="75000"/>
                </a:schemeClr>
              </a:solidFill>
              <a:round/>
            </a:ln>
            <a:effectLst/>
          </c:spPr>
          <c:marker>
            <c:symbol val="none"/>
          </c:marker>
          <c:dLbls>
            <c:dLbl>
              <c:idx val="0"/>
              <c:tx>
                <c:rich>
                  <a:bodyPr/>
                  <a:lstStyle/>
                  <a:p>
                    <a:fld id="{3D201B1E-2382-42BC-A8C4-890CD75AABCB}" type="VALUE">
                      <a:rPr lang="en-US"/>
                      <a:pPr/>
                      <a:t>[VALUE]</a:t>
                    </a:fld>
                    <a:r>
                      <a:rPr lang="en-US"/>
                      <a:t> cazuri</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BBD-4FDA-98B4-78DAEB3D8755}"/>
                </c:ext>
              </c:extLst>
            </c:dLbl>
            <c:dLbl>
              <c:idx val="1"/>
              <c:layout>
                <c:manualLayout>
                  <c:x val="-4.8943588248050278E-2"/>
                  <c:y val="-6.3852435112277631E-2"/>
                </c:manualLayout>
              </c:layout>
              <c:tx>
                <c:rich>
                  <a:bodyPr/>
                  <a:lstStyle/>
                  <a:p>
                    <a:fld id="{EE2DF5F1-DA56-407B-A723-8A4B4A264EF1}" type="VALUE">
                      <a:rPr lang="en-US"/>
                      <a:pPr/>
                      <a:t>[VALUE]</a:t>
                    </a:fld>
                    <a:r>
                      <a:rPr lang="en-US"/>
                      <a:t> cazuri</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BBD-4FDA-98B4-78DAEB3D8755}"/>
                </c:ext>
              </c:extLst>
            </c:dLbl>
            <c:dLbl>
              <c:idx val="2"/>
              <c:tx>
                <c:rich>
                  <a:bodyPr/>
                  <a:lstStyle/>
                  <a:p>
                    <a:fld id="{77835CAB-A9C1-4D6E-8E98-FCF6BD756837}" type="VALUE">
                      <a:rPr lang="en-US"/>
                      <a:pPr/>
                      <a:t>[VALUE]</a:t>
                    </a:fld>
                    <a:r>
                      <a:rPr lang="en-US"/>
                      <a:t> cazuri</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BBD-4FDA-98B4-78DAEB3D8755}"/>
                </c:ext>
              </c:extLst>
            </c:dLbl>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2020</c:v>
                </c:pt>
                <c:pt idx="1">
                  <c:v>2021</c:v>
                </c:pt>
                <c:pt idx="2">
                  <c:v>2022</c:v>
                </c:pt>
              </c:numCache>
            </c:numRef>
          </c:cat>
          <c:val>
            <c:numRef>
              <c:f>Лист1!$B$4:$B$6</c:f>
              <c:numCache>
                <c:formatCode>General</c:formatCode>
                <c:ptCount val="3"/>
                <c:pt idx="0">
                  <c:v>56784</c:v>
                </c:pt>
                <c:pt idx="1">
                  <c:v>61354</c:v>
                </c:pt>
                <c:pt idx="2">
                  <c:v>63976</c:v>
                </c:pt>
              </c:numCache>
            </c:numRef>
          </c:val>
          <c:smooth val="0"/>
          <c:extLst>
            <c:ext xmlns:c16="http://schemas.microsoft.com/office/drawing/2014/chart" uri="{C3380CC4-5D6E-409C-BE32-E72D297353CC}">
              <c16:uniqueId val="{00000000-FBBD-4FDA-98B4-78DAEB3D8755}"/>
            </c:ext>
          </c:extLst>
        </c:ser>
        <c:ser>
          <c:idx val="1"/>
          <c:order val="1"/>
          <c:tx>
            <c:strRef>
              <c:f>Лист1!$C$3</c:f>
              <c:strCache>
                <c:ptCount val="1"/>
                <c:pt idx="0">
                  <c:v>Mijloace bugetare executate, mii.lei</c:v>
                </c:pt>
              </c:strCache>
            </c:strRef>
          </c:tx>
          <c:spPr>
            <a:ln w="28575" cap="rnd">
              <a:solidFill>
                <a:srgbClr val="FF0000"/>
              </a:solidFill>
              <a:round/>
            </a:ln>
            <a:effectLst/>
          </c:spPr>
          <c:marker>
            <c:symbol val="none"/>
          </c:marker>
          <c:dLbls>
            <c:dLbl>
              <c:idx val="0"/>
              <c:layout>
                <c:manualLayout>
                  <c:x val="-9.5794355833725919E-2"/>
                  <c:y val="8.5043207318383357E-2"/>
                </c:manualLayout>
              </c:layout>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en-US" sz="1000" b="1"/>
                      <a:t>54,2 mil. lei</a:t>
                    </a:r>
                  </a:p>
                </c:rich>
              </c:tx>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BD-4FDA-98B4-78DAEB3D8755}"/>
                </c:ext>
              </c:extLst>
            </c:dLbl>
            <c:dLbl>
              <c:idx val="1"/>
              <c:layout>
                <c:manualLayout>
                  <c:x val="-9.0182904487366516E-2"/>
                  <c:y val="-9.0119491642492056E-2"/>
                </c:manualLayout>
              </c:layout>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en-US" sz="1000" b="1"/>
                      <a:t>80,0 mil. lei</a:t>
                    </a:r>
                  </a:p>
                </c:rich>
              </c:tx>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BD-4FDA-98B4-78DAEB3D8755}"/>
                </c:ext>
              </c:extLst>
            </c:dLbl>
            <c:dLbl>
              <c:idx val="2"/>
              <c:tx>
                <c:rich>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r>
                      <a:rPr lang="en-US" sz="1000" b="1"/>
                      <a:t>92,7 mil. lei</a:t>
                    </a:r>
                  </a:p>
                </c:rich>
              </c:tx>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rgbClr val="FF0000"/>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BD-4FDA-98B4-78DAEB3D8755}"/>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rgbClr val="FF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Лист1!$A$4:$A$6</c:f>
              <c:numCache>
                <c:formatCode>General</c:formatCode>
                <c:ptCount val="3"/>
                <c:pt idx="0">
                  <c:v>2020</c:v>
                </c:pt>
                <c:pt idx="1">
                  <c:v>2021</c:v>
                </c:pt>
                <c:pt idx="2">
                  <c:v>2022</c:v>
                </c:pt>
              </c:numCache>
            </c:numRef>
          </c:cat>
          <c:val>
            <c:numRef>
              <c:f>Лист1!$C$4:$C$6</c:f>
              <c:numCache>
                <c:formatCode>General</c:formatCode>
                <c:ptCount val="3"/>
                <c:pt idx="0" formatCode="0.0">
                  <c:v>54166</c:v>
                </c:pt>
                <c:pt idx="1">
                  <c:v>80018.600000000006</c:v>
                </c:pt>
                <c:pt idx="2">
                  <c:v>92705.35</c:v>
                </c:pt>
              </c:numCache>
            </c:numRef>
          </c:val>
          <c:smooth val="0"/>
          <c:extLst>
            <c:ext xmlns:c16="http://schemas.microsoft.com/office/drawing/2014/chart" uri="{C3380CC4-5D6E-409C-BE32-E72D297353CC}">
              <c16:uniqueId val="{00000002-FBBD-4FDA-98B4-78DAEB3D8755}"/>
            </c:ext>
          </c:extLst>
        </c:ser>
        <c:dLbls>
          <c:dLblPos val="t"/>
          <c:showLegendKey val="0"/>
          <c:showVal val="1"/>
          <c:showCatName val="0"/>
          <c:showSerName val="0"/>
          <c:showPercent val="0"/>
          <c:showBubbleSize val="0"/>
        </c:dLbls>
        <c:smooth val="0"/>
        <c:axId val="290405400"/>
        <c:axId val="290400304"/>
      </c:lineChart>
      <c:catAx>
        <c:axId val="29040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00304"/>
        <c:crosses val="autoZero"/>
        <c:auto val="1"/>
        <c:lblAlgn val="ctr"/>
        <c:lblOffset val="100"/>
        <c:noMultiLvlLbl val="0"/>
      </c:catAx>
      <c:valAx>
        <c:axId val="290400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0405400"/>
        <c:crosses val="autoZero"/>
        <c:crossBetween val="between"/>
      </c:valAx>
      <c:spPr>
        <a:noFill/>
        <a:ln>
          <a:noFill/>
        </a:ln>
        <a:effectLst/>
      </c:spPr>
    </c:plotArea>
    <c:legend>
      <c:legendPos val="b"/>
      <c:layout>
        <c:manualLayout>
          <c:xMode val="edge"/>
          <c:yMode val="edge"/>
          <c:x val="7.6173437721994142E-2"/>
          <c:y val="0.91776258230879038"/>
          <c:w val="0.75743451406181073"/>
          <c:h val="8.22374176912096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r>
              <a:rPr lang="ro-MD" b="1" i="1"/>
              <a:t>Valoarea mijloacelor</a:t>
            </a:r>
            <a:r>
              <a:rPr lang="ro-MD" b="1" i="1" baseline="0"/>
              <a:t> bugetare executate în scopul finanțării AJGS, per-an 2020-2022 </a:t>
            </a:r>
            <a:endParaRPr lang="en-US" b="1" i="1"/>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464720194647202E-2"/>
          <c:y val="0.13860239162929747"/>
          <c:w val="0.94647201946472015"/>
          <c:h val="0.68922501559502369"/>
        </c:manualLayout>
      </c:layout>
      <c:bar3DChart>
        <c:barDir val="bar"/>
        <c:grouping val="clustered"/>
        <c:varyColors val="0"/>
        <c:ser>
          <c:idx val="0"/>
          <c:order val="0"/>
          <c:tx>
            <c:strRef>
              <c:f>Sheet1!$A$19</c:f>
              <c:strCache>
                <c:ptCount val="1"/>
                <c:pt idx="0">
                  <c:v>Remunerarea avocaților </c:v>
                </c:pt>
              </c:strCache>
            </c:strRef>
          </c:tx>
          <c:spPr>
            <a:solidFill>
              <a:srgbClr val="92D050"/>
            </a:solidFill>
            <a:ln>
              <a:noFill/>
            </a:ln>
            <a:effectLst/>
            <a:sp3d/>
          </c:spPr>
          <c:invertIfNegative val="0"/>
          <c:dPt>
            <c:idx val="0"/>
            <c:invertIfNegative val="0"/>
            <c:bubble3D val="0"/>
            <c:spPr>
              <a:solidFill>
                <a:srgbClr val="7DEC74"/>
              </a:solidFill>
              <a:ln>
                <a:noFill/>
              </a:ln>
              <a:effectLst/>
              <a:sp3d/>
            </c:spPr>
            <c:extLst>
              <c:ext xmlns:c16="http://schemas.microsoft.com/office/drawing/2014/chart" uri="{C3380CC4-5D6E-409C-BE32-E72D297353CC}">
                <c16:uniqueId val="{00000001-6A75-4E03-A2B7-F22758FEAAF8}"/>
              </c:ext>
            </c:extLst>
          </c:dPt>
          <c:dPt>
            <c:idx val="1"/>
            <c:invertIfNegative val="0"/>
            <c:bubble3D val="0"/>
            <c:spPr>
              <a:solidFill>
                <a:srgbClr val="7DEC74"/>
              </a:solidFill>
              <a:ln>
                <a:noFill/>
              </a:ln>
              <a:effectLst/>
              <a:sp3d/>
            </c:spPr>
            <c:extLst>
              <c:ext xmlns:c16="http://schemas.microsoft.com/office/drawing/2014/chart" uri="{C3380CC4-5D6E-409C-BE32-E72D297353CC}">
                <c16:uniqueId val="{00000003-6A75-4E03-A2B7-F22758FEAAF8}"/>
              </c:ext>
            </c:extLst>
          </c:dPt>
          <c:dPt>
            <c:idx val="2"/>
            <c:invertIfNegative val="0"/>
            <c:bubble3D val="0"/>
            <c:spPr>
              <a:solidFill>
                <a:srgbClr val="7DEC74"/>
              </a:solidFill>
              <a:ln>
                <a:noFill/>
              </a:ln>
              <a:effectLst/>
              <a:sp3d/>
            </c:spPr>
            <c:extLst>
              <c:ext xmlns:c16="http://schemas.microsoft.com/office/drawing/2014/chart" uri="{C3380CC4-5D6E-409C-BE32-E72D297353CC}">
                <c16:uniqueId val="{00000005-6A75-4E03-A2B7-F22758FEAAF8}"/>
              </c:ext>
            </c:extLst>
          </c:dPt>
          <c:dLbls>
            <c:dLbl>
              <c:idx val="0"/>
              <c:layout>
                <c:manualLayout>
                  <c:x val="-0.16788321167883211"/>
                  <c:y val="-7.8475336322870098E-2"/>
                </c:manualLayout>
              </c:layout>
              <c:tx>
                <c:rich>
                  <a:bodyPr/>
                  <a:lstStyle/>
                  <a:p>
                    <a:fld id="{BF3871C2-200A-456F-A00F-E7CB53A099B7}" type="VALUE">
                      <a:rPr lang="en-US"/>
                      <a:pPr/>
                      <a:t>[VALUE]</a:t>
                    </a:fld>
                    <a:r>
                      <a:rPr lang="en-US"/>
                      <a:t> </a:t>
                    </a:r>
                    <a:r>
                      <a:rPr lang="en-US" sz="1000" b="0" i="1" u="none" strike="noStrike" kern="1200" baseline="0">
                        <a:solidFill>
                          <a:srgbClr val="00B050"/>
                        </a:solidFill>
                      </a:rPr>
                      <a:t>(92%)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75-4E03-A2B7-F22758FEAAF8}"/>
                </c:ext>
              </c:extLst>
            </c:dLbl>
            <c:dLbl>
              <c:idx val="1"/>
              <c:layout>
                <c:manualLayout>
                  <c:x val="-0.18353382326087084"/>
                  <c:y val="-8.1352899069434589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B050"/>
                        </a:solidFill>
                        <a:latin typeface="+mn-lt"/>
                        <a:ea typeface="+mn-ea"/>
                        <a:cs typeface="+mn-cs"/>
                      </a:defRPr>
                    </a:pPr>
                    <a:fld id="{F90B73FF-C530-463E-869B-08FD03845B9F}"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a:solidFill>
                            <a:srgbClr val="00B050"/>
                          </a:solidFill>
                        </a:defRPr>
                      </a:pPr>
                      <a:t>[VALUE]</a:t>
                    </a:fld>
                    <a:r>
                      <a:rPr lang="en-US"/>
                      <a:t> </a:t>
                    </a:r>
                    <a:r>
                      <a:rPr lang="en-US" sz="1000" b="0" i="1" u="none" strike="noStrike" kern="1200" baseline="0">
                        <a:solidFill>
                          <a:srgbClr val="00B050"/>
                        </a:solidFill>
                      </a:rPr>
                      <a:t>(92%)</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75-4E03-A2B7-F22758FEAAF8}"/>
                </c:ext>
              </c:extLst>
            </c:dLbl>
            <c:dLbl>
              <c:idx val="2"/>
              <c:layout>
                <c:manualLayout>
                  <c:x val="2.4330900243308914E-2"/>
                  <c:y val="-1.1210762331838599E-2"/>
                </c:manualLayout>
              </c:layout>
              <c:tx>
                <c:rich>
                  <a:bodyPr/>
                  <a:lstStyle/>
                  <a:p>
                    <a:fld id="{F179EA2F-2F59-429D-B5D5-B7B7F66C5451}" type="VALUE">
                      <a:rPr lang="en-US"/>
                      <a:pPr/>
                      <a:t>[VALUE]</a:t>
                    </a:fld>
                    <a:r>
                      <a:rPr lang="en-US"/>
                      <a:t> </a:t>
                    </a:r>
                    <a:r>
                      <a:rPr lang="en-US" b="0" i="1">
                        <a:solidFill>
                          <a:srgbClr val="00B050"/>
                        </a:solidFill>
                      </a:rPr>
                      <a:t>(89%)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75-4E03-A2B7-F22758FEAA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Sheet1!$B$19:$D$19</c:f>
              <c:numCache>
                <c:formatCode>#,##0.00</c:formatCode>
                <c:ptCount val="3"/>
                <c:pt idx="0">
                  <c:v>85284.94</c:v>
                </c:pt>
                <c:pt idx="1">
                  <c:v>73522.7</c:v>
                </c:pt>
                <c:pt idx="2">
                  <c:v>48279.4</c:v>
                </c:pt>
              </c:numCache>
            </c:numRef>
          </c:val>
          <c:extLst>
            <c:ext xmlns:c16="http://schemas.microsoft.com/office/drawing/2014/chart" uri="{C3380CC4-5D6E-409C-BE32-E72D297353CC}">
              <c16:uniqueId val="{00000006-6A75-4E03-A2B7-F22758FEAAF8}"/>
            </c:ext>
          </c:extLst>
        </c:ser>
        <c:ser>
          <c:idx val="1"/>
          <c:order val="1"/>
          <c:tx>
            <c:strRef>
              <c:f>Sheet1!$A$20</c:f>
              <c:strCache>
                <c:ptCount val="1"/>
                <c:pt idx="0">
                  <c:v>Administrarea sistemului</c:v>
                </c:pt>
              </c:strCache>
            </c:strRef>
          </c:tx>
          <c:spPr>
            <a:solidFill>
              <a:srgbClr val="F886FE"/>
            </a:solidFill>
            <a:ln>
              <a:noFill/>
            </a:ln>
            <a:effectLst/>
            <a:sp3d/>
          </c:spPr>
          <c:invertIfNegative val="0"/>
          <c:dLbls>
            <c:dLbl>
              <c:idx val="0"/>
              <c:layout>
                <c:manualLayout>
                  <c:x val="0.14921348201144627"/>
                  <c:y val="-4.4658722472525239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fld id="{D8F89319-77D7-466A-AAF2-3142E44288EA}" type="VALUE">
                      <a:rPr lang="en-US" sz="1000" b="1">
                        <a:solidFill>
                          <a:srgbClr val="B201BB"/>
                        </a:solidFill>
                      </a:rPr>
                      <a:pPr marL="0" marR="0" lvl="0" indent="0" algn="ctr" defTabSz="914400" rtl="0" eaLnBrk="1" fontAlgn="auto" latinLnBrk="0" hangingPunct="1">
                        <a:lnSpc>
                          <a:spcPct val="100000"/>
                        </a:lnSpc>
                        <a:spcBef>
                          <a:spcPts val="0"/>
                        </a:spcBef>
                        <a:spcAft>
                          <a:spcPts val="0"/>
                        </a:spcAft>
                        <a:buClrTx/>
                        <a:buSzTx/>
                        <a:buFontTx/>
                        <a:buNone/>
                        <a:tabLst/>
                        <a:defRPr sz="1000" b="1">
                          <a:solidFill>
                            <a:srgbClr val="B201BB"/>
                          </a:solidFill>
                        </a:defRPr>
                      </a:pPr>
                      <a:t>[VALUE]</a:t>
                    </a:fld>
                    <a:r>
                      <a:rPr lang="en-US" sz="1000" b="1">
                        <a:solidFill>
                          <a:srgbClr val="B201BB"/>
                        </a:solidFill>
                      </a:rPr>
                      <a:t> </a:t>
                    </a:r>
                    <a:r>
                      <a:rPr lang="en-US" sz="1000" b="0" i="1" u="none" strike="noStrike" kern="1200" baseline="0">
                        <a:solidFill>
                          <a:srgbClr val="B201BB"/>
                        </a:solidFill>
                      </a:rPr>
                      <a:t>(6%)</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A75-4E03-A2B7-F22758FEAAF8}"/>
                </c:ext>
              </c:extLst>
            </c:dLbl>
            <c:dLbl>
              <c:idx val="1"/>
              <c:layout>
                <c:manualLayout>
                  <c:x val="0.12195021790919927"/>
                  <c:y val="-3.600061355966868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fld id="{546BDEDD-5044-4A15-AC58-F27ABF821D1B}" type="VALUE">
                      <a:rPr lang="en-US" sz="1000" b="1">
                        <a:solidFill>
                          <a:srgbClr val="B201BB"/>
                        </a:solidFill>
                      </a:rPr>
                      <a:pPr marL="0" marR="0" lvl="0" indent="0" algn="ctr" defTabSz="914400" rtl="0" eaLnBrk="1" fontAlgn="auto" latinLnBrk="0" hangingPunct="1">
                        <a:lnSpc>
                          <a:spcPct val="100000"/>
                        </a:lnSpc>
                        <a:spcBef>
                          <a:spcPts val="0"/>
                        </a:spcBef>
                        <a:spcAft>
                          <a:spcPts val="0"/>
                        </a:spcAft>
                        <a:buClrTx/>
                        <a:buSzTx/>
                        <a:buFontTx/>
                        <a:buNone/>
                        <a:tabLst/>
                        <a:defRPr sz="1000" b="1">
                          <a:solidFill>
                            <a:srgbClr val="B201BB"/>
                          </a:solidFill>
                        </a:defRPr>
                      </a:pPr>
                      <a:t>[VALUE]</a:t>
                    </a:fld>
                    <a:r>
                      <a:rPr lang="en-US" sz="1000" b="1">
                        <a:solidFill>
                          <a:srgbClr val="B201BB"/>
                        </a:solidFill>
                      </a:rPr>
                      <a:t> </a:t>
                    </a:r>
                    <a:r>
                      <a:rPr lang="en-US" sz="1000" b="0" i="1" u="none" strike="noStrike" kern="1200" baseline="0">
                        <a:solidFill>
                          <a:srgbClr val="B201BB"/>
                        </a:solidFill>
                      </a:rPr>
                      <a:t>(6%)</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B201BB"/>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6A75-4E03-A2B7-F22758FEAAF8}"/>
                </c:ext>
              </c:extLst>
            </c:dLbl>
            <c:dLbl>
              <c:idx val="2"/>
              <c:layout>
                <c:manualLayout>
                  <c:x val="7.7039800932225524E-2"/>
                  <c:y val="-2.360568565292974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rgbClr val="B201BB"/>
                        </a:solidFill>
                        <a:latin typeface="+mn-lt"/>
                        <a:ea typeface="+mn-ea"/>
                        <a:cs typeface="+mn-cs"/>
                      </a:defRPr>
                    </a:pPr>
                    <a:fld id="{14486AAC-B180-4AFA-9332-79D8095147A2}" type="VALUE">
                      <a:rPr lang="en-US" sz="1000" b="1">
                        <a:solidFill>
                          <a:srgbClr val="B201BB"/>
                        </a:solidFill>
                      </a:rPr>
                      <a:pPr>
                        <a:defRPr sz="1000" b="1">
                          <a:solidFill>
                            <a:srgbClr val="B201BB"/>
                          </a:solidFill>
                        </a:defRPr>
                      </a:pPr>
                      <a:t>[VALUE]</a:t>
                    </a:fld>
                    <a:r>
                      <a:rPr lang="en-US" sz="1000" b="1">
                        <a:solidFill>
                          <a:srgbClr val="B201BB"/>
                        </a:solidFill>
                      </a:rPr>
                      <a:t> </a:t>
                    </a:r>
                    <a:r>
                      <a:rPr lang="en-US" sz="1000" b="0" i="1">
                        <a:solidFill>
                          <a:srgbClr val="B201BB"/>
                        </a:solidFill>
                      </a:rPr>
                      <a:t>(8%)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B201BB"/>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A75-4E03-A2B7-F22758FEAA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Sheet1!$B$20:$D$20</c:f>
              <c:numCache>
                <c:formatCode>#,##0.00</c:formatCode>
                <c:ptCount val="3"/>
                <c:pt idx="0">
                  <c:v>5928.6399999999994</c:v>
                </c:pt>
                <c:pt idx="1">
                  <c:v>5063</c:v>
                </c:pt>
                <c:pt idx="2">
                  <c:v>4585.8</c:v>
                </c:pt>
              </c:numCache>
            </c:numRef>
          </c:val>
          <c:extLst>
            <c:ext xmlns:c16="http://schemas.microsoft.com/office/drawing/2014/chart" uri="{C3380CC4-5D6E-409C-BE32-E72D297353CC}">
              <c16:uniqueId val="{0000000A-6A75-4E03-A2B7-F22758FEAAF8}"/>
            </c:ext>
          </c:extLst>
        </c:ser>
        <c:ser>
          <c:idx val="2"/>
          <c:order val="2"/>
          <c:tx>
            <c:strRef>
              <c:f>Sheet1!$A$21</c:f>
              <c:strCache>
                <c:ptCount val="1"/>
                <c:pt idx="0">
                  <c:v>Remunerarea para-juriștilor </c:v>
                </c:pt>
              </c:strCache>
            </c:strRef>
          </c:tx>
          <c:spPr>
            <a:solidFill>
              <a:srgbClr val="00B0F0"/>
            </a:solidFill>
            <a:ln>
              <a:noFill/>
            </a:ln>
            <a:effectLst/>
            <a:sp3d/>
          </c:spPr>
          <c:invertIfNegative val="0"/>
          <c:dLbls>
            <c:dLbl>
              <c:idx val="0"/>
              <c:layout>
                <c:manualLayout>
                  <c:x val="3.0539601914941782E-2"/>
                  <c:y val="-3.49439274636125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fld id="{C8DBCC3D-890B-466D-8AA8-F548BF10CC10}"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a:solidFill>
                            <a:srgbClr val="0070C0"/>
                          </a:solidFill>
                        </a:defRPr>
                      </a:pPr>
                      <a:t>[VALUE]</a:t>
                    </a:fld>
                    <a:r>
                      <a:rPr lang="en-US"/>
                      <a:t> </a:t>
                    </a:r>
                    <a:r>
                      <a:rPr lang="en-US" sz="1000" b="0" i="1" u="none" strike="noStrike" kern="1200" baseline="0">
                        <a:solidFill>
                          <a:schemeClr val="accent1">
                            <a:lumMod val="75000"/>
                          </a:schemeClr>
                        </a:solidFill>
                      </a:rPr>
                      <a:t>(2%)</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A75-4E03-A2B7-F22758FEAAF8}"/>
                </c:ext>
              </c:extLst>
            </c:dLbl>
            <c:dLbl>
              <c:idx val="1"/>
              <c:layout>
                <c:manualLayout>
                  <c:x val="9.5965881789624001E-3"/>
                  <c:y val="-3.5408528479394623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fld id="{B882BF5C-86D7-41AB-9FB4-C45F179EBD06}" type="VALUE">
                      <a:rPr lang="en-US"/>
                      <a:pPr marL="0" marR="0" lvl="0" indent="0" algn="ctr" defTabSz="914400" rtl="0" eaLnBrk="1" fontAlgn="auto" latinLnBrk="0" hangingPunct="1">
                        <a:lnSpc>
                          <a:spcPct val="100000"/>
                        </a:lnSpc>
                        <a:spcBef>
                          <a:spcPts val="0"/>
                        </a:spcBef>
                        <a:spcAft>
                          <a:spcPts val="0"/>
                        </a:spcAft>
                        <a:buClrTx/>
                        <a:buSzTx/>
                        <a:buFontTx/>
                        <a:buNone/>
                        <a:tabLst/>
                        <a:defRPr sz="1000" b="1">
                          <a:solidFill>
                            <a:srgbClr val="0070C0"/>
                          </a:solidFill>
                        </a:defRPr>
                      </a:pPr>
                      <a:t>[VALUE]</a:t>
                    </a:fld>
                    <a:r>
                      <a:rPr lang="en-US"/>
                      <a:t> </a:t>
                    </a:r>
                    <a:r>
                      <a:rPr lang="en-US" sz="1000" b="0" i="1" u="none" strike="noStrike" kern="1200" baseline="0">
                        <a:solidFill>
                          <a:schemeClr val="accent1">
                            <a:lumMod val="75000"/>
                          </a:schemeClr>
                        </a:solidFill>
                      </a:rPr>
                      <a:t>(2%)</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A75-4E03-A2B7-F22758FEAAF8}"/>
                </c:ext>
              </c:extLst>
            </c:dLbl>
            <c:dLbl>
              <c:idx val="2"/>
              <c:layout>
                <c:manualLayout>
                  <c:x val="9.9601208072780389E-3"/>
                  <c:y val="-3.3632273238572472E-2"/>
                </c:manualLayout>
              </c:layout>
              <c:tx>
                <c:rich>
                  <a:bodyPr/>
                  <a:lstStyle/>
                  <a:p>
                    <a:fld id="{E6B74237-D85B-4D67-BABA-AF0C2EE23DB5}" type="VALUE">
                      <a:rPr lang="en-US"/>
                      <a:pPr/>
                      <a:t>[VALUE]</a:t>
                    </a:fld>
                    <a:r>
                      <a:rPr lang="en-US"/>
                      <a:t> </a:t>
                    </a:r>
                    <a:r>
                      <a:rPr lang="en-US" b="0" i="1">
                        <a:solidFill>
                          <a:schemeClr val="accent1">
                            <a:lumMod val="75000"/>
                          </a:schemeClr>
                        </a:solidFill>
                      </a:rPr>
                      <a:t>(2%)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A75-4E03-A2B7-F22758FEAA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Sheet1!$B$18:$D$18</c:f>
              <c:strCache>
                <c:ptCount val="3"/>
                <c:pt idx="0">
                  <c:v>Anul 2022</c:v>
                </c:pt>
                <c:pt idx="1">
                  <c:v>Anul 2021</c:v>
                </c:pt>
                <c:pt idx="2">
                  <c:v>Anul 2020</c:v>
                </c:pt>
              </c:strCache>
            </c:strRef>
          </c:cat>
          <c:val>
            <c:numRef>
              <c:f>Sheet1!$B$21:$D$21</c:f>
              <c:numCache>
                <c:formatCode>#,##0.00</c:formatCode>
                <c:ptCount val="3"/>
                <c:pt idx="0">
                  <c:v>1491.77</c:v>
                </c:pt>
                <c:pt idx="1">
                  <c:v>1432.9</c:v>
                </c:pt>
                <c:pt idx="2">
                  <c:v>1300.8</c:v>
                </c:pt>
              </c:numCache>
            </c:numRef>
          </c:val>
          <c:extLst>
            <c:ext xmlns:c16="http://schemas.microsoft.com/office/drawing/2014/chart" uri="{C3380CC4-5D6E-409C-BE32-E72D297353CC}">
              <c16:uniqueId val="{0000000E-6A75-4E03-A2B7-F22758FEAAF8}"/>
            </c:ext>
          </c:extLst>
        </c:ser>
        <c:dLbls>
          <c:showLegendKey val="0"/>
          <c:showVal val="1"/>
          <c:showCatName val="0"/>
          <c:showSerName val="0"/>
          <c:showPercent val="0"/>
          <c:showBubbleSize val="0"/>
        </c:dLbls>
        <c:gapWidth val="150"/>
        <c:shape val="box"/>
        <c:axId val="290403440"/>
        <c:axId val="293393136"/>
        <c:axId val="0"/>
      </c:bar3DChart>
      <c:catAx>
        <c:axId val="290403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3393136"/>
        <c:crosses val="autoZero"/>
        <c:auto val="1"/>
        <c:lblAlgn val="ctr"/>
        <c:lblOffset val="100"/>
        <c:noMultiLvlLbl val="0"/>
      </c:catAx>
      <c:valAx>
        <c:axId val="293393136"/>
        <c:scaling>
          <c:orientation val="minMax"/>
        </c:scaling>
        <c:delete val="1"/>
        <c:axPos val="b"/>
        <c:numFmt formatCode="#,##0.00" sourceLinked="1"/>
        <c:majorTickMark val="none"/>
        <c:minorTickMark val="none"/>
        <c:tickLblPos val="nextTo"/>
        <c:crossAx val="29040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0.01385</cdr:x>
      <cdr:y>0.30472</cdr:y>
    </cdr:from>
    <cdr:to>
      <cdr:x>0.09695</cdr:x>
      <cdr:y>0.39056</cdr:y>
    </cdr:to>
    <cdr:sp macro="" textlink="">
      <cdr:nvSpPr>
        <cdr:cNvPr id="2" name="TextBox 1"/>
        <cdr:cNvSpPr txBox="1"/>
      </cdr:nvSpPr>
      <cdr:spPr>
        <a:xfrm xmlns:a="http://schemas.openxmlformats.org/drawingml/2006/main">
          <a:off x="76200" y="1082040"/>
          <a:ext cx="4572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0.86053</cdr:x>
      <cdr:y>0.18235</cdr:y>
    </cdr:from>
    <cdr:to>
      <cdr:x>0.99113</cdr:x>
      <cdr:y>0.36096</cdr:y>
    </cdr:to>
    <cdr:sp macro="" textlink="">
      <cdr:nvSpPr>
        <cdr:cNvPr id="3" name="TextBox 2"/>
        <cdr:cNvSpPr txBox="1"/>
      </cdr:nvSpPr>
      <cdr:spPr>
        <a:xfrm xmlns:a="http://schemas.openxmlformats.org/drawingml/2006/main">
          <a:off x="5113020" y="519670"/>
          <a:ext cx="775985" cy="509030"/>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vertOverflow="clip" wrap="square" rtlCol="0"/>
        <a:lstStyle xmlns:a="http://schemas.openxmlformats.org/drawingml/2006/main"/>
        <a:p xmlns:a="http://schemas.openxmlformats.org/drawingml/2006/main">
          <a:pPr algn="ctr"/>
          <a:r>
            <a:rPr lang="ro-MD" sz="900" b="1"/>
            <a:t>(total</a:t>
          </a:r>
          <a:r>
            <a:rPr lang="ro-MD" sz="900" b="1" baseline="0"/>
            <a:t> - </a:t>
          </a:r>
          <a:r>
            <a:rPr lang="ro-MD" sz="900" b="1"/>
            <a:t>54,166.0)</a:t>
          </a:r>
          <a:endParaRPr lang="en-US" sz="900" b="1"/>
        </a:p>
      </cdr:txBody>
    </cdr:sp>
  </cdr:relSizeAnchor>
  <cdr:relSizeAnchor xmlns:cdr="http://schemas.openxmlformats.org/drawingml/2006/chartDrawing">
    <cdr:from>
      <cdr:x>0.86053</cdr:x>
      <cdr:y>0.4036</cdr:y>
    </cdr:from>
    <cdr:to>
      <cdr:x>0.99241</cdr:x>
      <cdr:y>0.52132</cdr:y>
    </cdr:to>
    <cdr:sp macro="" textlink="">
      <cdr:nvSpPr>
        <cdr:cNvPr id="4" name="TextBox 1"/>
        <cdr:cNvSpPr txBox="1"/>
      </cdr:nvSpPr>
      <cdr:spPr>
        <a:xfrm xmlns:a="http://schemas.openxmlformats.org/drawingml/2006/main">
          <a:off x="5113020" y="1150224"/>
          <a:ext cx="783591" cy="335488"/>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o-MD" sz="900" b="1"/>
            <a:t>(total</a:t>
          </a:r>
          <a:r>
            <a:rPr lang="ro-MD" sz="900" b="1" baseline="0"/>
            <a:t> - </a:t>
          </a:r>
          <a:r>
            <a:rPr lang="ro-MD" sz="900" b="1"/>
            <a:t>80,018.6)</a:t>
          </a:r>
          <a:endParaRPr lang="en-US" sz="900" b="1"/>
        </a:p>
      </cdr:txBody>
    </cdr:sp>
  </cdr:relSizeAnchor>
  <cdr:relSizeAnchor xmlns:cdr="http://schemas.openxmlformats.org/drawingml/2006/chartDrawing">
    <cdr:from>
      <cdr:x>0.8694</cdr:x>
      <cdr:y>0.58021</cdr:y>
    </cdr:from>
    <cdr:to>
      <cdr:x>1</cdr:x>
      <cdr:y>0.70618</cdr:y>
    </cdr:to>
    <cdr:sp macro="" textlink="">
      <cdr:nvSpPr>
        <cdr:cNvPr id="6" name="TextBox 1"/>
        <cdr:cNvSpPr txBox="1"/>
      </cdr:nvSpPr>
      <cdr:spPr>
        <a:xfrm xmlns:a="http://schemas.openxmlformats.org/drawingml/2006/main">
          <a:off x="5165710" y="1653540"/>
          <a:ext cx="775985" cy="358979"/>
        </a:xfrm>
        <a:prstGeom xmlns:a="http://schemas.openxmlformats.org/drawingml/2006/main" prst="rect">
          <a:avLst/>
        </a:prstGeom>
        <a:effectLst xmlns:a="http://schemas.openxmlformats.org/drawingml/2006/main">
          <a:outerShdw blurRad="50800" dist="38100" dir="5400000" algn="t" rotWithShape="0">
            <a:schemeClr val="tx1">
              <a:alpha val="40000"/>
            </a:schemeClr>
          </a:outerShdw>
        </a:effectLst>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o-MD" sz="900" b="1"/>
            <a:t>(total</a:t>
          </a:r>
          <a:r>
            <a:rPr lang="ro-MD" sz="900" b="1" baseline="0"/>
            <a:t> - </a:t>
          </a:r>
          <a:r>
            <a:rPr lang="ro-MD" sz="900" b="1"/>
            <a:t>92,705.4)</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73D4-7090-4715-BDD2-56B25845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21275</Words>
  <Characters>121269</Characters>
  <Application>Microsoft Office Word</Application>
  <DocSecurity>0</DocSecurity>
  <Lines>1010</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Certan Alina</cp:lastModifiedBy>
  <cp:revision>3</cp:revision>
  <cp:lastPrinted>2023-03-02T07:13:00Z</cp:lastPrinted>
  <dcterms:created xsi:type="dcterms:W3CDTF">2023-07-10T05:41:00Z</dcterms:created>
  <dcterms:modified xsi:type="dcterms:W3CDTF">2023-07-10T05:43:00Z</dcterms:modified>
</cp:coreProperties>
</file>