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E4" w:rsidRPr="009F5847" w:rsidRDefault="007F62E4" w:rsidP="007F62E4">
      <w:pPr>
        <w:tabs>
          <w:tab w:val="left" w:pos="450"/>
          <w:tab w:val="left" w:pos="720"/>
        </w:tabs>
        <w:spacing w:after="0" w:line="276" w:lineRule="auto"/>
        <w:ind w:right="9"/>
        <w:jc w:val="right"/>
        <w:rPr>
          <w:rFonts w:asciiTheme="majorHAnsi" w:eastAsia="Times New Roman" w:hAnsiTheme="majorHAnsi" w:cstheme="majorHAnsi"/>
          <w:bCs/>
          <w:sz w:val="24"/>
          <w:szCs w:val="24"/>
        </w:rPr>
      </w:pPr>
      <w:r w:rsidRPr="009F5847">
        <w:rPr>
          <w:rFonts w:asciiTheme="majorHAnsi" w:eastAsia="Times New Roman" w:hAnsiTheme="majorHAnsi" w:cstheme="majorHAnsi"/>
          <w:bCs/>
          <w:sz w:val="24"/>
          <w:szCs w:val="24"/>
        </w:rPr>
        <w:t>Anexă</w:t>
      </w:r>
    </w:p>
    <w:p w:rsidR="007F62E4" w:rsidRPr="009F5847" w:rsidRDefault="007F62E4" w:rsidP="007F62E4">
      <w:pPr>
        <w:tabs>
          <w:tab w:val="left" w:pos="450"/>
          <w:tab w:val="left" w:pos="720"/>
        </w:tabs>
        <w:spacing w:after="0" w:line="276" w:lineRule="auto"/>
        <w:ind w:right="9"/>
        <w:jc w:val="right"/>
        <w:rPr>
          <w:rFonts w:asciiTheme="majorHAnsi" w:eastAsia="Times New Roman" w:hAnsiTheme="majorHAnsi" w:cstheme="majorHAnsi"/>
          <w:bCs/>
          <w:sz w:val="24"/>
          <w:szCs w:val="24"/>
        </w:rPr>
      </w:pPr>
      <w:r w:rsidRPr="009F5847">
        <w:rPr>
          <w:rFonts w:asciiTheme="majorHAnsi" w:eastAsia="Times New Roman" w:hAnsiTheme="majorHAnsi" w:cstheme="majorHAnsi"/>
          <w:bCs/>
          <w:sz w:val="24"/>
          <w:szCs w:val="24"/>
        </w:rPr>
        <w:t xml:space="preserve">la Hotărârea Curții de Conturi </w:t>
      </w:r>
    </w:p>
    <w:p w:rsidR="007F62E4" w:rsidRPr="009F5847" w:rsidRDefault="009147DC" w:rsidP="007F62E4">
      <w:pPr>
        <w:tabs>
          <w:tab w:val="left" w:pos="450"/>
          <w:tab w:val="left" w:pos="720"/>
          <w:tab w:val="left" w:pos="7342"/>
          <w:tab w:val="left" w:pos="8222"/>
          <w:tab w:val="right" w:pos="10157"/>
        </w:tabs>
        <w:spacing w:after="0" w:line="276" w:lineRule="auto"/>
        <w:ind w:right="9"/>
        <w:jc w:val="right"/>
        <w:rPr>
          <w:rFonts w:asciiTheme="majorHAnsi" w:eastAsia="Times New Roman" w:hAnsiTheme="majorHAnsi" w:cstheme="majorHAnsi"/>
          <w:bCs/>
          <w:color w:val="1F4E79" w:themeColor="accent1" w:themeShade="80"/>
          <w:sz w:val="24"/>
          <w:szCs w:val="24"/>
        </w:rPr>
      </w:pPr>
      <w:r w:rsidRPr="009F5847">
        <w:rPr>
          <w:rFonts w:asciiTheme="majorHAnsi" w:eastAsia="Times New Roman" w:hAnsiTheme="majorHAnsi" w:cstheme="majorHAnsi"/>
          <w:bCs/>
          <w:sz w:val="24"/>
          <w:szCs w:val="24"/>
        </w:rPr>
        <w:tab/>
      </w:r>
      <w:r w:rsidRPr="009F5847">
        <w:rPr>
          <w:rFonts w:asciiTheme="majorHAnsi" w:eastAsia="Times New Roman" w:hAnsiTheme="majorHAnsi" w:cstheme="majorHAnsi"/>
          <w:bCs/>
          <w:sz w:val="24"/>
          <w:szCs w:val="24"/>
        </w:rPr>
        <w:tab/>
      </w:r>
      <w:r w:rsidR="007F62E4" w:rsidRPr="009F5847">
        <w:rPr>
          <w:rFonts w:asciiTheme="majorHAnsi" w:eastAsia="Times New Roman" w:hAnsiTheme="majorHAnsi" w:cstheme="majorHAnsi"/>
          <w:bCs/>
          <w:sz w:val="24"/>
          <w:szCs w:val="24"/>
        </w:rPr>
        <w:t>nr.</w:t>
      </w:r>
      <w:r w:rsidR="00EC1EAF" w:rsidRPr="009F5847">
        <w:rPr>
          <w:rFonts w:asciiTheme="majorHAnsi" w:eastAsia="Times New Roman" w:hAnsiTheme="majorHAnsi" w:cstheme="majorHAnsi"/>
          <w:bCs/>
          <w:sz w:val="24"/>
          <w:szCs w:val="24"/>
        </w:rPr>
        <w:t xml:space="preserve"> </w:t>
      </w:r>
      <w:r w:rsidR="009F5847">
        <w:rPr>
          <w:rFonts w:asciiTheme="majorHAnsi" w:eastAsia="Times New Roman" w:hAnsiTheme="majorHAnsi" w:cstheme="majorHAnsi"/>
          <w:bCs/>
          <w:sz w:val="24"/>
          <w:szCs w:val="24"/>
        </w:rPr>
        <w:t>44</w:t>
      </w:r>
      <w:r w:rsidR="008F6798">
        <w:rPr>
          <w:rFonts w:asciiTheme="majorHAnsi" w:eastAsia="Times New Roman" w:hAnsiTheme="majorHAnsi" w:cstheme="majorHAnsi"/>
          <w:bCs/>
          <w:sz w:val="24"/>
          <w:szCs w:val="24"/>
        </w:rPr>
        <w:t xml:space="preserve"> din 02 august</w:t>
      </w:r>
      <w:bookmarkStart w:id="0" w:name="_GoBack"/>
      <w:bookmarkEnd w:id="0"/>
      <w:r w:rsidR="007F62E4" w:rsidRPr="009F5847">
        <w:rPr>
          <w:rFonts w:asciiTheme="majorHAnsi" w:eastAsia="Times New Roman" w:hAnsiTheme="majorHAnsi" w:cstheme="majorHAnsi"/>
          <w:bCs/>
          <w:sz w:val="24"/>
          <w:szCs w:val="24"/>
        </w:rPr>
        <w:t xml:space="preserve"> 2022</w:t>
      </w:r>
      <w:r w:rsidR="00EC1EAF" w:rsidRPr="009F5847">
        <w:rPr>
          <w:rFonts w:asciiTheme="majorHAnsi" w:eastAsia="Times New Roman" w:hAnsiTheme="majorHAnsi" w:cstheme="majorHAnsi"/>
          <w:bCs/>
          <w:sz w:val="24"/>
          <w:szCs w:val="24"/>
        </w:rPr>
        <w:t xml:space="preserve">     </w:t>
      </w:r>
    </w:p>
    <w:p w:rsidR="007F62E4" w:rsidRPr="009F5847" w:rsidRDefault="007F62E4" w:rsidP="007F62E4">
      <w:pPr>
        <w:spacing w:after="0" w:line="276" w:lineRule="auto"/>
        <w:rPr>
          <w:rFonts w:asciiTheme="majorHAnsi" w:hAnsiTheme="majorHAnsi" w:cstheme="majorHAnsi"/>
          <w:i/>
          <w:sz w:val="24"/>
          <w:szCs w:val="24"/>
        </w:rPr>
      </w:pPr>
      <w:r w:rsidRPr="009F5847">
        <w:rPr>
          <w:rFonts w:asciiTheme="majorHAnsi" w:hAnsiTheme="majorHAnsi" w:cstheme="majorHAnsi"/>
          <w:noProof/>
          <w:lang w:val="en-US"/>
        </w:rPr>
        <w:drawing>
          <wp:anchor distT="0" distB="3810" distL="114300" distR="118110" simplePos="0" relativeHeight="251682816" behindDoc="0" locked="0" layoutInCell="1" allowOverlap="1" wp14:anchorId="5B5C2A61" wp14:editId="79D2B735">
            <wp:simplePos x="0" y="0"/>
            <wp:positionH relativeFrom="column">
              <wp:posOffset>2497666</wp:posOffset>
            </wp:positionH>
            <wp:positionV relativeFrom="paragraph">
              <wp:posOffset>70908</wp:posOffset>
            </wp:positionV>
            <wp:extent cx="967740" cy="967740"/>
            <wp:effectExtent l="0" t="0" r="3810" b="3810"/>
            <wp:wrapSquare wrapText="bothSides"/>
            <wp:docPr id="15"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anchor>
        </w:drawing>
      </w:r>
    </w:p>
    <w:p w:rsidR="007F62E4" w:rsidRPr="009F5847" w:rsidRDefault="007F62E4" w:rsidP="007F62E4">
      <w:pPr>
        <w:spacing w:after="0" w:line="276" w:lineRule="auto"/>
        <w:rPr>
          <w:rFonts w:asciiTheme="majorHAnsi" w:hAnsiTheme="majorHAnsi" w:cstheme="majorHAnsi"/>
          <w:i/>
          <w:sz w:val="24"/>
          <w:szCs w:val="24"/>
        </w:rPr>
      </w:pPr>
    </w:p>
    <w:p w:rsidR="007F62E4" w:rsidRPr="009F5847" w:rsidRDefault="007F62E4" w:rsidP="007F62E4">
      <w:pPr>
        <w:spacing w:after="0" w:line="276" w:lineRule="auto"/>
        <w:rPr>
          <w:rFonts w:asciiTheme="majorHAnsi" w:hAnsiTheme="majorHAnsi" w:cstheme="majorHAnsi"/>
          <w:i/>
          <w:sz w:val="24"/>
          <w:szCs w:val="24"/>
        </w:rPr>
      </w:pPr>
    </w:p>
    <w:p w:rsidR="007F62E4" w:rsidRPr="009F5847" w:rsidRDefault="007F62E4" w:rsidP="007F62E4">
      <w:pPr>
        <w:spacing w:after="0" w:line="276" w:lineRule="auto"/>
        <w:rPr>
          <w:rFonts w:asciiTheme="majorHAnsi" w:hAnsiTheme="majorHAnsi" w:cstheme="majorHAnsi"/>
          <w:i/>
          <w:sz w:val="24"/>
          <w:szCs w:val="24"/>
        </w:rPr>
      </w:pPr>
    </w:p>
    <w:p w:rsidR="007F62E4" w:rsidRPr="009F5847" w:rsidRDefault="007F62E4" w:rsidP="007F62E4">
      <w:pPr>
        <w:spacing w:after="0" w:line="276" w:lineRule="auto"/>
        <w:rPr>
          <w:rFonts w:asciiTheme="majorHAnsi" w:hAnsiTheme="majorHAnsi" w:cstheme="majorHAnsi"/>
          <w:i/>
          <w:sz w:val="24"/>
          <w:szCs w:val="24"/>
        </w:rPr>
      </w:pPr>
    </w:p>
    <w:p w:rsidR="007F62E4" w:rsidRPr="009F5847" w:rsidRDefault="007F62E4" w:rsidP="007F62E4">
      <w:pPr>
        <w:spacing w:after="0" w:line="276" w:lineRule="auto"/>
        <w:rPr>
          <w:rFonts w:asciiTheme="majorHAnsi" w:hAnsiTheme="majorHAnsi" w:cstheme="majorHAnsi"/>
          <w:i/>
          <w:sz w:val="24"/>
          <w:szCs w:val="24"/>
        </w:rPr>
      </w:pPr>
    </w:p>
    <w:p w:rsidR="007F62E4" w:rsidRPr="009F5847" w:rsidRDefault="007F62E4" w:rsidP="007F62E4">
      <w:pPr>
        <w:spacing w:after="0" w:line="276" w:lineRule="auto"/>
        <w:rPr>
          <w:rFonts w:asciiTheme="majorHAnsi" w:hAnsiTheme="majorHAnsi" w:cstheme="majorHAnsi"/>
          <w:b/>
          <w:sz w:val="24"/>
          <w:szCs w:val="24"/>
        </w:rPr>
      </w:pPr>
    </w:p>
    <w:p w:rsidR="007F62E4" w:rsidRPr="009F5847" w:rsidRDefault="007F62E4" w:rsidP="007F62E4">
      <w:pPr>
        <w:spacing w:after="0" w:line="276" w:lineRule="auto"/>
        <w:jc w:val="center"/>
        <w:rPr>
          <w:rFonts w:asciiTheme="majorHAnsi" w:hAnsiTheme="majorHAnsi" w:cstheme="majorHAnsi"/>
          <w:b/>
          <w:sz w:val="40"/>
          <w:szCs w:val="40"/>
        </w:rPr>
      </w:pPr>
      <w:r w:rsidRPr="009F5847">
        <w:rPr>
          <w:rFonts w:asciiTheme="majorHAnsi" w:hAnsiTheme="majorHAnsi" w:cstheme="majorHAnsi"/>
          <w:b/>
          <w:sz w:val="40"/>
          <w:szCs w:val="40"/>
        </w:rPr>
        <w:t>CURTEA DE CONTURI A REPUBLICII MOLDOVA</w:t>
      </w:r>
    </w:p>
    <w:p w:rsidR="007F62E4" w:rsidRPr="009F5847" w:rsidRDefault="007F62E4" w:rsidP="007F62E4">
      <w:pPr>
        <w:spacing w:after="0" w:line="276" w:lineRule="auto"/>
        <w:rPr>
          <w:rFonts w:asciiTheme="majorHAnsi" w:hAnsiTheme="majorHAnsi" w:cstheme="majorHAnsi"/>
          <w:sz w:val="24"/>
          <w:szCs w:val="24"/>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7F62E4" w:rsidRPr="009F5847" w:rsidTr="00A349CC">
        <w:trPr>
          <w:trHeight w:val="396"/>
          <w:jc w:val="center"/>
        </w:trPr>
        <w:tc>
          <w:tcPr>
            <w:tcW w:w="9350" w:type="dxa"/>
            <w:tcBorders>
              <w:top w:val="thinThickSmallGap" w:sz="12" w:space="0" w:color="00000A"/>
              <w:bottom w:val="thickThinSmallGap" w:sz="12" w:space="0" w:color="00000A"/>
            </w:tcBorders>
            <w:shd w:val="clear" w:color="auto" w:fill="auto"/>
          </w:tcPr>
          <w:p w:rsidR="007F62E4" w:rsidRPr="009F5847" w:rsidRDefault="007F62E4" w:rsidP="00A349CC">
            <w:pPr>
              <w:spacing w:after="0" w:line="276" w:lineRule="auto"/>
              <w:ind w:left="-108" w:right="-120"/>
              <w:jc w:val="center"/>
              <w:rPr>
                <w:rFonts w:asciiTheme="majorHAnsi" w:hAnsiTheme="majorHAnsi" w:cstheme="majorHAnsi"/>
                <w:sz w:val="20"/>
                <w:szCs w:val="20"/>
              </w:rPr>
            </w:pPr>
            <w:r w:rsidRPr="009F5847">
              <w:rPr>
                <w:rFonts w:asciiTheme="majorHAnsi" w:hAnsiTheme="majorHAnsi" w:cstheme="majorHAnsi"/>
                <w:sz w:val="20"/>
                <w:szCs w:val="20"/>
              </w:rPr>
              <w:t>MD-2001, mun. Chișinău, bd. Ștefan cel Mare și Sfânt,69, tel.: (+373) 22 23 25 79, fax: (+373) 22 23 30 20,</w:t>
            </w:r>
            <w:r w:rsidR="00EC1EAF" w:rsidRPr="009F5847">
              <w:rPr>
                <w:rFonts w:asciiTheme="majorHAnsi" w:hAnsiTheme="majorHAnsi" w:cstheme="majorHAnsi"/>
                <w:sz w:val="20"/>
                <w:szCs w:val="20"/>
              </w:rPr>
              <w:t xml:space="preserve"> </w:t>
            </w:r>
          </w:p>
          <w:p w:rsidR="007F62E4" w:rsidRPr="009F5847" w:rsidRDefault="00467950" w:rsidP="00A349CC">
            <w:pPr>
              <w:spacing w:after="0" w:line="276" w:lineRule="auto"/>
              <w:ind w:left="-108" w:right="-120"/>
              <w:jc w:val="center"/>
              <w:rPr>
                <w:rFonts w:asciiTheme="majorHAnsi" w:hAnsiTheme="majorHAnsi" w:cstheme="majorHAnsi"/>
              </w:rPr>
            </w:pPr>
            <w:hyperlink r:id="rId9">
              <w:r w:rsidR="007F62E4" w:rsidRPr="009F5847">
                <w:rPr>
                  <w:rStyle w:val="LegturInternet"/>
                  <w:rFonts w:asciiTheme="majorHAnsi" w:hAnsiTheme="majorHAnsi" w:cstheme="majorHAnsi"/>
                  <w:sz w:val="20"/>
                  <w:szCs w:val="20"/>
                </w:rPr>
                <w:t>www.ccrm.md</w:t>
              </w:r>
            </w:hyperlink>
            <w:r w:rsidR="007F62E4" w:rsidRPr="009F5847">
              <w:rPr>
                <w:rFonts w:asciiTheme="majorHAnsi" w:hAnsiTheme="majorHAnsi" w:cstheme="majorHAnsi"/>
                <w:sz w:val="20"/>
                <w:szCs w:val="20"/>
                <w:u w:val="single"/>
              </w:rPr>
              <w:t>;</w:t>
            </w:r>
            <w:r w:rsidR="007F62E4" w:rsidRPr="009F5847">
              <w:rPr>
                <w:rFonts w:asciiTheme="majorHAnsi" w:hAnsiTheme="majorHAnsi" w:cstheme="majorHAnsi"/>
                <w:sz w:val="20"/>
                <w:szCs w:val="20"/>
              </w:rPr>
              <w:t xml:space="preserve"> e-mail: </w:t>
            </w:r>
            <w:hyperlink r:id="rId10">
              <w:r w:rsidR="007F62E4" w:rsidRPr="009F5847">
                <w:rPr>
                  <w:rStyle w:val="LegturInternet"/>
                  <w:rFonts w:asciiTheme="majorHAnsi" w:hAnsiTheme="majorHAnsi" w:cstheme="majorHAnsi"/>
                  <w:sz w:val="20"/>
                  <w:szCs w:val="20"/>
                </w:rPr>
                <w:t>ccrm@ccrm.md</w:t>
              </w:r>
            </w:hyperlink>
          </w:p>
        </w:tc>
      </w:tr>
    </w:tbl>
    <w:p w:rsidR="007F62E4" w:rsidRPr="009F5847" w:rsidRDefault="007F62E4" w:rsidP="007F62E4">
      <w:pPr>
        <w:spacing w:after="0" w:line="276" w:lineRule="auto"/>
        <w:rPr>
          <w:rFonts w:asciiTheme="majorHAnsi" w:eastAsia="Times New Roman" w:hAnsiTheme="majorHAnsi" w:cstheme="majorHAnsi"/>
          <w:b/>
          <w:bCs/>
          <w:color w:val="1F4E79" w:themeColor="accent1" w:themeShade="80"/>
          <w:sz w:val="24"/>
          <w:szCs w:val="24"/>
        </w:rPr>
      </w:pPr>
      <w:r w:rsidRPr="009F5847">
        <w:rPr>
          <w:rFonts w:asciiTheme="majorHAnsi" w:eastAsia="Times New Roman" w:hAnsiTheme="majorHAnsi" w:cstheme="majorHAnsi"/>
          <w:sz w:val="24"/>
          <w:szCs w:val="24"/>
        </w:rPr>
        <w:br/>
      </w:r>
    </w:p>
    <w:p w:rsidR="007F62E4" w:rsidRPr="009F5847" w:rsidRDefault="007F62E4" w:rsidP="007F62E4">
      <w:pPr>
        <w:spacing w:after="0" w:line="276" w:lineRule="auto"/>
        <w:rPr>
          <w:rFonts w:asciiTheme="majorHAnsi" w:eastAsia="Times New Roman" w:hAnsiTheme="majorHAnsi" w:cstheme="majorHAnsi"/>
          <w:b/>
          <w:bCs/>
          <w:color w:val="1F4E79" w:themeColor="accent1" w:themeShade="80"/>
          <w:sz w:val="24"/>
          <w:szCs w:val="24"/>
        </w:rPr>
      </w:pPr>
    </w:p>
    <w:p w:rsidR="007F62E4" w:rsidRPr="009F5847" w:rsidRDefault="007F62E4" w:rsidP="007F62E4">
      <w:pPr>
        <w:tabs>
          <w:tab w:val="left" w:pos="450"/>
          <w:tab w:val="left" w:pos="720"/>
        </w:tabs>
        <w:spacing w:after="0" w:line="276" w:lineRule="auto"/>
        <w:ind w:right="9"/>
        <w:jc w:val="center"/>
        <w:rPr>
          <w:rFonts w:asciiTheme="majorHAnsi" w:eastAsia="Times New Roman" w:hAnsiTheme="majorHAnsi" w:cstheme="majorHAnsi"/>
          <w:b/>
          <w:bCs/>
          <w:sz w:val="32"/>
          <w:szCs w:val="32"/>
        </w:rPr>
      </w:pPr>
      <w:r w:rsidRPr="009F5847">
        <w:rPr>
          <w:rFonts w:asciiTheme="majorHAnsi" w:eastAsia="Times New Roman" w:hAnsiTheme="majorHAnsi" w:cstheme="majorHAnsi"/>
          <w:b/>
          <w:bCs/>
          <w:sz w:val="32"/>
          <w:szCs w:val="32"/>
        </w:rPr>
        <w:t>RAPORTUL</w:t>
      </w:r>
    </w:p>
    <w:p w:rsidR="007F62E4" w:rsidRDefault="007F62E4" w:rsidP="007F62E4">
      <w:pPr>
        <w:tabs>
          <w:tab w:val="left" w:pos="450"/>
          <w:tab w:val="left" w:pos="720"/>
        </w:tabs>
        <w:spacing w:after="0" w:line="276" w:lineRule="auto"/>
        <w:ind w:right="9"/>
        <w:jc w:val="center"/>
        <w:rPr>
          <w:rFonts w:asciiTheme="majorHAnsi" w:eastAsia="Times New Roman" w:hAnsiTheme="majorHAnsi" w:cstheme="majorHAnsi"/>
          <w:b/>
          <w:bCs/>
          <w:sz w:val="32"/>
          <w:szCs w:val="32"/>
        </w:rPr>
      </w:pPr>
      <w:r w:rsidRPr="009F5847">
        <w:rPr>
          <w:rFonts w:asciiTheme="majorHAnsi" w:eastAsia="Times New Roman" w:hAnsiTheme="majorHAnsi" w:cstheme="majorHAnsi"/>
          <w:b/>
          <w:bCs/>
          <w:sz w:val="32"/>
          <w:szCs w:val="32"/>
        </w:rPr>
        <w:t xml:space="preserve">AUDITULUI CONFORMITĂȚII ADMINISTRĂRII </w:t>
      </w:r>
      <w:r w:rsidR="00A571F8" w:rsidRPr="009F5847">
        <w:rPr>
          <w:rFonts w:asciiTheme="majorHAnsi" w:eastAsia="Times New Roman" w:hAnsiTheme="majorHAnsi" w:cstheme="majorHAnsi"/>
          <w:b/>
          <w:bCs/>
          <w:sz w:val="32"/>
          <w:szCs w:val="32"/>
        </w:rPr>
        <w:t>SISTEMULUI DE FACILITĂȚI</w:t>
      </w:r>
      <w:r w:rsidRPr="009F5847">
        <w:rPr>
          <w:rFonts w:asciiTheme="majorHAnsi" w:eastAsia="Times New Roman" w:hAnsiTheme="majorHAnsi" w:cstheme="majorHAnsi"/>
          <w:b/>
          <w:bCs/>
          <w:sz w:val="32"/>
          <w:szCs w:val="32"/>
        </w:rPr>
        <w:t xml:space="preserve"> FISCALE </w:t>
      </w:r>
      <w:r w:rsidR="00094B6F" w:rsidRPr="009F5847">
        <w:rPr>
          <w:rFonts w:asciiTheme="majorHAnsi" w:eastAsia="Times New Roman" w:hAnsiTheme="majorHAnsi" w:cstheme="majorHAnsi"/>
          <w:b/>
          <w:bCs/>
          <w:sz w:val="32"/>
          <w:szCs w:val="32"/>
        </w:rPr>
        <w:t xml:space="preserve">ÎN ANII 2020 </w:t>
      </w:r>
      <w:r w:rsidR="008578F9">
        <w:rPr>
          <w:rFonts w:asciiTheme="majorHAnsi" w:eastAsia="Times New Roman" w:hAnsiTheme="majorHAnsi" w:cstheme="majorHAnsi"/>
          <w:b/>
          <w:bCs/>
          <w:sz w:val="32"/>
          <w:szCs w:val="32"/>
        </w:rPr>
        <w:t>–</w:t>
      </w:r>
      <w:r w:rsidR="00094B6F" w:rsidRPr="009F5847">
        <w:rPr>
          <w:rFonts w:asciiTheme="majorHAnsi" w:eastAsia="Times New Roman" w:hAnsiTheme="majorHAnsi" w:cstheme="majorHAnsi"/>
          <w:b/>
          <w:bCs/>
          <w:sz w:val="32"/>
          <w:szCs w:val="32"/>
        </w:rPr>
        <w:t xml:space="preserve"> </w:t>
      </w:r>
      <w:r w:rsidRPr="009F5847">
        <w:rPr>
          <w:rFonts w:asciiTheme="majorHAnsi" w:eastAsia="Times New Roman" w:hAnsiTheme="majorHAnsi" w:cstheme="majorHAnsi"/>
          <w:b/>
          <w:bCs/>
          <w:sz w:val="32"/>
          <w:szCs w:val="32"/>
        </w:rPr>
        <w:t>2021</w:t>
      </w:r>
    </w:p>
    <w:p w:rsidR="008578F9" w:rsidRPr="009F5847" w:rsidRDefault="008578F9" w:rsidP="007F62E4">
      <w:pPr>
        <w:tabs>
          <w:tab w:val="left" w:pos="450"/>
          <w:tab w:val="left" w:pos="720"/>
        </w:tabs>
        <w:spacing w:after="0" w:line="276" w:lineRule="auto"/>
        <w:ind w:right="9"/>
        <w:jc w:val="center"/>
        <w:rPr>
          <w:rFonts w:asciiTheme="majorHAnsi" w:eastAsia="Times New Roman" w:hAnsiTheme="majorHAnsi" w:cstheme="majorHAnsi"/>
          <w:b/>
          <w:bCs/>
          <w:sz w:val="32"/>
          <w:szCs w:val="32"/>
        </w:rPr>
      </w:pPr>
    </w:p>
    <w:p w:rsidR="007F62E4" w:rsidRPr="009F5847" w:rsidRDefault="008578F9" w:rsidP="008578F9">
      <w:pPr>
        <w:tabs>
          <w:tab w:val="left" w:pos="450"/>
          <w:tab w:val="left" w:pos="720"/>
        </w:tabs>
        <w:spacing w:after="0" w:line="276" w:lineRule="auto"/>
        <w:ind w:right="9"/>
        <w:rPr>
          <w:rFonts w:asciiTheme="majorHAnsi" w:eastAsia="Times New Roman" w:hAnsiTheme="majorHAnsi" w:cstheme="majorHAnsi"/>
          <w:b/>
          <w:bCs/>
          <w:sz w:val="32"/>
          <w:szCs w:val="32"/>
        </w:rPr>
      </w:pPr>
      <w:r w:rsidRPr="009F5847">
        <w:rPr>
          <w:rFonts w:asciiTheme="majorHAnsi" w:hAnsiTheme="majorHAnsi" w:cstheme="majorHAnsi"/>
          <w:noProof/>
          <w:lang w:val="en-US"/>
        </w:rPr>
        <w:drawing>
          <wp:inline distT="0" distB="0" distL="0" distR="0" wp14:anchorId="4B224866" wp14:editId="7D4041D3">
            <wp:extent cx="5941695" cy="2601685"/>
            <wp:effectExtent l="0" t="0" r="190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695" cy="2601685"/>
                    </a:xfrm>
                    <a:prstGeom prst="rect">
                      <a:avLst/>
                    </a:prstGeom>
                    <a:noFill/>
                    <a:ln>
                      <a:noFill/>
                    </a:ln>
                  </pic:spPr>
                </pic:pic>
              </a:graphicData>
            </a:graphic>
          </wp:inline>
        </w:drawing>
      </w:r>
    </w:p>
    <w:p w:rsidR="007F62E4" w:rsidRPr="009F5847" w:rsidRDefault="007F62E4" w:rsidP="007F62E4">
      <w:pPr>
        <w:rPr>
          <w:rFonts w:asciiTheme="majorHAnsi" w:hAnsiTheme="majorHAnsi" w:cstheme="majorHAnsi"/>
          <w:noProof/>
        </w:rPr>
      </w:pPr>
    </w:p>
    <w:p w:rsidR="00A213E9" w:rsidRDefault="00A213E9" w:rsidP="00A213E9">
      <w:pPr>
        <w:rPr>
          <w:rFonts w:asciiTheme="majorHAnsi" w:hAnsiTheme="majorHAnsi" w:cstheme="majorHAnsi"/>
          <w:shd w:val="clear" w:color="auto" w:fill="FFFFFF"/>
        </w:rPr>
      </w:pPr>
      <w:bookmarkStart w:id="1" w:name="_Toc107930583"/>
      <w:bookmarkStart w:id="2" w:name="_Toc107993928"/>
      <w:bookmarkStart w:id="3" w:name="_Toc76377755"/>
      <w:bookmarkStart w:id="4" w:name="_Toc48732715"/>
      <w:bookmarkStart w:id="5" w:name="_Toc76371127"/>
    </w:p>
    <w:p w:rsidR="00B129B4" w:rsidRDefault="00B129B4" w:rsidP="00A213E9">
      <w:pPr>
        <w:rPr>
          <w:rFonts w:asciiTheme="majorHAnsi" w:hAnsiTheme="majorHAnsi" w:cstheme="majorHAnsi"/>
          <w:shd w:val="clear" w:color="auto" w:fill="FFFFFF"/>
        </w:rPr>
      </w:pPr>
    </w:p>
    <w:p w:rsidR="00B129B4" w:rsidRDefault="00B129B4" w:rsidP="00A213E9">
      <w:pPr>
        <w:rPr>
          <w:rFonts w:asciiTheme="majorHAnsi" w:hAnsiTheme="majorHAnsi" w:cstheme="majorHAnsi"/>
          <w:shd w:val="clear" w:color="auto" w:fill="FFFFFF"/>
        </w:rPr>
      </w:pPr>
    </w:p>
    <w:p w:rsidR="008578F9" w:rsidRDefault="008578F9" w:rsidP="00A213E9">
      <w:pPr>
        <w:rPr>
          <w:rFonts w:asciiTheme="majorHAnsi" w:hAnsiTheme="majorHAnsi" w:cstheme="majorHAnsi"/>
          <w:shd w:val="clear" w:color="auto" w:fill="FFFFFF"/>
        </w:rPr>
      </w:pPr>
    </w:p>
    <w:p w:rsidR="008578F9" w:rsidRDefault="008578F9" w:rsidP="00A213E9">
      <w:pPr>
        <w:rPr>
          <w:rFonts w:asciiTheme="majorHAnsi" w:hAnsiTheme="majorHAnsi" w:cstheme="majorHAnsi"/>
          <w:shd w:val="clear" w:color="auto" w:fill="FFFFFF"/>
        </w:rPr>
        <w:sectPr w:rsidR="008578F9" w:rsidSect="005F641E">
          <w:footerReference w:type="default" r:id="rId12"/>
          <w:footerReference w:type="first" r:id="rId13"/>
          <w:pgSz w:w="11906" w:h="16838" w:code="9"/>
          <w:pgMar w:top="850" w:right="850" w:bottom="850" w:left="1699" w:header="720" w:footer="720" w:gutter="0"/>
          <w:cols w:space="720"/>
          <w:titlePg/>
          <w:docGrid w:linePitch="360"/>
        </w:sectPr>
      </w:pPr>
      <w:r>
        <w:rPr>
          <w:rFonts w:asciiTheme="majorHAnsi" w:hAnsiTheme="majorHAnsi" w:cstheme="majorHAnsi"/>
          <w:shd w:val="clear" w:color="auto" w:fill="FFFFFF"/>
        </w:rPr>
        <w:t xml:space="preserve"> </w:t>
      </w:r>
    </w:p>
    <w:p w:rsidR="00724B8E" w:rsidRPr="009F5847" w:rsidRDefault="00724B8E" w:rsidP="00A213E9">
      <w:pPr>
        <w:rPr>
          <w:rFonts w:asciiTheme="majorHAnsi" w:hAnsiTheme="majorHAnsi" w:cstheme="majorHAnsi"/>
          <w:b/>
          <w:shd w:val="clear" w:color="auto" w:fill="FFFFFF"/>
        </w:rPr>
      </w:pPr>
      <w:r w:rsidRPr="009F5847">
        <w:rPr>
          <w:rFonts w:asciiTheme="majorHAnsi" w:hAnsiTheme="majorHAnsi" w:cstheme="majorHAnsi"/>
          <w:b/>
          <w:shd w:val="clear" w:color="auto" w:fill="FFFFFF"/>
        </w:rPr>
        <w:lastRenderedPageBreak/>
        <w:t>CUPRINS:</w:t>
      </w:r>
      <w:bookmarkEnd w:id="1"/>
      <w:bookmarkEnd w:id="2"/>
    </w:p>
    <w:sdt>
      <w:sdtPr>
        <w:rPr>
          <w:rFonts w:asciiTheme="majorHAnsi" w:hAnsiTheme="majorHAnsi" w:cstheme="minorBidi"/>
          <w:b w:val="0"/>
          <w:noProof w:val="0"/>
        </w:rPr>
        <w:id w:val="-684897302"/>
        <w:docPartObj>
          <w:docPartGallery w:val="Table of Contents"/>
          <w:docPartUnique/>
        </w:docPartObj>
      </w:sdtPr>
      <w:sdtEndPr>
        <w:rPr>
          <w:bCs/>
        </w:rPr>
      </w:sdtEndPr>
      <w:sdtContent>
        <w:p w:rsidR="00C5696D" w:rsidRDefault="005E5602">
          <w:pPr>
            <w:pStyle w:val="TOC1"/>
            <w:rPr>
              <w:rFonts w:eastAsiaTheme="minorEastAsia" w:cstheme="minorBidi"/>
              <w:b w:val="0"/>
              <w:lang w:val="en-US"/>
            </w:rPr>
          </w:pPr>
          <w:r w:rsidRPr="009F5847">
            <w:rPr>
              <w:rFonts w:asciiTheme="majorHAnsi" w:hAnsiTheme="majorHAnsi"/>
            </w:rPr>
            <w:fldChar w:fldCharType="begin"/>
          </w:r>
          <w:r w:rsidRPr="009F5847">
            <w:rPr>
              <w:rFonts w:asciiTheme="majorHAnsi" w:hAnsiTheme="majorHAnsi"/>
            </w:rPr>
            <w:instrText xml:space="preserve"> TOC \o "1-3" \h \z \u </w:instrText>
          </w:r>
          <w:r w:rsidRPr="009F5847">
            <w:rPr>
              <w:rFonts w:asciiTheme="majorHAnsi" w:hAnsiTheme="majorHAnsi"/>
            </w:rPr>
            <w:fldChar w:fldCharType="separate"/>
          </w:r>
          <w:hyperlink w:anchor="_Toc111467856" w:history="1">
            <w:r w:rsidR="00C5696D" w:rsidRPr="009C5427">
              <w:rPr>
                <w:rStyle w:val="Hyperlink"/>
                <w:shd w:val="clear" w:color="auto" w:fill="FFFFFF"/>
              </w:rPr>
              <w:t>LISTA ACRONIMELOR</w:t>
            </w:r>
            <w:r w:rsidR="00C5696D">
              <w:rPr>
                <w:webHidden/>
              </w:rPr>
              <w:tab/>
            </w:r>
            <w:r w:rsidR="00C5696D">
              <w:rPr>
                <w:webHidden/>
              </w:rPr>
              <w:fldChar w:fldCharType="begin"/>
            </w:r>
            <w:r w:rsidR="00C5696D">
              <w:rPr>
                <w:webHidden/>
              </w:rPr>
              <w:instrText xml:space="preserve"> PAGEREF _Toc111467856 \h </w:instrText>
            </w:r>
            <w:r w:rsidR="00C5696D">
              <w:rPr>
                <w:webHidden/>
              </w:rPr>
            </w:r>
            <w:r w:rsidR="00C5696D">
              <w:rPr>
                <w:webHidden/>
              </w:rPr>
              <w:fldChar w:fldCharType="separate"/>
            </w:r>
            <w:r w:rsidR="00C5696D">
              <w:rPr>
                <w:webHidden/>
              </w:rPr>
              <w:t>3</w:t>
            </w:r>
            <w:r w:rsidR="00C5696D">
              <w:rPr>
                <w:webHidden/>
              </w:rPr>
              <w:fldChar w:fldCharType="end"/>
            </w:r>
          </w:hyperlink>
        </w:p>
        <w:p w:rsidR="00C5696D" w:rsidRDefault="00467950">
          <w:pPr>
            <w:pStyle w:val="TOC1"/>
            <w:rPr>
              <w:rFonts w:eastAsiaTheme="minorEastAsia" w:cstheme="minorBidi"/>
              <w:b w:val="0"/>
              <w:lang w:val="en-US"/>
            </w:rPr>
          </w:pPr>
          <w:hyperlink w:anchor="_Toc111467857" w:history="1">
            <w:r w:rsidR="00C5696D" w:rsidRPr="009C5427">
              <w:rPr>
                <w:rStyle w:val="Hyperlink"/>
              </w:rPr>
              <w:t>GLOSAR</w:t>
            </w:r>
            <w:r w:rsidR="00C5696D">
              <w:rPr>
                <w:webHidden/>
              </w:rPr>
              <w:tab/>
            </w:r>
            <w:r w:rsidR="00C5696D">
              <w:rPr>
                <w:webHidden/>
              </w:rPr>
              <w:fldChar w:fldCharType="begin"/>
            </w:r>
            <w:r w:rsidR="00C5696D">
              <w:rPr>
                <w:webHidden/>
              </w:rPr>
              <w:instrText xml:space="preserve"> PAGEREF _Toc111467857 \h </w:instrText>
            </w:r>
            <w:r w:rsidR="00C5696D">
              <w:rPr>
                <w:webHidden/>
              </w:rPr>
            </w:r>
            <w:r w:rsidR="00C5696D">
              <w:rPr>
                <w:webHidden/>
              </w:rPr>
              <w:fldChar w:fldCharType="separate"/>
            </w:r>
            <w:r w:rsidR="00C5696D">
              <w:rPr>
                <w:webHidden/>
              </w:rPr>
              <w:t>3</w:t>
            </w:r>
            <w:r w:rsidR="00C5696D">
              <w:rPr>
                <w:webHidden/>
              </w:rPr>
              <w:fldChar w:fldCharType="end"/>
            </w:r>
          </w:hyperlink>
        </w:p>
        <w:p w:rsidR="00C5696D" w:rsidRDefault="00467950">
          <w:pPr>
            <w:pStyle w:val="TOC1"/>
            <w:rPr>
              <w:rFonts w:eastAsiaTheme="minorEastAsia" w:cstheme="minorBidi"/>
              <w:b w:val="0"/>
              <w:lang w:val="en-US"/>
            </w:rPr>
          </w:pPr>
          <w:hyperlink w:anchor="_Toc111467858" w:history="1">
            <w:r w:rsidR="00C5696D" w:rsidRPr="009C5427">
              <w:rPr>
                <w:rStyle w:val="Hyperlink"/>
              </w:rPr>
              <w:t>I.</w:t>
            </w:r>
            <w:r w:rsidR="00C5696D">
              <w:rPr>
                <w:rFonts w:eastAsiaTheme="minorEastAsia" w:cstheme="minorBidi"/>
                <w:b w:val="0"/>
                <w:lang w:val="en-US"/>
              </w:rPr>
              <w:tab/>
            </w:r>
            <w:r w:rsidR="00C5696D" w:rsidRPr="009C5427">
              <w:rPr>
                <w:rStyle w:val="Hyperlink"/>
                <w:shd w:val="clear" w:color="auto" w:fill="FFFFFF"/>
              </w:rPr>
              <w:t>SINTEZA</w:t>
            </w:r>
            <w:r w:rsidR="00C5696D">
              <w:rPr>
                <w:webHidden/>
              </w:rPr>
              <w:tab/>
            </w:r>
            <w:r w:rsidR="00C5696D">
              <w:rPr>
                <w:webHidden/>
              </w:rPr>
              <w:fldChar w:fldCharType="begin"/>
            </w:r>
            <w:r w:rsidR="00C5696D">
              <w:rPr>
                <w:webHidden/>
              </w:rPr>
              <w:instrText xml:space="preserve"> PAGEREF _Toc111467858 \h </w:instrText>
            </w:r>
            <w:r w:rsidR="00C5696D">
              <w:rPr>
                <w:webHidden/>
              </w:rPr>
            </w:r>
            <w:r w:rsidR="00C5696D">
              <w:rPr>
                <w:webHidden/>
              </w:rPr>
              <w:fldChar w:fldCharType="separate"/>
            </w:r>
            <w:r w:rsidR="00C5696D">
              <w:rPr>
                <w:webHidden/>
              </w:rPr>
              <w:t>5</w:t>
            </w:r>
            <w:r w:rsidR="00C5696D">
              <w:rPr>
                <w:webHidden/>
              </w:rPr>
              <w:fldChar w:fldCharType="end"/>
            </w:r>
          </w:hyperlink>
        </w:p>
        <w:p w:rsidR="00C5696D" w:rsidRDefault="00467950">
          <w:pPr>
            <w:pStyle w:val="TOC1"/>
            <w:rPr>
              <w:rFonts w:eastAsiaTheme="minorEastAsia" w:cstheme="minorBidi"/>
              <w:b w:val="0"/>
              <w:lang w:val="en-US"/>
            </w:rPr>
          </w:pPr>
          <w:hyperlink w:anchor="_Toc111467859" w:history="1">
            <w:r w:rsidR="00C5696D" w:rsidRPr="009C5427">
              <w:rPr>
                <w:rStyle w:val="Hyperlink"/>
              </w:rPr>
              <w:t>II.</w:t>
            </w:r>
            <w:r w:rsidR="00C5696D">
              <w:rPr>
                <w:rFonts w:eastAsiaTheme="minorEastAsia" w:cstheme="minorBidi"/>
                <w:b w:val="0"/>
                <w:lang w:val="en-US"/>
              </w:rPr>
              <w:tab/>
            </w:r>
            <w:r w:rsidR="00C5696D" w:rsidRPr="009C5427">
              <w:rPr>
                <w:rStyle w:val="Hyperlink"/>
                <w:shd w:val="clear" w:color="auto" w:fill="FFFFFF"/>
              </w:rPr>
              <w:t>PREZENTARE GENERALĂ</w:t>
            </w:r>
            <w:r w:rsidR="00C5696D">
              <w:rPr>
                <w:webHidden/>
              </w:rPr>
              <w:tab/>
            </w:r>
            <w:r w:rsidR="00C5696D">
              <w:rPr>
                <w:webHidden/>
              </w:rPr>
              <w:fldChar w:fldCharType="begin"/>
            </w:r>
            <w:r w:rsidR="00C5696D">
              <w:rPr>
                <w:webHidden/>
              </w:rPr>
              <w:instrText xml:space="preserve"> PAGEREF _Toc111467859 \h </w:instrText>
            </w:r>
            <w:r w:rsidR="00C5696D">
              <w:rPr>
                <w:webHidden/>
              </w:rPr>
            </w:r>
            <w:r w:rsidR="00C5696D">
              <w:rPr>
                <w:webHidden/>
              </w:rPr>
              <w:fldChar w:fldCharType="separate"/>
            </w:r>
            <w:r w:rsidR="00C5696D">
              <w:rPr>
                <w:webHidden/>
              </w:rPr>
              <w:t>8</w:t>
            </w:r>
            <w:r w:rsidR="00C5696D">
              <w:rPr>
                <w:webHidden/>
              </w:rPr>
              <w:fldChar w:fldCharType="end"/>
            </w:r>
          </w:hyperlink>
        </w:p>
        <w:p w:rsidR="00C5696D" w:rsidRPr="00C5696D" w:rsidRDefault="00467950">
          <w:pPr>
            <w:pStyle w:val="TOC3"/>
            <w:rPr>
              <w:rFonts w:eastAsiaTheme="minorEastAsia" w:cstheme="minorBidi"/>
              <w:b w:val="0"/>
              <w:color w:val="auto"/>
            </w:rPr>
          </w:pPr>
          <w:hyperlink w:anchor="_Toc111467860" w:history="1">
            <w:r w:rsidR="00C5696D" w:rsidRPr="00C5696D">
              <w:rPr>
                <w:rStyle w:val="Hyperlink"/>
                <w:b w:val="0"/>
                <w:lang w:eastAsia="ru-RU"/>
              </w:rPr>
              <w:t>2.1. Organizarea sistemului de facilități fiscale</w:t>
            </w:r>
            <w:r w:rsidR="00C5696D" w:rsidRPr="00C5696D">
              <w:rPr>
                <w:b w:val="0"/>
                <w:webHidden/>
              </w:rPr>
              <w:tab/>
            </w:r>
            <w:r w:rsidR="00C5696D" w:rsidRPr="00C5696D">
              <w:rPr>
                <w:b w:val="0"/>
                <w:webHidden/>
              </w:rPr>
              <w:fldChar w:fldCharType="begin"/>
            </w:r>
            <w:r w:rsidR="00C5696D" w:rsidRPr="00C5696D">
              <w:rPr>
                <w:b w:val="0"/>
                <w:webHidden/>
              </w:rPr>
              <w:instrText xml:space="preserve"> PAGEREF _Toc111467860 \h </w:instrText>
            </w:r>
            <w:r w:rsidR="00C5696D" w:rsidRPr="00C5696D">
              <w:rPr>
                <w:b w:val="0"/>
                <w:webHidden/>
              </w:rPr>
            </w:r>
            <w:r w:rsidR="00C5696D" w:rsidRPr="00C5696D">
              <w:rPr>
                <w:b w:val="0"/>
                <w:webHidden/>
              </w:rPr>
              <w:fldChar w:fldCharType="separate"/>
            </w:r>
            <w:r w:rsidR="00C5696D" w:rsidRPr="00C5696D">
              <w:rPr>
                <w:b w:val="0"/>
                <w:webHidden/>
              </w:rPr>
              <w:t>8</w:t>
            </w:r>
            <w:r w:rsidR="00C5696D" w:rsidRPr="00C5696D">
              <w:rPr>
                <w:b w:val="0"/>
                <w:webHidden/>
              </w:rPr>
              <w:fldChar w:fldCharType="end"/>
            </w:r>
          </w:hyperlink>
        </w:p>
        <w:p w:rsidR="00C5696D" w:rsidRPr="00C5696D" w:rsidRDefault="00467950">
          <w:pPr>
            <w:pStyle w:val="TOC3"/>
            <w:rPr>
              <w:rFonts w:eastAsiaTheme="minorEastAsia" w:cstheme="minorBidi"/>
              <w:b w:val="0"/>
              <w:color w:val="auto"/>
            </w:rPr>
          </w:pPr>
          <w:hyperlink w:anchor="_Toc111467861" w:history="1">
            <w:r w:rsidR="00C5696D" w:rsidRPr="00C5696D">
              <w:rPr>
                <w:rStyle w:val="Hyperlink"/>
                <w:b w:val="0"/>
              </w:rPr>
              <w:t>2.2. Date de context general privind sistemul de facilități</w:t>
            </w:r>
            <w:r w:rsidR="00C5696D" w:rsidRPr="00C5696D">
              <w:rPr>
                <w:b w:val="0"/>
                <w:webHidden/>
              </w:rPr>
              <w:tab/>
            </w:r>
            <w:r w:rsidR="00C5696D" w:rsidRPr="00C5696D">
              <w:rPr>
                <w:b w:val="0"/>
                <w:webHidden/>
              </w:rPr>
              <w:fldChar w:fldCharType="begin"/>
            </w:r>
            <w:r w:rsidR="00C5696D" w:rsidRPr="00C5696D">
              <w:rPr>
                <w:b w:val="0"/>
                <w:webHidden/>
              </w:rPr>
              <w:instrText xml:space="preserve"> PAGEREF _Toc111467861 \h </w:instrText>
            </w:r>
            <w:r w:rsidR="00C5696D" w:rsidRPr="00C5696D">
              <w:rPr>
                <w:b w:val="0"/>
                <w:webHidden/>
              </w:rPr>
            </w:r>
            <w:r w:rsidR="00C5696D" w:rsidRPr="00C5696D">
              <w:rPr>
                <w:b w:val="0"/>
                <w:webHidden/>
              </w:rPr>
              <w:fldChar w:fldCharType="separate"/>
            </w:r>
            <w:r w:rsidR="00C5696D" w:rsidRPr="00C5696D">
              <w:rPr>
                <w:b w:val="0"/>
                <w:webHidden/>
              </w:rPr>
              <w:t>9</w:t>
            </w:r>
            <w:r w:rsidR="00C5696D" w:rsidRPr="00C5696D">
              <w:rPr>
                <w:b w:val="0"/>
                <w:webHidden/>
              </w:rPr>
              <w:fldChar w:fldCharType="end"/>
            </w:r>
          </w:hyperlink>
        </w:p>
        <w:p w:rsidR="00C5696D" w:rsidRDefault="00467950">
          <w:pPr>
            <w:pStyle w:val="TOC1"/>
            <w:rPr>
              <w:rFonts w:eastAsiaTheme="minorEastAsia" w:cstheme="minorBidi"/>
              <w:b w:val="0"/>
              <w:lang w:val="en-US"/>
            </w:rPr>
          </w:pPr>
          <w:hyperlink w:anchor="_Toc111467862" w:history="1">
            <w:r w:rsidR="00C5696D" w:rsidRPr="009C5427">
              <w:rPr>
                <w:rStyle w:val="Hyperlink"/>
              </w:rPr>
              <w:t>III.</w:t>
            </w:r>
            <w:r w:rsidR="00C5696D">
              <w:rPr>
                <w:rFonts w:eastAsiaTheme="minorEastAsia" w:cstheme="minorBidi"/>
                <w:b w:val="0"/>
                <w:lang w:val="en-US"/>
              </w:rPr>
              <w:tab/>
            </w:r>
            <w:r w:rsidR="00C5696D" w:rsidRPr="009C5427">
              <w:rPr>
                <w:rStyle w:val="Hyperlink"/>
                <w:shd w:val="clear" w:color="auto" w:fill="FFFFFF"/>
              </w:rPr>
              <w:t>SFERA ȘI ABORDAREA AUDITULUI</w:t>
            </w:r>
            <w:r w:rsidR="00C5696D">
              <w:rPr>
                <w:webHidden/>
              </w:rPr>
              <w:tab/>
            </w:r>
            <w:r w:rsidR="00C5696D">
              <w:rPr>
                <w:webHidden/>
              </w:rPr>
              <w:fldChar w:fldCharType="begin"/>
            </w:r>
            <w:r w:rsidR="00C5696D">
              <w:rPr>
                <w:webHidden/>
              </w:rPr>
              <w:instrText xml:space="preserve"> PAGEREF _Toc111467862 \h </w:instrText>
            </w:r>
            <w:r w:rsidR="00C5696D">
              <w:rPr>
                <w:webHidden/>
              </w:rPr>
            </w:r>
            <w:r w:rsidR="00C5696D">
              <w:rPr>
                <w:webHidden/>
              </w:rPr>
              <w:fldChar w:fldCharType="separate"/>
            </w:r>
            <w:r w:rsidR="00C5696D">
              <w:rPr>
                <w:webHidden/>
              </w:rPr>
              <w:t>11</w:t>
            </w:r>
            <w:r w:rsidR="00C5696D">
              <w:rPr>
                <w:webHidden/>
              </w:rPr>
              <w:fldChar w:fldCharType="end"/>
            </w:r>
          </w:hyperlink>
        </w:p>
        <w:p w:rsidR="00C5696D" w:rsidRPr="00C5696D" w:rsidRDefault="00467950">
          <w:pPr>
            <w:pStyle w:val="TOC3"/>
            <w:rPr>
              <w:rFonts w:eastAsiaTheme="minorEastAsia" w:cstheme="minorBidi"/>
              <w:b w:val="0"/>
              <w:color w:val="auto"/>
            </w:rPr>
          </w:pPr>
          <w:hyperlink w:anchor="_Toc111467863" w:history="1">
            <w:r w:rsidR="00C5696D" w:rsidRPr="00C5696D">
              <w:rPr>
                <w:rStyle w:val="Hyperlink"/>
                <w:b w:val="0"/>
                <w:shd w:val="clear" w:color="auto" w:fill="FFFFFF"/>
              </w:rPr>
              <w:t>3.1. Mandatul legal și scopul auditului</w:t>
            </w:r>
            <w:r w:rsidR="00C5696D" w:rsidRPr="00C5696D">
              <w:rPr>
                <w:b w:val="0"/>
                <w:webHidden/>
              </w:rPr>
              <w:tab/>
            </w:r>
            <w:r w:rsidR="00C5696D" w:rsidRPr="00C5696D">
              <w:rPr>
                <w:b w:val="0"/>
                <w:webHidden/>
              </w:rPr>
              <w:fldChar w:fldCharType="begin"/>
            </w:r>
            <w:r w:rsidR="00C5696D" w:rsidRPr="00C5696D">
              <w:rPr>
                <w:b w:val="0"/>
                <w:webHidden/>
              </w:rPr>
              <w:instrText xml:space="preserve"> PAGEREF _Toc111467863 \h </w:instrText>
            </w:r>
            <w:r w:rsidR="00C5696D" w:rsidRPr="00C5696D">
              <w:rPr>
                <w:b w:val="0"/>
                <w:webHidden/>
              </w:rPr>
            </w:r>
            <w:r w:rsidR="00C5696D" w:rsidRPr="00C5696D">
              <w:rPr>
                <w:b w:val="0"/>
                <w:webHidden/>
              </w:rPr>
              <w:fldChar w:fldCharType="separate"/>
            </w:r>
            <w:r w:rsidR="00C5696D" w:rsidRPr="00C5696D">
              <w:rPr>
                <w:b w:val="0"/>
                <w:webHidden/>
              </w:rPr>
              <w:t>11</w:t>
            </w:r>
            <w:r w:rsidR="00C5696D" w:rsidRPr="00C5696D">
              <w:rPr>
                <w:b w:val="0"/>
                <w:webHidden/>
              </w:rPr>
              <w:fldChar w:fldCharType="end"/>
            </w:r>
          </w:hyperlink>
        </w:p>
        <w:p w:rsidR="00C5696D" w:rsidRPr="00C5696D" w:rsidRDefault="00467950">
          <w:pPr>
            <w:pStyle w:val="TOC3"/>
            <w:rPr>
              <w:rFonts w:eastAsiaTheme="minorEastAsia" w:cstheme="minorBidi"/>
              <w:b w:val="0"/>
              <w:color w:val="auto"/>
            </w:rPr>
          </w:pPr>
          <w:hyperlink w:anchor="_Toc111467864" w:history="1">
            <w:r w:rsidR="00C5696D" w:rsidRPr="00C5696D">
              <w:rPr>
                <w:rStyle w:val="Hyperlink"/>
                <w:b w:val="0"/>
                <w:shd w:val="clear" w:color="auto" w:fill="FFFFFF"/>
              </w:rPr>
              <w:t>3.2. Abordarea auditului</w:t>
            </w:r>
            <w:r w:rsidR="00C5696D" w:rsidRPr="00C5696D">
              <w:rPr>
                <w:b w:val="0"/>
                <w:webHidden/>
              </w:rPr>
              <w:tab/>
            </w:r>
            <w:r w:rsidR="00C5696D" w:rsidRPr="00C5696D">
              <w:rPr>
                <w:b w:val="0"/>
                <w:webHidden/>
              </w:rPr>
              <w:fldChar w:fldCharType="begin"/>
            </w:r>
            <w:r w:rsidR="00C5696D" w:rsidRPr="00C5696D">
              <w:rPr>
                <w:b w:val="0"/>
                <w:webHidden/>
              </w:rPr>
              <w:instrText xml:space="preserve"> PAGEREF _Toc111467864 \h </w:instrText>
            </w:r>
            <w:r w:rsidR="00C5696D" w:rsidRPr="00C5696D">
              <w:rPr>
                <w:b w:val="0"/>
                <w:webHidden/>
              </w:rPr>
            </w:r>
            <w:r w:rsidR="00C5696D" w:rsidRPr="00C5696D">
              <w:rPr>
                <w:b w:val="0"/>
                <w:webHidden/>
              </w:rPr>
              <w:fldChar w:fldCharType="separate"/>
            </w:r>
            <w:r w:rsidR="00C5696D" w:rsidRPr="00C5696D">
              <w:rPr>
                <w:b w:val="0"/>
                <w:webHidden/>
              </w:rPr>
              <w:t>11</w:t>
            </w:r>
            <w:r w:rsidR="00C5696D" w:rsidRPr="00C5696D">
              <w:rPr>
                <w:b w:val="0"/>
                <w:webHidden/>
              </w:rPr>
              <w:fldChar w:fldCharType="end"/>
            </w:r>
          </w:hyperlink>
        </w:p>
        <w:p w:rsidR="00C5696D" w:rsidRPr="00C5696D" w:rsidRDefault="00467950">
          <w:pPr>
            <w:pStyle w:val="TOC3"/>
            <w:rPr>
              <w:rFonts w:eastAsiaTheme="minorEastAsia" w:cstheme="minorBidi"/>
              <w:b w:val="0"/>
              <w:color w:val="auto"/>
            </w:rPr>
          </w:pPr>
          <w:hyperlink w:anchor="_Toc111467865" w:history="1">
            <w:r w:rsidR="00C5696D" w:rsidRPr="00C5696D">
              <w:rPr>
                <w:rStyle w:val="Hyperlink"/>
                <w:rFonts w:eastAsiaTheme="minorHAnsi"/>
                <w:b w:val="0"/>
                <w:shd w:val="clear" w:color="auto" w:fill="FFFFFF"/>
              </w:rPr>
              <w:t>3.3. Responsabilitatea echipei de audit</w:t>
            </w:r>
            <w:r w:rsidR="00C5696D" w:rsidRPr="00C5696D">
              <w:rPr>
                <w:b w:val="0"/>
                <w:webHidden/>
              </w:rPr>
              <w:tab/>
            </w:r>
            <w:r w:rsidR="00C5696D" w:rsidRPr="00C5696D">
              <w:rPr>
                <w:b w:val="0"/>
                <w:webHidden/>
              </w:rPr>
              <w:fldChar w:fldCharType="begin"/>
            </w:r>
            <w:r w:rsidR="00C5696D" w:rsidRPr="00C5696D">
              <w:rPr>
                <w:b w:val="0"/>
                <w:webHidden/>
              </w:rPr>
              <w:instrText xml:space="preserve"> PAGEREF _Toc111467865 \h </w:instrText>
            </w:r>
            <w:r w:rsidR="00C5696D" w:rsidRPr="00C5696D">
              <w:rPr>
                <w:b w:val="0"/>
                <w:webHidden/>
              </w:rPr>
            </w:r>
            <w:r w:rsidR="00C5696D" w:rsidRPr="00C5696D">
              <w:rPr>
                <w:b w:val="0"/>
                <w:webHidden/>
              </w:rPr>
              <w:fldChar w:fldCharType="separate"/>
            </w:r>
            <w:r w:rsidR="00C5696D" w:rsidRPr="00C5696D">
              <w:rPr>
                <w:b w:val="0"/>
                <w:webHidden/>
              </w:rPr>
              <w:t>12</w:t>
            </w:r>
            <w:r w:rsidR="00C5696D" w:rsidRPr="00C5696D">
              <w:rPr>
                <w:b w:val="0"/>
                <w:webHidden/>
              </w:rPr>
              <w:fldChar w:fldCharType="end"/>
            </w:r>
          </w:hyperlink>
        </w:p>
        <w:p w:rsidR="00C5696D" w:rsidRDefault="00467950">
          <w:pPr>
            <w:pStyle w:val="TOC1"/>
            <w:rPr>
              <w:rFonts w:eastAsiaTheme="minorEastAsia" w:cstheme="minorBidi"/>
              <w:b w:val="0"/>
              <w:lang w:val="en-US"/>
            </w:rPr>
          </w:pPr>
          <w:hyperlink w:anchor="_Toc111467866" w:history="1">
            <w:r w:rsidR="00C5696D" w:rsidRPr="009C5427">
              <w:rPr>
                <w:rStyle w:val="Hyperlink"/>
              </w:rPr>
              <w:t>IV.</w:t>
            </w:r>
            <w:r w:rsidR="00C5696D">
              <w:rPr>
                <w:rFonts w:eastAsiaTheme="minorEastAsia" w:cstheme="minorBidi"/>
                <w:b w:val="0"/>
                <w:lang w:val="en-US"/>
              </w:rPr>
              <w:tab/>
            </w:r>
            <w:r w:rsidR="00C5696D" w:rsidRPr="009C5427">
              <w:rPr>
                <w:rStyle w:val="Hyperlink"/>
                <w:shd w:val="clear" w:color="auto" w:fill="FFFFFF"/>
              </w:rPr>
              <w:t>CONSTATĂRI</w:t>
            </w:r>
            <w:r w:rsidR="00C5696D">
              <w:rPr>
                <w:webHidden/>
              </w:rPr>
              <w:tab/>
            </w:r>
            <w:r w:rsidR="00C5696D">
              <w:rPr>
                <w:webHidden/>
              </w:rPr>
              <w:fldChar w:fldCharType="begin"/>
            </w:r>
            <w:r w:rsidR="00C5696D">
              <w:rPr>
                <w:webHidden/>
              </w:rPr>
              <w:instrText xml:space="preserve"> PAGEREF _Toc111467866 \h </w:instrText>
            </w:r>
            <w:r w:rsidR="00C5696D">
              <w:rPr>
                <w:webHidden/>
              </w:rPr>
            </w:r>
            <w:r w:rsidR="00C5696D">
              <w:rPr>
                <w:webHidden/>
              </w:rPr>
              <w:fldChar w:fldCharType="separate"/>
            </w:r>
            <w:r w:rsidR="00C5696D">
              <w:rPr>
                <w:webHidden/>
              </w:rPr>
              <w:t>12</w:t>
            </w:r>
            <w:r w:rsidR="00C5696D">
              <w:rPr>
                <w:webHidden/>
              </w:rPr>
              <w:fldChar w:fldCharType="end"/>
            </w:r>
          </w:hyperlink>
        </w:p>
        <w:p w:rsidR="00C5696D" w:rsidRDefault="00467950" w:rsidP="00C5696D">
          <w:pPr>
            <w:pStyle w:val="TOC2"/>
            <w:rPr>
              <w:rFonts w:eastAsiaTheme="minorEastAsia" w:cstheme="minorBidi"/>
              <w:color w:val="000000"/>
              <w14:textFill>
                <w14:solidFill>
                  <w14:srgbClr w14:val="000000">
                    <w14:lumMod w14:val="75000"/>
                  </w14:srgbClr>
                </w14:solidFill>
              </w14:textFill>
            </w:rPr>
          </w:pPr>
          <w:hyperlink w:anchor="_Toc111467867" w:history="1">
            <w:r w:rsidR="00C5696D" w:rsidRPr="009C5427">
              <w:rPr>
                <w:rStyle w:val="Hyperlink"/>
                <w:rFonts w:cstheme="majorHAnsi"/>
              </w:rPr>
              <w:t>4.1. OBIECTIVUL nr.1:</w:t>
            </w:r>
            <w:r w:rsidR="00C5696D" w:rsidRPr="009C5427">
              <w:rPr>
                <w:rStyle w:val="Hyperlink"/>
                <w:rFonts w:cstheme="majorHAnsi"/>
                <w:i/>
              </w:rPr>
              <w:t xml:space="preserve"> </w:t>
            </w:r>
            <w:r w:rsidR="00C5696D" w:rsidRPr="009C5427">
              <w:rPr>
                <w:rStyle w:val="Hyperlink"/>
                <w:rFonts w:cstheme="majorHAnsi"/>
              </w:rPr>
              <w:t>Au fost implementate politici și instrumente care să asigure   conformitatea și corectitudinea  estimării  costurilor bugetare ale facilităților fiscale?</w:t>
            </w:r>
            <w:r w:rsidR="00C5696D">
              <w:rPr>
                <w:webHidden/>
              </w:rPr>
              <w:tab/>
            </w:r>
            <w:r w:rsidR="00C5696D">
              <w:rPr>
                <w:webHidden/>
              </w:rPr>
              <w:fldChar w:fldCharType="begin"/>
            </w:r>
            <w:r w:rsidR="00C5696D">
              <w:rPr>
                <w:webHidden/>
              </w:rPr>
              <w:instrText xml:space="preserve"> PAGEREF _Toc111467867 \h </w:instrText>
            </w:r>
            <w:r w:rsidR="00C5696D">
              <w:rPr>
                <w:webHidden/>
              </w:rPr>
            </w:r>
            <w:r w:rsidR="00C5696D">
              <w:rPr>
                <w:webHidden/>
              </w:rPr>
              <w:fldChar w:fldCharType="separate"/>
            </w:r>
            <w:r w:rsidR="00C5696D">
              <w:rPr>
                <w:webHidden/>
              </w:rPr>
              <w:t>12</w:t>
            </w:r>
            <w:r w:rsidR="00C5696D">
              <w:rPr>
                <w:webHidden/>
              </w:rPr>
              <w:fldChar w:fldCharType="end"/>
            </w:r>
          </w:hyperlink>
        </w:p>
        <w:p w:rsidR="00C5696D" w:rsidRPr="00C5696D" w:rsidRDefault="00467950">
          <w:pPr>
            <w:pStyle w:val="TOC3"/>
            <w:rPr>
              <w:rFonts w:eastAsiaTheme="minorEastAsia" w:cstheme="minorBidi"/>
              <w:b w:val="0"/>
              <w:i/>
              <w:color w:val="auto"/>
            </w:rPr>
          </w:pPr>
          <w:hyperlink w:anchor="_Toc111467868" w:history="1">
            <w:r w:rsidR="00C5696D" w:rsidRPr="00C5696D">
              <w:rPr>
                <w:rStyle w:val="Hyperlink"/>
                <w:b w:val="0"/>
                <w:i/>
                <w:color w:val="auto"/>
              </w:rPr>
              <w:t>4.1.1.</w:t>
            </w:r>
            <w:r w:rsidR="00C5696D" w:rsidRPr="00C5696D">
              <w:rPr>
                <w:rFonts w:eastAsiaTheme="minorEastAsia" w:cstheme="minorBidi"/>
                <w:b w:val="0"/>
                <w:i/>
                <w:color w:val="auto"/>
              </w:rPr>
              <w:tab/>
            </w:r>
            <w:r w:rsidR="00C5696D" w:rsidRPr="00C5696D">
              <w:rPr>
                <w:rStyle w:val="Hyperlink"/>
                <w:b w:val="0"/>
                <w:i/>
                <w:color w:val="auto"/>
              </w:rPr>
              <w:t>Cadrul normativ care reglementează sistemul de facilități este lacunar și poartă un caracter fragmentat</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_Toc111467868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13</w:t>
            </w:r>
            <w:r w:rsidR="00C5696D" w:rsidRPr="00C5696D">
              <w:rPr>
                <w:b w:val="0"/>
                <w:i/>
                <w:webHidden/>
                <w:color w:val="auto"/>
              </w:rPr>
              <w:fldChar w:fldCharType="end"/>
            </w:r>
          </w:hyperlink>
        </w:p>
        <w:p w:rsidR="00C5696D" w:rsidRPr="00C5696D" w:rsidRDefault="00467950">
          <w:pPr>
            <w:pStyle w:val="TOC3"/>
            <w:rPr>
              <w:rFonts w:eastAsiaTheme="minorEastAsia" w:cstheme="minorBidi"/>
              <w:b w:val="0"/>
              <w:i/>
              <w:color w:val="auto"/>
            </w:rPr>
          </w:pPr>
          <w:hyperlink w:anchor="_Toc111467869" w:history="1">
            <w:r w:rsidR="00C5696D" w:rsidRPr="00C5696D">
              <w:rPr>
                <w:rStyle w:val="Hyperlink"/>
                <w:b w:val="0"/>
                <w:i/>
                <w:color w:val="auto"/>
                <w:lang w:eastAsia="ru-RU"/>
              </w:rPr>
              <w:t>4.1.2.</w:t>
            </w:r>
            <w:r w:rsidR="00C5696D" w:rsidRPr="00C5696D">
              <w:rPr>
                <w:rFonts w:eastAsiaTheme="minorEastAsia" w:cstheme="minorBidi"/>
                <w:b w:val="0"/>
                <w:i/>
                <w:color w:val="auto"/>
              </w:rPr>
              <w:tab/>
            </w:r>
            <w:r w:rsidR="00C5696D" w:rsidRPr="00C5696D">
              <w:rPr>
                <w:rStyle w:val="Hyperlink"/>
                <w:b w:val="0"/>
                <w:i/>
                <w:color w:val="auto"/>
                <w:lang w:eastAsia="ru-RU"/>
              </w:rPr>
              <w:t xml:space="preserve">Ministerul Finanțelor înregistrează progrese modeste în aspectul sistematizării costurilor bugetare ale </w:t>
            </w:r>
            <w:r w:rsidR="00C5696D" w:rsidRPr="00C5696D">
              <w:rPr>
                <w:rStyle w:val="Hyperlink"/>
                <w:b w:val="0"/>
                <w:i/>
                <w:color w:val="auto"/>
              </w:rPr>
              <w:t>facilităților fiscale</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_Toc111467869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14</w:t>
            </w:r>
            <w:r w:rsidR="00C5696D" w:rsidRPr="00C5696D">
              <w:rPr>
                <w:b w:val="0"/>
                <w:i/>
                <w:webHidden/>
                <w:color w:val="auto"/>
              </w:rPr>
              <w:fldChar w:fldCharType="end"/>
            </w:r>
          </w:hyperlink>
        </w:p>
        <w:p w:rsidR="00C5696D" w:rsidRPr="00C5696D" w:rsidRDefault="00467950">
          <w:pPr>
            <w:pStyle w:val="TOC3"/>
            <w:rPr>
              <w:rFonts w:eastAsiaTheme="minorEastAsia" w:cstheme="minorBidi"/>
              <w:b w:val="0"/>
              <w:i/>
              <w:color w:val="auto"/>
            </w:rPr>
          </w:pPr>
          <w:hyperlink w:anchor="_Toc111467870" w:history="1">
            <w:r w:rsidR="00C5696D" w:rsidRPr="00C5696D">
              <w:rPr>
                <w:rStyle w:val="Hyperlink"/>
                <w:b w:val="0"/>
                <w:i/>
                <w:color w:val="auto"/>
                <w:lang w:eastAsia="ru-RU"/>
              </w:rPr>
              <w:t>4.1.3.</w:t>
            </w:r>
            <w:r w:rsidR="00C5696D" w:rsidRPr="00C5696D">
              <w:rPr>
                <w:rFonts w:eastAsiaTheme="minorEastAsia" w:cstheme="minorBidi"/>
                <w:b w:val="0"/>
                <w:i/>
                <w:color w:val="auto"/>
              </w:rPr>
              <w:tab/>
            </w:r>
            <w:r w:rsidR="00C5696D" w:rsidRPr="00C5696D">
              <w:rPr>
                <w:rStyle w:val="Hyperlink"/>
                <w:b w:val="0"/>
                <w:i/>
                <w:color w:val="auto"/>
                <w:lang w:eastAsia="ru-RU"/>
              </w:rPr>
              <w:t>SFS nu a manifestat diligență și responsabilitate în procesul de evaluare și raportare a costurilor bugetare ale facilităților fiscale, în consecință, datele raportate conținând erori semnificative</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_Toc111467870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15</w:t>
            </w:r>
            <w:r w:rsidR="00C5696D" w:rsidRPr="00C5696D">
              <w:rPr>
                <w:b w:val="0"/>
                <w:i/>
                <w:webHidden/>
                <w:color w:val="auto"/>
              </w:rPr>
              <w:fldChar w:fldCharType="end"/>
            </w:r>
          </w:hyperlink>
        </w:p>
        <w:p w:rsidR="00C5696D" w:rsidRPr="00C5696D" w:rsidRDefault="00467950">
          <w:pPr>
            <w:pStyle w:val="TOC3"/>
            <w:rPr>
              <w:rFonts w:eastAsiaTheme="minorEastAsia" w:cstheme="minorBidi"/>
              <w:b w:val="0"/>
              <w:i/>
              <w:color w:val="auto"/>
            </w:rPr>
          </w:pPr>
          <w:hyperlink w:anchor="_Toc111467871" w:history="1">
            <w:r w:rsidR="00C5696D" w:rsidRPr="00C5696D">
              <w:rPr>
                <w:rStyle w:val="Hyperlink"/>
                <w:rFonts w:cstheme="minorHAnsi"/>
                <w:b w:val="0"/>
                <w:bCs/>
                <w:i/>
                <w:color w:val="auto"/>
              </w:rPr>
              <w:t>4.1.4.</w:t>
            </w:r>
            <w:r w:rsidR="00C5696D" w:rsidRPr="00C5696D">
              <w:rPr>
                <w:rFonts w:eastAsiaTheme="minorEastAsia" w:cstheme="minorBidi"/>
                <w:b w:val="0"/>
                <w:i/>
                <w:color w:val="auto"/>
              </w:rPr>
              <w:tab/>
            </w:r>
            <w:r w:rsidR="00C5696D" w:rsidRPr="00C5696D">
              <w:rPr>
                <w:rStyle w:val="Hyperlink"/>
                <w:b w:val="0"/>
                <w:i/>
                <w:iCs/>
                <w:color w:val="auto"/>
              </w:rPr>
              <w:t>Autoritățile statului au avut abordări diferite privind atribuirea ca facilitate a regimului special de impozitare  rezidenților parcurilor pentru tehnologia informației și angajaților acestora (Codul facilității - CFARF001)</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_Toc111467871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20</w:t>
            </w:r>
            <w:r w:rsidR="00C5696D" w:rsidRPr="00C5696D">
              <w:rPr>
                <w:b w:val="0"/>
                <w:i/>
                <w:webHidden/>
                <w:color w:val="auto"/>
              </w:rPr>
              <w:fldChar w:fldCharType="end"/>
            </w:r>
          </w:hyperlink>
        </w:p>
        <w:p w:rsidR="00C5696D" w:rsidRPr="00C5696D" w:rsidRDefault="00467950">
          <w:pPr>
            <w:pStyle w:val="TOC3"/>
            <w:rPr>
              <w:rFonts w:eastAsiaTheme="minorEastAsia" w:cstheme="minorBidi"/>
              <w:b w:val="0"/>
              <w:i/>
              <w:color w:val="auto"/>
            </w:rPr>
          </w:pPr>
          <w:hyperlink w:anchor="_Toc111467872" w:history="1">
            <w:r w:rsidR="00C5696D" w:rsidRPr="00C5696D">
              <w:rPr>
                <w:rStyle w:val="Hyperlink"/>
                <w:b w:val="0"/>
                <w:i/>
                <w:color w:val="auto"/>
              </w:rPr>
              <w:t>4.1.5.</w:t>
            </w:r>
            <w:r w:rsidR="00C5696D" w:rsidRPr="00C5696D">
              <w:rPr>
                <w:rFonts w:eastAsiaTheme="minorEastAsia" w:cstheme="minorBidi"/>
                <w:b w:val="0"/>
                <w:i/>
                <w:color w:val="auto"/>
              </w:rPr>
              <w:tab/>
            </w:r>
            <w:r w:rsidR="00C5696D" w:rsidRPr="00C5696D">
              <w:rPr>
                <w:rStyle w:val="Hyperlink"/>
                <w:b w:val="0"/>
                <w:i/>
                <w:iCs/>
                <w:color w:val="auto"/>
              </w:rPr>
              <w:t>SFS nu a identificat riscuri aferente controlului corectitudinii valorificării facilităților fiscale</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_Toc111467872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21</w:t>
            </w:r>
            <w:r w:rsidR="00C5696D" w:rsidRPr="00C5696D">
              <w:rPr>
                <w:b w:val="0"/>
                <w:i/>
                <w:webHidden/>
                <w:color w:val="auto"/>
              </w:rPr>
              <w:fldChar w:fldCharType="end"/>
            </w:r>
          </w:hyperlink>
        </w:p>
        <w:p w:rsidR="00C5696D" w:rsidRPr="00C5696D" w:rsidRDefault="00467950" w:rsidP="00C5696D">
          <w:pPr>
            <w:pStyle w:val="TOC2"/>
            <w:rPr>
              <w:rFonts w:eastAsiaTheme="minorEastAsia" w:cstheme="minorBidi"/>
              <w:color w:val="auto"/>
            </w:rPr>
          </w:pPr>
          <w:hyperlink w:anchor="_Toc111467873" w:history="1">
            <w:r w:rsidR="00C5696D" w:rsidRPr="00C5696D">
              <w:rPr>
                <w:rStyle w:val="Hyperlink"/>
                <w:color w:val="2E74B5" w:themeColor="accent1" w:themeShade="BF"/>
              </w:rPr>
              <w:t>4.2. OBIECTIVUL nr.2: Autoritățile statului au reexaminat sistemul existent de facilități, fiind aplicate conform principiile bunei guvernări?</w:t>
            </w:r>
            <w:r w:rsidR="00C5696D" w:rsidRPr="00C5696D">
              <w:rPr>
                <w:webHidden/>
              </w:rPr>
              <w:tab/>
            </w:r>
            <w:r w:rsidR="00C5696D" w:rsidRPr="00C5696D">
              <w:rPr>
                <w:webHidden/>
              </w:rPr>
              <w:fldChar w:fldCharType="begin"/>
            </w:r>
            <w:r w:rsidR="00C5696D" w:rsidRPr="00C5696D">
              <w:rPr>
                <w:webHidden/>
              </w:rPr>
              <w:instrText xml:space="preserve"> PAGEREF _Toc111467873 \h </w:instrText>
            </w:r>
            <w:r w:rsidR="00C5696D" w:rsidRPr="00C5696D">
              <w:rPr>
                <w:webHidden/>
              </w:rPr>
            </w:r>
            <w:r w:rsidR="00C5696D" w:rsidRPr="00C5696D">
              <w:rPr>
                <w:webHidden/>
              </w:rPr>
              <w:fldChar w:fldCharType="separate"/>
            </w:r>
            <w:r w:rsidR="00C5696D" w:rsidRPr="00C5696D">
              <w:rPr>
                <w:webHidden/>
              </w:rPr>
              <w:t>22</w:t>
            </w:r>
            <w:r w:rsidR="00C5696D" w:rsidRPr="00C5696D">
              <w:rPr>
                <w:webHidden/>
              </w:rPr>
              <w:fldChar w:fldCharType="end"/>
            </w:r>
          </w:hyperlink>
        </w:p>
        <w:p w:rsidR="00C5696D" w:rsidRPr="00C5696D" w:rsidRDefault="00467950">
          <w:pPr>
            <w:pStyle w:val="TOC3"/>
            <w:rPr>
              <w:rFonts w:eastAsiaTheme="minorEastAsia" w:cstheme="minorBidi"/>
              <w:b w:val="0"/>
              <w:i/>
              <w:color w:val="auto"/>
            </w:rPr>
          </w:pPr>
          <w:hyperlink w:anchor="_Toc111467874" w:history="1">
            <w:r w:rsidR="00C5696D" w:rsidRPr="00C5696D">
              <w:rPr>
                <w:rStyle w:val="Hyperlink"/>
                <w:b w:val="0"/>
                <w:i/>
                <w:color w:val="auto"/>
                <w:lang w:eastAsia="ru-RU"/>
              </w:rPr>
              <w:t>4.2.1.</w:t>
            </w:r>
            <w:r w:rsidR="00C5696D" w:rsidRPr="00C5696D">
              <w:rPr>
                <w:rFonts w:eastAsiaTheme="minorEastAsia" w:cstheme="minorBidi"/>
                <w:b w:val="0"/>
                <w:i/>
                <w:color w:val="auto"/>
              </w:rPr>
              <w:tab/>
            </w:r>
            <w:r w:rsidR="00C5696D" w:rsidRPr="00C5696D">
              <w:rPr>
                <w:rStyle w:val="Hyperlink"/>
                <w:b w:val="0"/>
                <w:i/>
                <w:color w:val="auto"/>
                <w:lang w:eastAsia="ru-RU"/>
              </w:rPr>
              <w:t>Ministerul Finanțelor a asigurat reevaluarea unui spectru redus al facilităților  existente</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_Toc111467874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22</w:t>
            </w:r>
            <w:r w:rsidR="00C5696D" w:rsidRPr="00C5696D">
              <w:rPr>
                <w:b w:val="0"/>
                <w:i/>
                <w:webHidden/>
                <w:color w:val="auto"/>
              </w:rPr>
              <w:fldChar w:fldCharType="end"/>
            </w:r>
          </w:hyperlink>
        </w:p>
        <w:p w:rsidR="00C5696D" w:rsidRPr="00C5696D" w:rsidRDefault="00467950">
          <w:pPr>
            <w:pStyle w:val="TOC3"/>
            <w:rPr>
              <w:rFonts w:eastAsiaTheme="minorEastAsia" w:cstheme="minorBidi"/>
              <w:b w:val="0"/>
              <w:i/>
              <w:color w:val="auto"/>
            </w:rPr>
          </w:pPr>
          <w:hyperlink w:anchor="_Toc111467875" w:history="1">
            <w:r w:rsidR="00C5696D" w:rsidRPr="00C5696D">
              <w:rPr>
                <w:rStyle w:val="Hyperlink"/>
                <w:b w:val="0"/>
                <w:i/>
                <w:color w:val="auto"/>
                <w:lang w:eastAsia="ru-RU"/>
              </w:rPr>
              <w:t>4.2.2.</w:t>
            </w:r>
            <w:r w:rsidR="00C5696D" w:rsidRPr="00C5696D">
              <w:rPr>
                <w:rFonts w:eastAsiaTheme="minorEastAsia" w:cstheme="minorBidi"/>
                <w:b w:val="0"/>
                <w:i/>
                <w:color w:val="auto"/>
              </w:rPr>
              <w:tab/>
            </w:r>
            <w:r w:rsidR="00C5696D" w:rsidRPr="00C5696D">
              <w:rPr>
                <w:rStyle w:val="Hyperlink"/>
                <w:b w:val="0"/>
                <w:i/>
                <w:color w:val="auto"/>
              </w:rPr>
              <w:t>Spectrul unor facilități fiscale nu este justificat din punct de vedere economic</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_Toc111467875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23</w:t>
            </w:r>
            <w:r w:rsidR="00C5696D" w:rsidRPr="00C5696D">
              <w:rPr>
                <w:b w:val="0"/>
                <w:i/>
                <w:webHidden/>
                <w:color w:val="auto"/>
              </w:rPr>
              <w:fldChar w:fldCharType="end"/>
            </w:r>
          </w:hyperlink>
        </w:p>
        <w:p w:rsidR="00C5696D" w:rsidRPr="00C5696D" w:rsidRDefault="00467950">
          <w:pPr>
            <w:pStyle w:val="TOC3"/>
            <w:rPr>
              <w:rFonts w:eastAsiaTheme="minorEastAsia" w:cstheme="minorBidi"/>
              <w:b w:val="0"/>
              <w:i/>
              <w:color w:val="auto"/>
            </w:rPr>
          </w:pPr>
          <w:hyperlink w:anchor="_Toc111467876" w:history="1">
            <w:r w:rsidR="00C5696D" w:rsidRPr="00C5696D">
              <w:rPr>
                <w:rStyle w:val="Hyperlink"/>
                <w:b w:val="0"/>
                <w:i/>
                <w:color w:val="auto"/>
                <w:lang w:eastAsia="ru-RU"/>
              </w:rPr>
              <w:t>4.2.3.</w:t>
            </w:r>
            <w:r w:rsidR="00C5696D" w:rsidRPr="00C5696D">
              <w:rPr>
                <w:rFonts w:eastAsiaTheme="minorEastAsia" w:cstheme="minorBidi"/>
                <w:b w:val="0"/>
                <w:i/>
                <w:color w:val="auto"/>
              </w:rPr>
              <w:tab/>
            </w:r>
            <w:r w:rsidR="00C5696D" w:rsidRPr="00C5696D">
              <w:rPr>
                <w:rStyle w:val="Hyperlink"/>
                <w:b w:val="0"/>
                <w:i/>
                <w:color w:val="auto"/>
                <w:lang w:eastAsia="ru-RU"/>
              </w:rPr>
              <w:t xml:space="preserve">Procesul de acordare a scutirii de plata accizelor la alcoolul etilic, utilizat </w:t>
            </w:r>
            <w:r w:rsidR="00C5696D" w:rsidRPr="00C5696D">
              <w:rPr>
                <w:rStyle w:val="Hyperlink"/>
                <w:b w:val="0"/>
                <w:i/>
                <w:color w:val="auto"/>
              </w:rPr>
              <w:t xml:space="preserve">în domeniul </w:t>
            </w:r>
            <w:r w:rsidR="00C5696D" w:rsidRPr="00C5696D">
              <w:rPr>
                <w:rStyle w:val="Hyperlink"/>
                <w:rFonts w:eastAsiaTheme="minorHAnsi"/>
                <w:b w:val="0"/>
                <w:i/>
                <w:iCs/>
                <w:color w:val="auto"/>
                <w:lang w:eastAsia="ro-RO" w:bidi="ro-RO"/>
              </w:rPr>
              <w:t>de parfumerie și cosmetică,</w:t>
            </w:r>
            <w:r w:rsidR="00C5696D" w:rsidRPr="00C5696D">
              <w:rPr>
                <w:rStyle w:val="Hyperlink"/>
                <w:b w:val="0"/>
                <w:i/>
                <w:color w:val="auto"/>
                <w:lang w:eastAsia="ru-RU"/>
              </w:rPr>
              <w:t xml:space="preserve"> a fost unul vulnerabil</w:t>
            </w:r>
            <w:r w:rsidR="00C5696D" w:rsidRPr="00C5696D">
              <w:rPr>
                <w:rStyle w:val="Hyperlink"/>
                <w:b w:val="0"/>
                <w:i/>
                <w:color w:val="auto"/>
              </w:rPr>
              <w:t xml:space="preserve"> și afectat de neconformități, fapt ce a privat bugetul statului de venituri substanțiale</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_Toc111467876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24</w:t>
            </w:r>
            <w:r w:rsidR="00C5696D" w:rsidRPr="00C5696D">
              <w:rPr>
                <w:b w:val="0"/>
                <w:i/>
                <w:webHidden/>
                <w:color w:val="auto"/>
              </w:rPr>
              <w:fldChar w:fldCharType="end"/>
            </w:r>
          </w:hyperlink>
        </w:p>
        <w:p w:rsidR="00C5696D" w:rsidRPr="00C5696D" w:rsidRDefault="00467950">
          <w:pPr>
            <w:pStyle w:val="TOC3"/>
            <w:rPr>
              <w:rFonts w:eastAsiaTheme="minorEastAsia" w:cstheme="minorBidi"/>
              <w:b w:val="0"/>
              <w:i/>
              <w:color w:val="auto"/>
            </w:rPr>
          </w:pPr>
          <w:hyperlink w:anchor="_Toc111467877" w:history="1">
            <w:r w:rsidR="00C5696D" w:rsidRPr="00C5696D">
              <w:rPr>
                <w:rStyle w:val="Hyperlink"/>
                <w:b w:val="0"/>
                <w:i/>
                <w:color w:val="auto"/>
              </w:rPr>
              <w:t>4.2.4.</w:t>
            </w:r>
            <w:r w:rsidR="00C5696D" w:rsidRPr="00C5696D">
              <w:rPr>
                <w:rFonts w:eastAsiaTheme="minorEastAsia" w:cstheme="minorBidi"/>
                <w:b w:val="0"/>
                <w:i/>
                <w:color w:val="auto"/>
              </w:rPr>
              <w:tab/>
            </w:r>
            <w:r w:rsidR="00C5696D" w:rsidRPr="00C5696D">
              <w:rPr>
                <w:rStyle w:val="Hyperlink"/>
                <w:b w:val="0"/>
                <w:i/>
                <w:color w:val="auto"/>
              </w:rPr>
              <w:t>Se constată necesitatea armonizării modului de scutire de plata accizelor la alcoolul etilic nedenaturat utilizat în scopul producerii medicamentelor</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_Toc111467877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29</w:t>
            </w:r>
            <w:r w:rsidR="00C5696D" w:rsidRPr="00C5696D">
              <w:rPr>
                <w:b w:val="0"/>
                <w:i/>
                <w:webHidden/>
                <w:color w:val="auto"/>
              </w:rPr>
              <w:fldChar w:fldCharType="end"/>
            </w:r>
          </w:hyperlink>
        </w:p>
        <w:p w:rsidR="00C5696D" w:rsidRPr="00C5696D" w:rsidRDefault="00467950">
          <w:pPr>
            <w:pStyle w:val="TOC3"/>
            <w:rPr>
              <w:rFonts w:eastAsiaTheme="minorEastAsia" w:cstheme="minorBidi"/>
              <w:b w:val="0"/>
              <w:i/>
              <w:color w:val="auto"/>
            </w:rPr>
          </w:pPr>
          <w:hyperlink w:anchor="_Toc111467878" w:history="1">
            <w:r w:rsidR="00C5696D" w:rsidRPr="00C5696D">
              <w:rPr>
                <w:rStyle w:val="Hyperlink"/>
                <w:b w:val="0"/>
                <w:i/>
                <w:color w:val="auto"/>
              </w:rPr>
              <w:t>4.2.5.</w:t>
            </w:r>
            <w:r w:rsidR="00C5696D" w:rsidRPr="00C5696D">
              <w:rPr>
                <w:rFonts w:eastAsiaTheme="minorEastAsia" w:cstheme="minorBidi"/>
                <w:b w:val="0"/>
                <w:i/>
                <w:color w:val="auto"/>
              </w:rPr>
              <w:tab/>
            </w:r>
            <w:r w:rsidR="00C5696D" w:rsidRPr="00C5696D">
              <w:rPr>
                <w:rStyle w:val="Hyperlink"/>
                <w:b w:val="0"/>
                <w:i/>
                <w:color w:val="auto"/>
              </w:rPr>
              <w:t>Circa 1/4 din rezidenții zonelor libere au beneficiat de înlesniri fiscale în valoare de 36,4 mil.lei, achitând la buget impozite și taxe în valoare de 555,2 mii lei, concomitent efectuând investiții de 137,3 mil.lei</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_Toc111467878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30</w:t>
            </w:r>
            <w:r w:rsidR="00C5696D" w:rsidRPr="00C5696D">
              <w:rPr>
                <w:b w:val="0"/>
                <w:i/>
                <w:webHidden/>
                <w:color w:val="auto"/>
              </w:rPr>
              <w:fldChar w:fldCharType="end"/>
            </w:r>
          </w:hyperlink>
        </w:p>
        <w:p w:rsidR="00C5696D" w:rsidRPr="00C5696D" w:rsidRDefault="00467950">
          <w:pPr>
            <w:pStyle w:val="TOC3"/>
            <w:rPr>
              <w:rFonts w:eastAsiaTheme="minorEastAsia" w:cstheme="minorBidi"/>
              <w:b w:val="0"/>
              <w:i/>
              <w:color w:val="auto"/>
            </w:rPr>
          </w:pPr>
          <w:hyperlink w:anchor="_Toc111467879" w:history="1">
            <w:r w:rsidR="00C5696D" w:rsidRPr="00C5696D">
              <w:rPr>
                <w:rStyle w:val="Hyperlink"/>
                <w:b w:val="0"/>
                <w:i/>
                <w:color w:val="auto"/>
              </w:rPr>
              <w:t>4.2.6.</w:t>
            </w:r>
            <w:r w:rsidR="00C5696D" w:rsidRPr="00C5696D">
              <w:rPr>
                <w:rFonts w:eastAsiaTheme="minorEastAsia" w:cstheme="minorBidi"/>
                <w:b w:val="0"/>
                <w:i/>
                <w:color w:val="auto"/>
              </w:rPr>
              <w:tab/>
            </w:r>
            <w:r w:rsidR="00C5696D" w:rsidRPr="00C5696D">
              <w:rPr>
                <w:rStyle w:val="Hyperlink"/>
                <w:b w:val="0"/>
                <w:i/>
                <w:color w:val="auto"/>
              </w:rPr>
              <w:t>Acțiunile autorităților responsabile de alinierea facilităților fiscale în formă de ajutor de stat la practicile internaționale sunt tardive, ceea ce tangențial afectează și procesul de eficientizare a cheltuielilor bugetare</w:t>
            </w:r>
            <w:r w:rsidR="00C5696D" w:rsidRPr="00C5696D">
              <w:rPr>
                <w:b w:val="0"/>
                <w:i/>
                <w:webHidden/>
                <w:color w:val="auto"/>
              </w:rPr>
              <w:tab/>
            </w:r>
            <w:r w:rsidR="00C5696D" w:rsidRPr="00C5696D">
              <w:rPr>
                <w:b w:val="0"/>
                <w:i/>
                <w:webHidden/>
                <w:color w:val="auto"/>
              </w:rPr>
              <w:fldChar w:fldCharType="begin"/>
            </w:r>
            <w:r w:rsidR="00C5696D" w:rsidRPr="00C5696D">
              <w:rPr>
                <w:b w:val="0"/>
                <w:i/>
                <w:webHidden/>
                <w:color w:val="auto"/>
              </w:rPr>
              <w:instrText xml:space="preserve"> PAGEREF _Toc111467879 \h </w:instrText>
            </w:r>
            <w:r w:rsidR="00C5696D" w:rsidRPr="00C5696D">
              <w:rPr>
                <w:b w:val="0"/>
                <w:i/>
                <w:webHidden/>
                <w:color w:val="auto"/>
              </w:rPr>
            </w:r>
            <w:r w:rsidR="00C5696D" w:rsidRPr="00C5696D">
              <w:rPr>
                <w:b w:val="0"/>
                <w:i/>
                <w:webHidden/>
                <w:color w:val="auto"/>
              </w:rPr>
              <w:fldChar w:fldCharType="separate"/>
            </w:r>
            <w:r w:rsidR="00C5696D" w:rsidRPr="00C5696D">
              <w:rPr>
                <w:b w:val="0"/>
                <w:i/>
                <w:webHidden/>
                <w:color w:val="auto"/>
              </w:rPr>
              <w:t>31</w:t>
            </w:r>
            <w:r w:rsidR="00C5696D" w:rsidRPr="00C5696D">
              <w:rPr>
                <w:b w:val="0"/>
                <w:i/>
                <w:webHidden/>
                <w:color w:val="auto"/>
              </w:rPr>
              <w:fldChar w:fldCharType="end"/>
            </w:r>
          </w:hyperlink>
        </w:p>
        <w:p w:rsidR="00C5696D" w:rsidRDefault="00467950">
          <w:pPr>
            <w:pStyle w:val="TOC1"/>
            <w:rPr>
              <w:rFonts w:eastAsiaTheme="minorEastAsia" w:cstheme="minorBidi"/>
              <w:b w:val="0"/>
              <w:lang w:val="en-US"/>
            </w:rPr>
          </w:pPr>
          <w:hyperlink w:anchor="_Toc111467880" w:history="1">
            <w:r w:rsidR="00C5696D" w:rsidRPr="009C5427">
              <w:rPr>
                <w:rStyle w:val="Hyperlink"/>
              </w:rPr>
              <w:t>V.</w:t>
            </w:r>
            <w:r w:rsidR="00C5696D">
              <w:rPr>
                <w:rFonts w:eastAsiaTheme="minorEastAsia" w:cstheme="minorBidi"/>
                <w:b w:val="0"/>
                <w:lang w:val="en-US"/>
              </w:rPr>
              <w:tab/>
            </w:r>
            <w:r w:rsidR="00C5696D" w:rsidRPr="009C5427">
              <w:rPr>
                <w:rStyle w:val="Hyperlink"/>
              </w:rPr>
              <w:t>CONCLUZIA GENERALĂ</w:t>
            </w:r>
            <w:r w:rsidR="00C5696D">
              <w:rPr>
                <w:webHidden/>
              </w:rPr>
              <w:tab/>
            </w:r>
            <w:r w:rsidR="00C5696D">
              <w:rPr>
                <w:webHidden/>
              </w:rPr>
              <w:fldChar w:fldCharType="begin"/>
            </w:r>
            <w:r w:rsidR="00C5696D">
              <w:rPr>
                <w:webHidden/>
              </w:rPr>
              <w:instrText xml:space="preserve"> PAGEREF _Toc111467880 \h </w:instrText>
            </w:r>
            <w:r w:rsidR="00C5696D">
              <w:rPr>
                <w:webHidden/>
              </w:rPr>
            </w:r>
            <w:r w:rsidR="00C5696D">
              <w:rPr>
                <w:webHidden/>
              </w:rPr>
              <w:fldChar w:fldCharType="separate"/>
            </w:r>
            <w:r w:rsidR="00C5696D">
              <w:rPr>
                <w:webHidden/>
              </w:rPr>
              <w:t>32</w:t>
            </w:r>
            <w:r w:rsidR="00C5696D">
              <w:rPr>
                <w:webHidden/>
              </w:rPr>
              <w:fldChar w:fldCharType="end"/>
            </w:r>
          </w:hyperlink>
        </w:p>
        <w:p w:rsidR="00C5696D" w:rsidRDefault="00467950">
          <w:pPr>
            <w:pStyle w:val="TOC1"/>
            <w:rPr>
              <w:rFonts w:eastAsiaTheme="minorEastAsia" w:cstheme="minorBidi"/>
              <w:b w:val="0"/>
              <w:lang w:val="en-US"/>
            </w:rPr>
          </w:pPr>
          <w:hyperlink w:anchor="_Toc111467881" w:history="1">
            <w:r w:rsidR="00C5696D" w:rsidRPr="009C5427">
              <w:rPr>
                <w:rStyle w:val="Hyperlink"/>
              </w:rPr>
              <w:t>ANEXE</w:t>
            </w:r>
            <w:r w:rsidR="00C5696D">
              <w:rPr>
                <w:webHidden/>
              </w:rPr>
              <w:tab/>
            </w:r>
            <w:r w:rsidR="00C5696D">
              <w:rPr>
                <w:webHidden/>
              </w:rPr>
              <w:fldChar w:fldCharType="begin"/>
            </w:r>
            <w:r w:rsidR="00C5696D">
              <w:rPr>
                <w:webHidden/>
              </w:rPr>
              <w:instrText xml:space="preserve"> PAGEREF _Toc111467881 \h </w:instrText>
            </w:r>
            <w:r w:rsidR="00C5696D">
              <w:rPr>
                <w:webHidden/>
              </w:rPr>
            </w:r>
            <w:r w:rsidR="00C5696D">
              <w:rPr>
                <w:webHidden/>
              </w:rPr>
              <w:fldChar w:fldCharType="separate"/>
            </w:r>
            <w:r w:rsidR="00C5696D">
              <w:rPr>
                <w:webHidden/>
              </w:rPr>
              <w:t>35</w:t>
            </w:r>
            <w:r w:rsidR="00C5696D">
              <w:rPr>
                <w:webHidden/>
              </w:rPr>
              <w:fldChar w:fldCharType="end"/>
            </w:r>
          </w:hyperlink>
        </w:p>
        <w:p w:rsidR="005E5602" w:rsidRPr="009F5847" w:rsidRDefault="005E5602">
          <w:pPr>
            <w:rPr>
              <w:rFonts w:asciiTheme="majorHAnsi" w:hAnsiTheme="majorHAnsi" w:cstheme="majorHAnsi"/>
            </w:rPr>
          </w:pPr>
          <w:r w:rsidRPr="009F5847">
            <w:rPr>
              <w:rFonts w:asciiTheme="majorHAnsi" w:hAnsiTheme="majorHAnsi" w:cstheme="majorHAnsi"/>
              <w:b/>
              <w:bCs/>
              <w:noProof/>
            </w:rPr>
            <w:lastRenderedPageBreak/>
            <w:fldChar w:fldCharType="end"/>
          </w:r>
        </w:p>
      </w:sdtContent>
    </w:sdt>
    <w:p w:rsidR="002C1DE7" w:rsidRPr="009F5847" w:rsidRDefault="002C1DE7" w:rsidP="002C1DE7">
      <w:pPr>
        <w:pStyle w:val="Heading1"/>
        <w:spacing w:after="120"/>
        <w:rPr>
          <w:rFonts w:cstheme="majorHAnsi"/>
          <w:b/>
          <w:color w:val="1F4E79" w:themeColor="accent1" w:themeShade="80"/>
          <w:sz w:val="24"/>
          <w:szCs w:val="24"/>
          <w:shd w:val="clear" w:color="auto" w:fill="FFFFFF"/>
          <w:lang w:val="ro-MD"/>
        </w:rPr>
      </w:pPr>
      <w:bookmarkStart w:id="6" w:name="_Toc111467856"/>
      <w:r w:rsidRPr="009F5847">
        <w:rPr>
          <w:rFonts w:cstheme="majorHAnsi"/>
          <w:b/>
          <w:color w:val="1F4E79" w:themeColor="accent1" w:themeShade="80"/>
          <w:sz w:val="24"/>
          <w:szCs w:val="24"/>
          <w:shd w:val="clear" w:color="auto" w:fill="FFFFFF"/>
          <w:lang w:val="ro-MD"/>
        </w:rPr>
        <w:t>LISTA ACRONIMELOR</w:t>
      </w:r>
      <w:bookmarkEnd w:id="3"/>
      <w:bookmarkEnd w:id="6"/>
    </w:p>
    <w:tbl>
      <w:tblPr>
        <w:tblStyle w:val="TableGrid"/>
        <w:tblW w:w="9360" w:type="dxa"/>
        <w:tblInd w:w="-5" w:type="dxa"/>
        <w:tblLook w:val="04A0" w:firstRow="1" w:lastRow="0" w:firstColumn="1" w:lastColumn="0" w:noHBand="0" w:noVBand="1"/>
      </w:tblPr>
      <w:tblGrid>
        <w:gridCol w:w="1620"/>
        <w:gridCol w:w="7740"/>
      </w:tblGrid>
      <w:tr w:rsidR="005B7292" w:rsidRPr="009F5847" w:rsidTr="003D0CA4">
        <w:tc>
          <w:tcPr>
            <w:tcW w:w="1620" w:type="dxa"/>
          </w:tcPr>
          <w:p w:rsidR="005B7292" w:rsidRPr="009F5847" w:rsidRDefault="005B7292" w:rsidP="005B7292">
            <w:pPr>
              <w:tabs>
                <w:tab w:val="left" w:pos="450"/>
                <w:tab w:val="left" w:pos="3600"/>
              </w:tabs>
              <w:spacing w:line="276" w:lineRule="auto"/>
              <w:ind w:right="9"/>
              <w:rPr>
                <w:rFonts w:asciiTheme="majorHAnsi" w:eastAsia="Times New Roman" w:hAnsiTheme="majorHAnsi" w:cstheme="majorHAnsi"/>
                <w:b/>
              </w:rPr>
            </w:pPr>
            <w:r w:rsidRPr="009F5847">
              <w:rPr>
                <w:rFonts w:asciiTheme="majorHAnsi" w:eastAsia="Times New Roman" w:hAnsiTheme="majorHAnsi" w:cstheme="majorHAnsi"/>
                <w:b/>
              </w:rPr>
              <w:t>BPN</w:t>
            </w:r>
          </w:p>
        </w:tc>
        <w:tc>
          <w:tcPr>
            <w:tcW w:w="7740" w:type="dxa"/>
          </w:tcPr>
          <w:p w:rsidR="005B7292" w:rsidRPr="009F5847" w:rsidRDefault="005B7292" w:rsidP="005B7292">
            <w:pPr>
              <w:spacing w:line="276" w:lineRule="auto"/>
              <w:rPr>
                <w:rFonts w:asciiTheme="majorHAnsi" w:hAnsiTheme="majorHAnsi" w:cstheme="majorHAnsi"/>
              </w:rPr>
            </w:pPr>
            <w:r w:rsidRPr="009F5847">
              <w:rPr>
                <w:rFonts w:asciiTheme="majorHAnsi" w:hAnsiTheme="majorHAnsi" w:cstheme="majorHAnsi"/>
              </w:rPr>
              <w:t xml:space="preserve">Bugetul </w:t>
            </w:r>
            <w:r w:rsidR="00E04E1E" w:rsidRPr="009F5847">
              <w:rPr>
                <w:rFonts w:asciiTheme="majorHAnsi" w:hAnsiTheme="majorHAnsi" w:cstheme="majorHAnsi"/>
              </w:rPr>
              <w:t>P</w:t>
            </w:r>
            <w:r w:rsidRPr="009F5847">
              <w:rPr>
                <w:rFonts w:asciiTheme="majorHAnsi" w:hAnsiTheme="majorHAnsi" w:cstheme="majorHAnsi"/>
              </w:rPr>
              <w:t xml:space="preserve">ublic </w:t>
            </w:r>
            <w:r w:rsidR="00E04E1E" w:rsidRPr="009F5847">
              <w:rPr>
                <w:rFonts w:asciiTheme="majorHAnsi" w:hAnsiTheme="majorHAnsi" w:cstheme="majorHAnsi"/>
              </w:rPr>
              <w:t>N</w:t>
            </w:r>
            <w:r w:rsidRPr="009F5847">
              <w:rPr>
                <w:rFonts w:asciiTheme="majorHAnsi" w:hAnsiTheme="majorHAnsi" w:cstheme="majorHAnsi"/>
              </w:rPr>
              <w:t>ațional</w:t>
            </w:r>
          </w:p>
        </w:tc>
      </w:tr>
      <w:tr w:rsidR="00705DD0" w:rsidRPr="009F5847" w:rsidTr="003D0CA4">
        <w:tc>
          <w:tcPr>
            <w:tcW w:w="1620" w:type="dxa"/>
          </w:tcPr>
          <w:p w:rsidR="00705DD0" w:rsidRPr="009F5847" w:rsidRDefault="00705DD0" w:rsidP="005B7292">
            <w:pPr>
              <w:tabs>
                <w:tab w:val="left" w:pos="450"/>
                <w:tab w:val="left" w:pos="3600"/>
              </w:tabs>
              <w:spacing w:line="276" w:lineRule="auto"/>
              <w:ind w:right="9"/>
              <w:rPr>
                <w:rFonts w:asciiTheme="majorHAnsi" w:eastAsia="Times New Roman" w:hAnsiTheme="majorHAnsi" w:cstheme="majorHAnsi"/>
                <w:b/>
              </w:rPr>
            </w:pPr>
            <w:r w:rsidRPr="009F5847">
              <w:rPr>
                <w:rFonts w:asciiTheme="majorHAnsi" w:eastAsia="Times New Roman" w:hAnsiTheme="majorHAnsi" w:cstheme="majorHAnsi"/>
                <w:b/>
              </w:rPr>
              <w:t>PIB</w:t>
            </w:r>
          </w:p>
        </w:tc>
        <w:tc>
          <w:tcPr>
            <w:tcW w:w="7740" w:type="dxa"/>
          </w:tcPr>
          <w:p w:rsidR="00705DD0" w:rsidRPr="009F5847" w:rsidRDefault="00705DD0" w:rsidP="005B7292">
            <w:pPr>
              <w:spacing w:line="276" w:lineRule="auto"/>
              <w:rPr>
                <w:rFonts w:asciiTheme="majorHAnsi" w:hAnsiTheme="majorHAnsi" w:cstheme="majorHAnsi"/>
              </w:rPr>
            </w:pPr>
            <w:r w:rsidRPr="009F5847">
              <w:rPr>
                <w:rFonts w:asciiTheme="majorHAnsi" w:hAnsiTheme="majorHAnsi" w:cstheme="majorHAnsi"/>
              </w:rPr>
              <w:t>Produsul Intern Brut</w:t>
            </w:r>
          </w:p>
        </w:tc>
      </w:tr>
      <w:tr w:rsidR="005B7292" w:rsidRPr="009F5847" w:rsidTr="003D0CA4">
        <w:tc>
          <w:tcPr>
            <w:tcW w:w="1620" w:type="dxa"/>
          </w:tcPr>
          <w:p w:rsidR="005B7292" w:rsidRPr="009F5847" w:rsidRDefault="005B7292" w:rsidP="005B7292">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Guvern</w:t>
            </w:r>
          </w:p>
        </w:tc>
        <w:tc>
          <w:tcPr>
            <w:tcW w:w="7740" w:type="dxa"/>
          </w:tcPr>
          <w:p w:rsidR="005B7292" w:rsidRPr="009F5847" w:rsidRDefault="005B7292" w:rsidP="005B7292">
            <w:pPr>
              <w:rPr>
                <w:rFonts w:asciiTheme="majorHAnsi" w:hAnsiTheme="majorHAnsi" w:cstheme="majorHAnsi"/>
              </w:rPr>
            </w:pPr>
            <w:r w:rsidRPr="009F5847">
              <w:rPr>
                <w:rFonts w:asciiTheme="majorHAnsi" w:hAnsiTheme="majorHAnsi" w:cstheme="majorHAnsi"/>
              </w:rPr>
              <w:t>Guvernul Republicii Moldova</w:t>
            </w:r>
          </w:p>
        </w:tc>
      </w:tr>
      <w:tr w:rsidR="005C4443" w:rsidRPr="009F5847" w:rsidTr="003D0CA4">
        <w:tc>
          <w:tcPr>
            <w:tcW w:w="1620" w:type="dxa"/>
          </w:tcPr>
          <w:p w:rsidR="005C4443" w:rsidRPr="009F5847" w:rsidRDefault="005C4443" w:rsidP="005B7292">
            <w:pPr>
              <w:tabs>
                <w:tab w:val="left" w:pos="450"/>
                <w:tab w:val="left" w:pos="3600"/>
              </w:tabs>
              <w:ind w:right="9"/>
              <w:rPr>
                <w:rFonts w:asciiTheme="majorHAnsi" w:eastAsia="Times New Roman" w:hAnsiTheme="majorHAnsi" w:cstheme="majorHAnsi"/>
                <w:b/>
              </w:rPr>
            </w:pPr>
            <w:r>
              <w:rPr>
                <w:rFonts w:asciiTheme="majorHAnsi" w:eastAsia="Times New Roman" w:hAnsiTheme="majorHAnsi" w:cstheme="majorHAnsi"/>
                <w:b/>
              </w:rPr>
              <w:t>ME</w:t>
            </w:r>
          </w:p>
        </w:tc>
        <w:tc>
          <w:tcPr>
            <w:tcW w:w="7740" w:type="dxa"/>
          </w:tcPr>
          <w:p w:rsidR="005C4443" w:rsidRPr="009F5847" w:rsidRDefault="005C4443" w:rsidP="005B7292">
            <w:pPr>
              <w:rPr>
                <w:rFonts w:asciiTheme="majorHAnsi" w:hAnsiTheme="majorHAnsi" w:cstheme="majorHAnsi"/>
              </w:rPr>
            </w:pPr>
            <w:r>
              <w:rPr>
                <w:rFonts w:asciiTheme="majorHAnsi" w:hAnsiTheme="majorHAnsi" w:cstheme="majorHAnsi"/>
              </w:rPr>
              <w:t>Ministerul Economiei</w:t>
            </w:r>
          </w:p>
        </w:tc>
      </w:tr>
      <w:tr w:rsidR="005B7292" w:rsidRPr="009F5847" w:rsidTr="003D0CA4">
        <w:tc>
          <w:tcPr>
            <w:tcW w:w="1620" w:type="dxa"/>
          </w:tcPr>
          <w:p w:rsidR="005B7292" w:rsidRPr="009F5847" w:rsidRDefault="005B7292" w:rsidP="005B7292">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MF</w:t>
            </w:r>
          </w:p>
        </w:tc>
        <w:tc>
          <w:tcPr>
            <w:tcW w:w="7740" w:type="dxa"/>
          </w:tcPr>
          <w:p w:rsidR="005B7292" w:rsidRPr="009F5847" w:rsidRDefault="005B7292" w:rsidP="005B7292">
            <w:pPr>
              <w:rPr>
                <w:rFonts w:asciiTheme="majorHAnsi" w:hAnsiTheme="majorHAnsi" w:cstheme="majorHAnsi"/>
              </w:rPr>
            </w:pPr>
            <w:r w:rsidRPr="009F5847">
              <w:rPr>
                <w:rFonts w:asciiTheme="majorHAnsi" w:hAnsiTheme="majorHAnsi" w:cstheme="majorHAnsi"/>
              </w:rPr>
              <w:t>Ministerul Finanțelor</w:t>
            </w:r>
          </w:p>
        </w:tc>
      </w:tr>
      <w:tr w:rsidR="00435678" w:rsidRPr="009F5847" w:rsidTr="003D0CA4">
        <w:tc>
          <w:tcPr>
            <w:tcW w:w="1620" w:type="dxa"/>
          </w:tcPr>
          <w:p w:rsidR="003D0CA4" w:rsidRPr="009F5847" w:rsidRDefault="00435678" w:rsidP="005B7292">
            <w:pPr>
              <w:tabs>
                <w:tab w:val="left" w:pos="450"/>
                <w:tab w:val="left" w:pos="3600"/>
              </w:tabs>
              <w:ind w:right="9"/>
              <w:rPr>
                <w:rFonts w:asciiTheme="majorHAnsi" w:hAnsiTheme="majorHAnsi" w:cstheme="majorHAnsi"/>
                <w:b/>
              </w:rPr>
            </w:pPr>
            <w:r w:rsidRPr="009F5847">
              <w:rPr>
                <w:rFonts w:asciiTheme="majorHAnsi" w:hAnsiTheme="majorHAnsi" w:cstheme="majorHAnsi"/>
                <w:b/>
              </w:rPr>
              <w:t>MAIA/</w:t>
            </w:r>
            <w:r w:rsidR="003D0CA4" w:rsidRPr="009F5847">
              <w:rPr>
                <w:rFonts w:asciiTheme="majorHAnsi" w:hAnsiTheme="majorHAnsi" w:cstheme="majorHAnsi"/>
                <w:b/>
              </w:rPr>
              <w:t xml:space="preserve"> </w:t>
            </w:r>
          </w:p>
          <w:p w:rsidR="00435678" w:rsidRPr="009F5847" w:rsidRDefault="00435678" w:rsidP="005B7292">
            <w:pPr>
              <w:tabs>
                <w:tab w:val="left" w:pos="450"/>
                <w:tab w:val="left" w:pos="3600"/>
              </w:tabs>
              <w:ind w:right="9"/>
              <w:rPr>
                <w:rFonts w:asciiTheme="majorHAnsi" w:hAnsiTheme="majorHAnsi" w:cstheme="majorHAnsi"/>
                <w:b/>
              </w:rPr>
            </w:pPr>
            <w:r w:rsidRPr="009F5847">
              <w:rPr>
                <w:rFonts w:asciiTheme="majorHAnsi" w:hAnsiTheme="majorHAnsi" w:cstheme="majorHAnsi"/>
                <w:b/>
              </w:rPr>
              <w:t>MADRM</w:t>
            </w:r>
          </w:p>
        </w:tc>
        <w:tc>
          <w:tcPr>
            <w:tcW w:w="7740" w:type="dxa"/>
          </w:tcPr>
          <w:p w:rsidR="00435678" w:rsidRPr="009F5847" w:rsidRDefault="00435678" w:rsidP="000B09F8">
            <w:pPr>
              <w:jc w:val="both"/>
              <w:rPr>
                <w:rFonts w:asciiTheme="majorHAnsi" w:hAnsiTheme="majorHAnsi" w:cstheme="majorHAnsi"/>
              </w:rPr>
            </w:pPr>
            <w:r w:rsidRPr="009F5847">
              <w:rPr>
                <w:rFonts w:asciiTheme="majorHAnsi" w:hAnsiTheme="majorHAnsi" w:cstheme="majorHAnsi"/>
              </w:rPr>
              <w:t>Ministerul Agriculturii și Industriei Alimentare</w:t>
            </w:r>
            <w:r w:rsidR="00114AFD" w:rsidRPr="009F5847">
              <w:rPr>
                <w:rFonts w:asciiTheme="majorHAnsi" w:hAnsiTheme="majorHAnsi" w:cstheme="majorHAnsi"/>
              </w:rPr>
              <w:t>,</w:t>
            </w:r>
            <w:r w:rsidR="000B09F8" w:rsidRPr="009F5847">
              <w:rPr>
                <w:rFonts w:asciiTheme="majorHAnsi" w:hAnsiTheme="majorHAnsi" w:cstheme="majorHAnsi"/>
              </w:rPr>
              <w:t xml:space="preserve"> care</w:t>
            </w:r>
            <w:r w:rsidR="00114AFD" w:rsidRPr="009F5847">
              <w:rPr>
                <w:rFonts w:asciiTheme="majorHAnsi" w:hAnsiTheme="majorHAnsi" w:cstheme="majorHAnsi"/>
              </w:rPr>
              <w:t>,</w:t>
            </w:r>
            <w:r w:rsidR="000B09F8" w:rsidRPr="009F5847">
              <w:rPr>
                <w:rFonts w:asciiTheme="majorHAnsi" w:hAnsiTheme="majorHAnsi" w:cstheme="majorHAnsi"/>
              </w:rPr>
              <w:t xml:space="preserve"> după restructurare</w:t>
            </w:r>
            <w:r w:rsidR="00114AFD" w:rsidRPr="009F5847">
              <w:rPr>
                <w:rFonts w:asciiTheme="majorHAnsi" w:hAnsiTheme="majorHAnsi" w:cstheme="majorHAnsi"/>
              </w:rPr>
              <w:t>,</w:t>
            </w:r>
            <w:r w:rsidR="000B09F8" w:rsidRPr="009F5847">
              <w:rPr>
                <w:rFonts w:asciiTheme="majorHAnsi" w:hAnsiTheme="majorHAnsi" w:cstheme="majorHAnsi"/>
              </w:rPr>
              <w:t xml:space="preserve"> a preluat funcțiile Ministerului Agriculturii, Dezvoltării Regionale și Mediului</w:t>
            </w:r>
          </w:p>
        </w:tc>
      </w:tr>
      <w:tr w:rsidR="005B7292" w:rsidRPr="009F5847" w:rsidTr="003D0CA4">
        <w:tc>
          <w:tcPr>
            <w:tcW w:w="1620" w:type="dxa"/>
          </w:tcPr>
          <w:p w:rsidR="005B7292" w:rsidRPr="009F5847" w:rsidRDefault="005B7292" w:rsidP="005B7292">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SFS</w:t>
            </w:r>
          </w:p>
        </w:tc>
        <w:tc>
          <w:tcPr>
            <w:tcW w:w="7740" w:type="dxa"/>
          </w:tcPr>
          <w:p w:rsidR="005B7292" w:rsidRPr="009F5847" w:rsidRDefault="005B7292" w:rsidP="005B7292">
            <w:pPr>
              <w:rPr>
                <w:rFonts w:asciiTheme="majorHAnsi" w:hAnsiTheme="majorHAnsi" w:cstheme="majorHAnsi"/>
              </w:rPr>
            </w:pPr>
            <w:r w:rsidRPr="009F5847">
              <w:rPr>
                <w:rFonts w:asciiTheme="majorHAnsi" w:hAnsiTheme="majorHAnsi" w:cstheme="majorHAnsi"/>
              </w:rPr>
              <w:t>Serviciul Fiscal de Stat</w:t>
            </w:r>
          </w:p>
        </w:tc>
      </w:tr>
      <w:tr w:rsidR="005E3BE8" w:rsidRPr="009F5847" w:rsidTr="003D0CA4">
        <w:tc>
          <w:tcPr>
            <w:tcW w:w="1620" w:type="dxa"/>
          </w:tcPr>
          <w:p w:rsidR="005E3BE8" w:rsidRPr="009F5847" w:rsidRDefault="005E3BE8" w:rsidP="005B7292">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IFPS</w:t>
            </w:r>
          </w:p>
        </w:tc>
        <w:tc>
          <w:tcPr>
            <w:tcW w:w="7740" w:type="dxa"/>
          </w:tcPr>
          <w:p w:rsidR="005E3BE8" w:rsidRPr="009F5847" w:rsidRDefault="005E3BE8" w:rsidP="005B7292">
            <w:pPr>
              <w:rPr>
                <w:rFonts w:asciiTheme="majorHAnsi" w:hAnsiTheme="majorHAnsi" w:cstheme="majorHAnsi"/>
              </w:rPr>
            </w:pPr>
            <w:r w:rsidRPr="009F5847">
              <w:rPr>
                <w:rFonts w:asciiTheme="majorHAnsi" w:hAnsiTheme="majorHAnsi" w:cstheme="majorHAnsi"/>
              </w:rPr>
              <w:t>Inspectoratul Fiscal Principal de Stat</w:t>
            </w:r>
          </w:p>
        </w:tc>
      </w:tr>
      <w:tr w:rsidR="00FD0EC7" w:rsidRPr="009F5847" w:rsidTr="003D0CA4">
        <w:tc>
          <w:tcPr>
            <w:tcW w:w="1620" w:type="dxa"/>
          </w:tcPr>
          <w:p w:rsidR="00FD0EC7" w:rsidRPr="009F5847" w:rsidRDefault="00FD0EC7" w:rsidP="005B7292">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CC</w:t>
            </w:r>
          </w:p>
        </w:tc>
        <w:tc>
          <w:tcPr>
            <w:tcW w:w="7740" w:type="dxa"/>
          </w:tcPr>
          <w:p w:rsidR="00FD0EC7" w:rsidRPr="009F5847" w:rsidRDefault="00FD0EC7" w:rsidP="005B7292">
            <w:pPr>
              <w:rPr>
                <w:rFonts w:asciiTheme="majorHAnsi" w:hAnsiTheme="majorHAnsi" w:cstheme="majorHAnsi"/>
              </w:rPr>
            </w:pPr>
            <w:r w:rsidRPr="009F5847">
              <w:rPr>
                <w:rFonts w:asciiTheme="majorHAnsi" w:hAnsiTheme="majorHAnsi" w:cstheme="majorHAnsi"/>
              </w:rPr>
              <w:t>Consiliul Concurenței</w:t>
            </w:r>
          </w:p>
        </w:tc>
      </w:tr>
      <w:tr w:rsidR="009D120A" w:rsidRPr="009F5847" w:rsidTr="003D0CA4">
        <w:tc>
          <w:tcPr>
            <w:tcW w:w="1620" w:type="dxa"/>
          </w:tcPr>
          <w:p w:rsidR="009D120A" w:rsidRPr="009F5847" w:rsidRDefault="009D120A" w:rsidP="005B7292">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SV</w:t>
            </w:r>
          </w:p>
        </w:tc>
        <w:tc>
          <w:tcPr>
            <w:tcW w:w="7740" w:type="dxa"/>
          </w:tcPr>
          <w:p w:rsidR="009D120A" w:rsidRPr="009F5847" w:rsidRDefault="009D120A" w:rsidP="005B7292">
            <w:pPr>
              <w:rPr>
                <w:rFonts w:asciiTheme="majorHAnsi" w:hAnsiTheme="majorHAnsi" w:cstheme="majorHAnsi"/>
              </w:rPr>
            </w:pPr>
            <w:r w:rsidRPr="009F5847">
              <w:rPr>
                <w:rFonts w:asciiTheme="majorHAnsi" w:hAnsiTheme="majorHAnsi" w:cstheme="majorHAnsi"/>
              </w:rPr>
              <w:t>Serviciul Vamal</w:t>
            </w:r>
          </w:p>
        </w:tc>
      </w:tr>
      <w:tr w:rsidR="000C3C26" w:rsidRPr="009F5847" w:rsidTr="003D0CA4">
        <w:tc>
          <w:tcPr>
            <w:tcW w:w="1620" w:type="dxa"/>
          </w:tcPr>
          <w:p w:rsidR="000C3C26" w:rsidRPr="009F5847" w:rsidRDefault="000C3C26" w:rsidP="005B7292">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ANSP</w:t>
            </w:r>
          </w:p>
        </w:tc>
        <w:tc>
          <w:tcPr>
            <w:tcW w:w="7740" w:type="dxa"/>
          </w:tcPr>
          <w:p w:rsidR="000C3C26" w:rsidRPr="009F5847" w:rsidRDefault="000C3C26" w:rsidP="000C3C26">
            <w:pPr>
              <w:rPr>
                <w:rFonts w:asciiTheme="majorHAnsi" w:hAnsiTheme="majorHAnsi" w:cstheme="majorHAnsi"/>
              </w:rPr>
            </w:pPr>
            <w:r w:rsidRPr="009F5847">
              <w:rPr>
                <w:rFonts w:asciiTheme="majorHAnsi" w:hAnsiTheme="majorHAnsi" w:cstheme="majorHAnsi"/>
              </w:rPr>
              <w:t>Agenția Națională pentru Sănătate Publică</w:t>
            </w:r>
          </w:p>
        </w:tc>
      </w:tr>
      <w:tr w:rsidR="000C3C26" w:rsidRPr="009F5847" w:rsidTr="003D0CA4">
        <w:tc>
          <w:tcPr>
            <w:tcW w:w="1620" w:type="dxa"/>
          </w:tcPr>
          <w:p w:rsidR="000C3C26" w:rsidRPr="009F5847" w:rsidRDefault="000C3C26" w:rsidP="005B7292">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ANSA</w:t>
            </w:r>
          </w:p>
        </w:tc>
        <w:tc>
          <w:tcPr>
            <w:tcW w:w="7740" w:type="dxa"/>
          </w:tcPr>
          <w:p w:rsidR="000C3C26" w:rsidRPr="009F5847" w:rsidRDefault="00B91A6D" w:rsidP="005B7292">
            <w:pPr>
              <w:rPr>
                <w:rFonts w:asciiTheme="majorHAnsi" w:hAnsiTheme="majorHAnsi" w:cstheme="majorHAnsi"/>
              </w:rPr>
            </w:pPr>
            <w:r w:rsidRPr="009F5847">
              <w:rPr>
                <w:rFonts w:asciiTheme="majorHAnsi" w:hAnsiTheme="majorHAnsi" w:cstheme="majorHAnsi"/>
              </w:rPr>
              <w:t>Agenția Națională</w:t>
            </w:r>
            <w:r w:rsidR="000C3C26" w:rsidRPr="009F5847">
              <w:rPr>
                <w:rFonts w:asciiTheme="majorHAnsi" w:hAnsiTheme="majorHAnsi" w:cstheme="majorHAnsi"/>
              </w:rPr>
              <w:t xml:space="preserve"> pentru Siguranța Alimentelor</w:t>
            </w:r>
          </w:p>
        </w:tc>
      </w:tr>
      <w:tr w:rsidR="005B7292" w:rsidRPr="009F5847" w:rsidTr="00726434">
        <w:trPr>
          <w:trHeight w:val="350"/>
        </w:trPr>
        <w:tc>
          <w:tcPr>
            <w:tcW w:w="1620" w:type="dxa"/>
          </w:tcPr>
          <w:p w:rsidR="005B7292" w:rsidRPr="009F5847" w:rsidRDefault="005B7292" w:rsidP="005B7292">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CCRM</w:t>
            </w:r>
          </w:p>
        </w:tc>
        <w:tc>
          <w:tcPr>
            <w:tcW w:w="7740" w:type="dxa"/>
          </w:tcPr>
          <w:p w:rsidR="005B7292" w:rsidRPr="009F5847" w:rsidRDefault="005B7292" w:rsidP="005B7292">
            <w:pPr>
              <w:rPr>
                <w:rFonts w:asciiTheme="majorHAnsi" w:hAnsiTheme="majorHAnsi" w:cstheme="majorHAnsi"/>
              </w:rPr>
            </w:pPr>
            <w:r w:rsidRPr="009F5847">
              <w:rPr>
                <w:rFonts w:asciiTheme="majorHAnsi" w:hAnsiTheme="majorHAnsi" w:cstheme="majorHAnsi"/>
              </w:rPr>
              <w:t>Curtea de Conturi a Republicii Moldova</w:t>
            </w:r>
          </w:p>
        </w:tc>
      </w:tr>
      <w:tr w:rsidR="005B7292" w:rsidRPr="009F5847" w:rsidTr="003D0CA4">
        <w:tc>
          <w:tcPr>
            <w:tcW w:w="1620" w:type="dxa"/>
          </w:tcPr>
          <w:p w:rsidR="005B7292" w:rsidRPr="009F5847" w:rsidRDefault="005B7292" w:rsidP="005B7292">
            <w:pPr>
              <w:tabs>
                <w:tab w:val="left" w:pos="450"/>
                <w:tab w:val="left" w:pos="3600"/>
              </w:tabs>
              <w:ind w:right="9"/>
              <w:rPr>
                <w:rFonts w:asciiTheme="majorHAnsi" w:hAnsiTheme="majorHAnsi" w:cstheme="majorHAnsi"/>
                <w:b/>
              </w:rPr>
            </w:pPr>
            <w:r w:rsidRPr="009F5847">
              <w:rPr>
                <w:rFonts w:asciiTheme="majorHAnsi" w:hAnsiTheme="majorHAnsi" w:cstheme="majorHAnsi"/>
                <w:b/>
              </w:rPr>
              <w:t>HG</w:t>
            </w:r>
          </w:p>
        </w:tc>
        <w:tc>
          <w:tcPr>
            <w:tcW w:w="7740" w:type="dxa"/>
          </w:tcPr>
          <w:p w:rsidR="005B7292" w:rsidRPr="009F5847" w:rsidRDefault="005B7292" w:rsidP="005B7292">
            <w:pPr>
              <w:jc w:val="both"/>
              <w:rPr>
                <w:rFonts w:asciiTheme="majorHAnsi" w:hAnsiTheme="majorHAnsi" w:cstheme="majorHAnsi"/>
              </w:rPr>
            </w:pPr>
            <w:r w:rsidRPr="009F5847">
              <w:rPr>
                <w:rFonts w:asciiTheme="majorHAnsi" w:hAnsiTheme="majorHAnsi" w:cstheme="majorHAnsi"/>
              </w:rPr>
              <w:t>Hotărârea Guvernului</w:t>
            </w:r>
          </w:p>
        </w:tc>
      </w:tr>
      <w:tr w:rsidR="005B7292" w:rsidRPr="009F5847" w:rsidTr="003D0CA4">
        <w:tc>
          <w:tcPr>
            <w:tcW w:w="1620" w:type="dxa"/>
          </w:tcPr>
          <w:p w:rsidR="005B7292" w:rsidRPr="009F5847" w:rsidRDefault="005B7292" w:rsidP="005B7292">
            <w:pPr>
              <w:tabs>
                <w:tab w:val="left" w:pos="450"/>
                <w:tab w:val="left" w:pos="3600"/>
              </w:tabs>
              <w:spacing w:line="276" w:lineRule="auto"/>
              <w:ind w:right="9"/>
              <w:rPr>
                <w:rFonts w:asciiTheme="majorHAnsi" w:eastAsia="Times New Roman" w:hAnsiTheme="majorHAnsi" w:cstheme="majorHAnsi"/>
                <w:b/>
              </w:rPr>
            </w:pPr>
            <w:r w:rsidRPr="009F5847">
              <w:rPr>
                <w:rFonts w:asciiTheme="majorHAnsi" w:eastAsia="Times New Roman" w:hAnsiTheme="majorHAnsi" w:cstheme="majorHAnsi"/>
                <w:b/>
              </w:rPr>
              <w:t>SI</w:t>
            </w:r>
          </w:p>
        </w:tc>
        <w:tc>
          <w:tcPr>
            <w:tcW w:w="7740" w:type="dxa"/>
          </w:tcPr>
          <w:p w:rsidR="005B7292" w:rsidRPr="009F5847" w:rsidRDefault="005B7292" w:rsidP="005B7292">
            <w:pPr>
              <w:spacing w:line="276" w:lineRule="auto"/>
              <w:rPr>
                <w:rFonts w:asciiTheme="majorHAnsi" w:hAnsiTheme="majorHAnsi" w:cstheme="majorHAnsi"/>
              </w:rPr>
            </w:pPr>
            <w:r w:rsidRPr="009F5847">
              <w:rPr>
                <w:rFonts w:asciiTheme="majorHAnsi" w:hAnsiTheme="majorHAnsi" w:cstheme="majorHAnsi"/>
              </w:rPr>
              <w:t>Sistemul informațional</w:t>
            </w:r>
          </w:p>
        </w:tc>
      </w:tr>
      <w:tr w:rsidR="005B7292" w:rsidRPr="009F5847" w:rsidTr="003D0CA4">
        <w:tc>
          <w:tcPr>
            <w:tcW w:w="1620" w:type="dxa"/>
          </w:tcPr>
          <w:p w:rsidR="005B7292" w:rsidRPr="009F5847" w:rsidRDefault="005B7292" w:rsidP="005B7292">
            <w:pPr>
              <w:tabs>
                <w:tab w:val="left" w:pos="450"/>
                <w:tab w:val="left" w:pos="3600"/>
              </w:tabs>
              <w:spacing w:line="276" w:lineRule="auto"/>
              <w:ind w:right="9"/>
              <w:rPr>
                <w:rFonts w:asciiTheme="majorHAnsi" w:eastAsia="Times New Roman" w:hAnsiTheme="majorHAnsi" w:cstheme="majorHAnsi"/>
                <w:b/>
              </w:rPr>
            </w:pPr>
            <w:r w:rsidRPr="009F5847">
              <w:rPr>
                <w:rFonts w:asciiTheme="majorHAnsi" w:eastAsia="Times New Roman" w:hAnsiTheme="majorHAnsi" w:cstheme="majorHAnsi"/>
                <w:b/>
              </w:rPr>
              <w:t>TVA</w:t>
            </w:r>
          </w:p>
        </w:tc>
        <w:tc>
          <w:tcPr>
            <w:tcW w:w="7740" w:type="dxa"/>
          </w:tcPr>
          <w:p w:rsidR="005B7292" w:rsidRPr="009F5847" w:rsidRDefault="005B7292" w:rsidP="005B7292">
            <w:pPr>
              <w:spacing w:line="276" w:lineRule="auto"/>
              <w:rPr>
                <w:rFonts w:asciiTheme="majorHAnsi" w:hAnsiTheme="majorHAnsi" w:cstheme="majorHAnsi"/>
              </w:rPr>
            </w:pPr>
            <w:r w:rsidRPr="009F5847">
              <w:rPr>
                <w:rFonts w:asciiTheme="majorHAnsi" w:hAnsiTheme="majorHAnsi" w:cstheme="majorHAnsi"/>
              </w:rPr>
              <w:t>Taxa pe valoarea adăugată</w:t>
            </w:r>
          </w:p>
        </w:tc>
      </w:tr>
      <w:tr w:rsidR="00B247E6" w:rsidRPr="009F5847" w:rsidTr="003D0CA4">
        <w:tc>
          <w:tcPr>
            <w:tcW w:w="1620" w:type="dxa"/>
          </w:tcPr>
          <w:p w:rsidR="00B247E6" w:rsidRPr="009F5847" w:rsidRDefault="00920717" w:rsidP="00920717">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S</w:t>
            </w:r>
            <w:r w:rsidR="00B247E6" w:rsidRPr="009F5847">
              <w:rPr>
                <w:rFonts w:asciiTheme="majorHAnsi" w:eastAsia="Times New Roman" w:hAnsiTheme="majorHAnsi" w:cstheme="majorHAnsi"/>
                <w:b/>
              </w:rPr>
              <w:t>A</w:t>
            </w:r>
          </w:p>
        </w:tc>
        <w:tc>
          <w:tcPr>
            <w:tcW w:w="7740" w:type="dxa"/>
          </w:tcPr>
          <w:p w:rsidR="00B247E6" w:rsidRPr="009F5847" w:rsidRDefault="00B247E6" w:rsidP="00B247E6">
            <w:pPr>
              <w:rPr>
                <w:rFonts w:asciiTheme="majorHAnsi" w:hAnsiTheme="majorHAnsi" w:cstheme="majorHAnsi"/>
              </w:rPr>
            </w:pPr>
            <w:r w:rsidRPr="009F5847">
              <w:rPr>
                <w:rFonts w:asciiTheme="majorHAnsi" w:hAnsiTheme="majorHAnsi" w:cstheme="majorHAnsi"/>
              </w:rPr>
              <w:t>Societatea pe Acțiuni</w:t>
            </w:r>
          </w:p>
        </w:tc>
      </w:tr>
      <w:tr w:rsidR="00B247E6" w:rsidRPr="009F5847" w:rsidTr="003D0CA4">
        <w:tc>
          <w:tcPr>
            <w:tcW w:w="1620" w:type="dxa"/>
          </w:tcPr>
          <w:p w:rsidR="00B247E6" w:rsidRPr="009F5847" w:rsidRDefault="00B247E6" w:rsidP="00B247E6">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SRL</w:t>
            </w:r>
          </w:p>
        </w:tc>
        <w:tc>
          <w:tcPr>
            <w:tcW w:w="7740" w:type="dxa"/>
          </w:tcPr>
          <w:p w:rsidR="00B247E6" w:rsidRPr="009F5847" w:rsidRDefault="00B247E6" w:rsidP="00B247E6">
            <w:pPr>
              <w:rPr>
                <w:rFonts w:asciiTheme="majorHAnsi" w:hAnsiTheme="majorHAnsi" w:cstheme="majorHAnsi"/>
              </w:rPr>
            </w:pPr>
            <w:r w:rsidRPr="009F5847">
              <w:rPr>
                <w:rFonts w:asciiTheme="majorHAnsi" w:hAnsiTheme="majorHAnsi" w:cstheme="majorHAnsi"/>
              </w:rPr>
              <w:t>Societate</w:t>
            </w:r>
            <w:r w:rsidR="00114AFD" w:rsidRPr="009F5847">
              <w:rPr>
                <w:rFonts w:asciiTheme="majorHAnsi" w:hAnsiTheme="majorHAnsi" w:cstheme="majorHAnsi"/>
              </w:rPr>
              <w:t>a</w:t>
            </w:r>
            <w:r w:rsidRPr="009F5847">
              <w:rPr>
                <w:rFonts w:asciiTheme="majorHAnsi" w:hAnsiTheme="majorHAnsi" w:cstheme="majorHAnsi"/>
              </w:rPr>
              <w:t xml:space="preserve"> cu Răspundere Limitată</w:t>
            </w:r>
          </w:p>
        </w:tc>
      </w:tr>
      <w:tr w:rsidR="00B247E6" w:rsidRPr="009F5847" w:rsidTr="003D0CA4">
        <w:tc>
          <w:tcPr>
            <w:tcW w:w="1620" w:type="dxa"/>
          </w:tcPr>
          <w:p w:rsidR="00B247E6" w:rsidRPr="009F5847" w:rsidRDefault="00B247E6" w:rsidP="00B247E6">
            <w:pPr>
              <w:tabs>
                <w:tab w:val="left" w:pos="450"/>
                <w:tab w:val="left" w:pos="3600"/>
              </w:tabs>
              <w:ind w:right="9"/>
              <w:rPr>
                <w:rFonts w:asciiTheme="majorHAnsi" w:eastAsia="Times New Roman" w:hAnsiTheme="majorHAnsi" w:cstheme="majorHAnsi"/>
                <w:b/>
              </w:rPr>
            </w:pPr>
            <w:r w:rsidRPr="009F5847">
              <w:rPr>
                <w:rFonts w:asciiTheme="majorHAnsi" w:eastAsia="Times New Roman" w:hAnsiTheme="majorHAnsi" w:cstheme="majorHAnsi"/>
                <w:b/>
              </w:rPr>
              <w:t>ÎS</w:t>
            </w:r>
          </w:p>
        </w:tc>
        <w:tc>
          <w:tcPr>
            <w:tcW w:w="7740" w:type="dxa"/>
          </w:tcPr>
          <w:p w:rsidR="00B247E6" w:rsidRPr="009F5847" w:rsidRDefault="00B247E6" w:rsidP="00B247E6">
            <w:pPr>
              <w:rPr>
                <w:rFonts w:asciiTheme="majorHAnsi" w:hAnsiTheme="majorHAnsi" w:cstheme="majorHAnsi"/>
              </w:rPr>
            </w:pPr>
            <w:r w:rsidRPr="009F5847">
              <w:rPr>
                <w:rFonts w:asciiTheme="majorHAnsi" w:hAnsiTheme="majorHAnsi" w:cstheme="majorHAnsi"/>
              </w:rPr>
              <w:t>Întreprindere</w:t>
            </w:r>
            <w:r w:rsidR="00114AFD" w:rsidRPr="009F5847">
              <w:rPr>
                <w:rFonts w:asciiTheme="majorHAnsi" w:hAnsiTheme="majorHAnsi" w:cstheme="majorHAnsi"/>
              </w:rPr>
              <w:t>a</w:t>
            </w:r>
            <w:r w:rsidRPr="009F5847">
              <w:rPr>
                <w:rFonts w:asciiTheme="majorHAnsi" w:hAnsiTheme="majorHAnsi" w:cstheme="majorHAnsi"/>
              </w:rPr>
              <w:t xml:space="preserve"> de Stat</w:t>
            </w:r>
          </w:p>
        </w:tc>
      </w:tr>
      <w:tr w:rsidR="00B247E6" w:rsidRPr="009F5847" w:rsidTr="003D0CA4">
        <w:tc>
          <w:tcPr>
            <w:tcW w:w="1620" w:type="dxa"/>
          </w:tcPr>
          <w:p w:rsidR="00B247E6" w:rsidRPr="009F5847" w:rsidRDefault="00E04E1E" w:rsidP="00B247E6">
            <w:pPr>
              <w:tabs>
                <w:tab w:val="left" w:pos="450"/>
                <w:tab w:val="left" w:pos="3600"/>
              </w:tabs>
              <w:ind w:right="9"/>
              <w:rPr>
                <w:rFonts w:asciiTheme="majorHAnsi" w:hAnsiTheme="majorHAnsi" w:cstheme="majorHAnsi"/>
                <w:b/>
              </w:rPr>
            </w:pPr>
            <w:r w:rsidRPr="009F5847">
              <w:rPr>
                <w:rFonts w:asciiTheme="majorHAnsi" w:hAnsiTheme="majorHAnsi" w:cstheme="majorHAnsi"/>
                <w:b/>
              </w:rPr>
              <w:t xml:space="preserve">Formularul </w:t>
            </w:r>
            <w:r w:rsidR="00B247E6" w:rsidRPr="009F5847">
              <w:rPr>
                <w:rFonts w:asciiTheme="majorHAnsi" w:hAnsiTheme="majorHAnsi" w:cstheme="majorHAnsi"/>
                <w:b/>
              </w:rPr>
              <w:t>VEN12</w:t>
            </w:r>
          </w:p>
        </w:tc>
        <w:tc>
          <w:tcPr>
            <w:tcW w:w="7740" w:type="dxa"/>
          </w:tcPr>
          <w:p w:rsidR="00B247E6" w:rsidRPr="009F5847" w:rsidRDefault="00B247E6" w:rsidP="00B247E6">
            <w:pPr>
              <w:spacing w:line="276" w:lineRule="auto"/>
              <w:rPr>
                <w:rFonts w:asciiTheme="majorHAnsi" w:hAnsiTheme="majorHAnsi" w:cstheme="majorHAnsi"/>
              </w:rPr>
            </w:pPr>
            <w:r w:rsidRPr="009F5847">
              <w:rPr>
                <w:rFonts w:asciiTheme="majorHAnsi" w:hAnsiTheme="majorHAnsi" w:cstheme="majorHAnsi"/>
              </w:rPr>
              <w:t>Declarația cu privire la impozitul pe venit</w:t>
            </w:r>
          </w:p>
        </w:tc>
      </w:tr>
      <w:tr w:rsidR="00B247E6" w:rsidRPr="009F5847" w:rsidTr="003D0CA4">
        <w:tc>
          <w:tcPr>
            <w:tcW w:w="1620" w:type="dxa"/>
          </w:tcPr>
          <w:p w:rsidR="00B247E6" w:rsidRPr="009F5847" w:rsidRDefault="00B247E6" w:rsidP="00B247E6">
            <w:pPr>
              <w:tabs>
                <w:tab w:val="left" w:pos="450"/>
                <w:tab w:val="left" w:pos="3600"/>
              </w:tabs>
              <w:ind w:right="9"/>
              <w:rPr>
                <w:rFonts w:asciiTheme="majorHAnsi" w:hAnsiTheme="majorHAnsi" w:cstheme="majorHAnsi"/>
                <w:b/>
              </w:rPr>
            </w:pPr>
            <w:r w:rsidRPr="009F5847">
              <w:rPr>
                <w:rFonts w:asciiTheme="majorHAnsi" w:hAnsiTheme="majorHAnsi" w:cstheme="majorHAnsi"/>
                <w:b/>
              </w:rPr>
              <w:t>ZAL</w:t>
            </w:r>
          </w:p>
        </w:tc>
        <w:tc>
          <w:tcPr>
            <w:tcW w:w="7740" w:type="dxa"/>
            <w:shd w:val="clear" w:color="auto" w:fill="auto"/>
          </w:tcPr>
          <w:p w:rsidR="00B247E6" w:rsidRPr="009F5847" w:rsidRDefault="004229CB" w:rsidP="004229CB">
            <w:pPr>
              <w:spacing w:line="276" w:lineRule="auto"/>
              <w:rPr>
                <w:rFonts w:asciiTheme="majorHAnsi" w:hAnsiTheme="majorHAnsi" w:cstheme="majorHAnsi"/>
              </w:rPr>
            </w:pPr>
            <w:r w:rsidRPr="009F5847">
              <w:rPr>
                <w:rFonts w:asciiTheme="majorHAnsi" w:hAnsiTheme="majorHAnsi" w:cstheme="majorHAnsi"/>
              </w:rPr>
              <w:t>Zona Antreprenoriatului Liber</w:t>
            </w:r>
          </w:p>
        </w:tc>
      </w:tr>
      <w:tr w:rsidR="00B247E6" w:rsidRPr="009F5847" w:rsidTr="003D0CA4">
        <w:trPr>
          <w:trHeight w:val="269"/>
        </w:trPr>
        <w:tc>
          <w:tcPr>
            <w:tcW w:w="1620" w:type="dxa"/>
          </w:tcPr>
          <w:p w:rsidR="00B247E6" w:rsidRPr="009F5847" w:rsidRDefault="00B247E6" w:rsidP="00B247E6">
            <w:pPr>
              <w:tabs>
                <w:tab w:val="left" w:pos="450"/>
                <w:tab w:val="left" w:pos="3600"/>
              </w:tabs>
              <w:ind w:right="9"/>
              <w:rPr>
                <w:rFonts w:asciiTheme="majorHAnsi" w:eastAsia="Times New Roman" w:hAnsiTheme="majorHAnsi" w:cstheme="majorHAnsi"/>
                <w:b/>
                <w:color w:val="000000"/>
              </w:rPr>
            </w:pPr>
            <w:r w:rsidRPr="009F5847">
              <w:rPr>
                <w:rFonts w:asciiTheme="majorHAnsi" w:eastAsia="Times New Roman" w:hAnsiTheme="majorHAnsi" w:cstheme="majorHAnsi"/>
                <w:b/>
                <w:color w:val="000000"/>
              </w:rPr>
              <w:t>ZEL</w:t>
            </w:r>
          </w:p>
        </w:tc>
        <w:tc>
          <w:tcPr>
            <w:tcW w:w="7740" w:type="dxa"/>
            <w:shd w:val="clear" w:color="auto" w:fill="auto"/>
          </w:tcPr>
          <w:p w:rsidR="00B247E6" w:rsidRPr="009F5847" w:rsidRDefault="004229CB" w:rsidP="00B247E6">
            <w:pPr>
              <w:jc w:val="both"/>
              <w:rPr>
                <w:rFonts w:asciiTheme="majorHAnsi" w:hAnsiTheme="majorHAnsi" w:cstheme="majorHAnsi"/>
              </w:rPr>
            </w:pPr>
            <w:r w:rsidRPr="009F5847">
              <w:rPr>
                <w:rFonts w:asciiTheme="majorHAnsi" w:hAnsiTheme="majorHAnsi" w:cstheme="majorHAnsi"/>
              </w:rPr>
              <w:t>Zona Economică Liberă</w:t>
            </w:r>
          </w:p>
        </w:tc>
      </w:tr>
    </w:tbl>
    <w:p w:rsidR="002C1DE7" w:rsidRPr="009F5847" w:rsidRDefault="002C1DE7" w:rsidP="002C1DE7">
      <w:pPr>
        <w:pStyle w:val="Heading1"/>
        <w:spacing w:after="120"/>
        <w:rPr>
          <w:rFonts w:cstheme="majorHAnsi"/>
          <w:b/>
          <w:color w:val="1F4E79" w:themeColor="accent1" w:themeShade="80"/>
          <w:sz w:val="24"/>
          <w:szCs w:val="24"/>
          <w:lang w:val="ro-MD"/>
        </w:rPr>
      </w:pPr>
      <w:bookmarkStart w:id="7" w:name="_Toc76377756"/>
      <w:bookmarkStart w:id="8" w:name="_Toc111467857"/>
      <w:r w:rsidRPr="009F5847">
        <w:rPr>
          <w:rFonts w:cstheme="majorHAnsi"/>
          <w:b/>
          <w:color w:val="1F4E79" w:themeColor="accent1" w:themeShade="80"/>
          <w:sz w:val="24"/>
          <w:szCs w:val="24"/>
          <w:lang w:val="ro-MD"/>
        </w:rPr>
        <w:t>GLOSAR</w:t>
      </w:r>
      <w:bookmarkEnd w:id="7"/>
      <w:bookmarkEnd w:id="8"/>
    </w:p>
    <w:p w:rsidR="002C1DE7" w:rsidRPr="009F5847" w:rsidRDefault="005B7292" w:rsidP="002C1DE7">
      <w:pPr>
        <w:spacing w:after="120" w:line="240" w:lineRule="auto"/>
        <w:jc w:val="both"/>
        <w:rPr>
          <w:rFonts w:asciiTheme="majorHAnsi" w:eastAsia="Times New Roman" w:hAnsiTheme="majorHAnsi" w:cstheme="majorHAnsi"/>
          <w:sz w:val="24"/>
          <w:szCs w:val="24"/>
        </w:rPr>
      </w:pPr>
      <w:r w:rsidRPr="009F5847">
        <w:rPr>
          <w:rFonts w:asciiTheme="majorHAnsi" w:eastAsia="Times New Roman" w:hAnsiTheme="majorHAnsi" w:cstheme="majorHAnsi"/>
          <w:b/>
          <w:iCs/>
          <w:sz w:val="24"/>
          <w:szCs w:val="24"/>
          <w:lang w:eastAsia="ru-RU"/>
        </w:rPr>
        <w:t>Contribuabil</w:t>
      </w:r>
      <w:r w:rsidRPr="009F5847">
        <w:rPr>
          <w:rFonts w:asciiTheme="majorHAnsi" w:eastAsia="Times New Roman" w:hAnsiTheme="majorHAnsi" w:cstheme="majorHAnsi"/>
          <w:i/>
          <w:iCs/>
          <w:sz w:val="24"/>
          <w:szCs w:val="24"/>
          <w:lang w:eastAsia="ru-RU"/>
        </w:rPr>
        <w:t xml:space="preserve"> </w:t>
      </w:r>
      <w:r w:rsidRPr="009F5847">
        <w:rPr>
          <w:rFonts w:asciiTheme="majorHAnsi" w:eastAsia="Times New Roman" w:hAnsiTheme="majorHAnsi" w:cstheme="majorHAnsi"/>
          <w:sz w:val="24"/>
          <w:szCs w:val="24"/>
          <w:lang w:eastAsia="ru-RU"/>
        </w:rPr>
        <w:t>– persoană care, conform legislației fiscale, este obligată să calculeze și/sau să achite la buget orice impozite și taxe, penalitățile și amenzile respective; persoană care, conform legislației fiscale, este obligată să rețină sau să perceapă de la altă persoană și să achite la buget plățile indicate</w:t>
      </w:r>
      <w:r w:rsidR="0099673A" w:rsidRPr="009F5847">
        <w:rPr>
          <w:rFonts w:asciiTheme="majorHAnsi" w:eastAsia="Times New Roman" w:hAnsiTheme="majorHAnsi" w:cstheme="majorHAnsi"/>
          <w:sz w:val="24"/>
          <w:szCs w:val="24"/>
        </w:rPr>
        <w:t>.</w:t>
      </w:r>
      <w:r w:rsidR="002C1DE7" w:rsidRPr="009F5847">
        <w:rPr>
          <w:rFonts w:asciiTheme="majorHAnsi" w:eastAsia="Times New Roman" w:hAnsiTheme="majorHAnsi" w:cstheme="majorHAnsi"/>
          <w:sz w:val="24"/>
          <w:szCs w:val="24"/>
        </w:rPr>
        <w:t xml:space="preserve"> </w:t>
      </w:r>
    </w:p>
    <w:p w:rsidR="00493DDB" w:rsidRPr="009F5847" w:rsidRDefault="005B7292" w:rsidP="00493DDB">
      <w:pPr>
        <w:spacing w:after="120" w:line="240" w:lineRule="auto"/>
        <w:jc w:val="both"/>
        <w:rPr>
          <w:rFonts w:asciiTheme="majorHAnsi" w:hAnsiTheme="majorHAnsi" w:cstheme="majorHAnsi"/>
          <w:sz w:val="24"/>
          <w:szCs w:val="24"/>
        </w:rPr>
      </w:pPr>
      <w:r w:rsidRPr="009F5847">
        <w:rPr>
          <w:rFonts w:asciiTheme="majorHAnsi" w:eastAsia="Times New Roman" w:hAnsiTheme="majorHAnsi" w:cstheme="majorHAnsi"/>
          <w:b/>
          <w:sz w:val="24"/>
          <w:szCs w:val="24"/>
        </w:rPr>
        <w:t>Facilitate fiscală</w:t>
      </w:r>
      <w:r w:rsidRPr="009F5847">
        <w:rPr>
          <w:rFonts w:asciiTheme="majorHAnsi" w:eastAsia="Times New Roman" w:hAnsiTheme="majorHAnsi" w:cstheme="majorHAnsi"/>
          <w:sz w:val="24"/>
          <w:szCs w:val="24"/>
        </w:rPr>
        <w:t xml:space="preserve"> </w:t>
      </w:r>
      <w:r w:rsidR="00493DDB" w:rsidRPr="009F5847">
        <w:rPr>
          <w:rFonts w:asciiTheme="majorHAnsi" w:eastAsia="Times New Roman" w:hAnsiTheme="majorHAnsi" w:cstheme="majorHAnsi"/>
          <w:sz w:val="24"/>
          <w:szCs w:val="24"/>
        </w:rPr>
        <w:t>–</w:t>
      </w:r>
      <w:r w:rsidRPr="009F5847">
        <w:rPr>
          <w:rFonts w:asciiTheme="majorHAnsi" w:eastAsia="Times New Roman" w:hAnsiTheme="majorHAnsi" w:cstheme="majorHAnsi"/>
          <w:sz w:val="24"/>
          <w:szCs w:val="24"/>
        </w:rPr>
        <w:t xml:space="preserve"> </w:t>
      </w:r>
      <w:r w:rsidR="00493DDB" w:rsidRPr="009F5847">
        <w:rPr>
          <w:rFonts w:asciiTheme="majorHAnsi" w:eastAsia="Times New Roman" w:hAnsiTheme="majorHAnsi" w:cstheme="majorHAnsi"/>
          <w:sz w:val="24"/>
          <w:szCs w:val="24"/>
          <w:lang w:eastAsia="ru-RU"/>
        </w:rPr>
        <w:t xml:space="preserve">suma impozitului sau taxei nevărsată la buget. </w:t>
      </w:r>
      <w:r w:rsidR="00493DDB" w:rsidRPr="009F5847">
        <w:rPr>
          <w:rFonts w:asciiTheme="majorHAnsi" w:hAnsiTheme="majorHAnsi" w:cstheme="majorHAnsi"/>
          <w:sz w:val="24"/>
          <w:szCs w:val="24"/>
        </w:rPr>
        <w:t>În conformitate cu prevederile art. 6 alin. (9) lit. g) din Codul fiscal, scutirea totală sau parțială de plata impozitelor sau taxelor reprezintă facilitate (înlesnire) fiscală, care este o formă a ajutorului de stat</w:t>
      </w:r>
      <w:r w:rsidR="000571A0" w:rsidRPr="009F5847">
        <w:rPr>
          <w:rFonts w:asciiTheme="majorHAnsi" w:hAnsiTheme="majorHAnsi" w:cstheme="majorHAnsi"/>
          <w:sz w:val="24"/>
          <w:szCs w:val="24"/>
        </w:rPr>
        <w:t>,</w:t>
      </w:r>
      <w:r w:rsidR="00493DDB" w:rsidRPr="009F5847">
        <w:rPr>
          <w:rFonts w:asciiTheme="majorHAnsi" w:hAnsiTheme="majorHAnsi" w:cstheme="majorHAnsi"/>
          <w:sz w:val="24"/>
          <w:szCs w:val="24"/>
        </w:rPr>
        <w:t xml:space="preserve"> prevăzută </w:t>
      </w:r>
      <w:r w:rsidR="00E25999" w:rsidRPr="009F5847">
        <w:rPr>
          <w:rFonts w:asciiTheme="majorHAnsi" w:hAnsiTheme="majorHAnsi" w:cstheme="majorHAnsi"/>
          <w:sz w:val="24"/>
          <w:szCs w:val="24"/>
          <w:lang w:val="ro-RO"/>
        </w:rPr>
        <w:t>în</w:t>
      </w:r>
      <w:r w:rsidR="00493DDB" w:rsidRPr="009F5847">
        <w:rPr>
          <w:rFonts w:asciiTheme="majorHAnsi" w:hAnsiTheme="majorHAnsi" w:cstheme="majorHAnsi"/>
          <w:sz w:val="24"/>
          <w:szCs w:val="24"/>
        </w:rPr>
        <w:t xml:space="preserve"> art. 6 alin. (2) </w:t>
      </w:r>
      <w:r w:rsidR="0099673A" w:rsidRPr="009F5847">
        <w:rPr>
          <w:rFonts w:asciiTheme="majorHAnsi" w:hAnsiTheme="majorHAnsi" w:cstheme="majorHAnsi"/>
          <w:sz w:val="24"/>
          <w:szCs w:val="24"/>
        </w:rPr>
        <w:t>din</w:t>
      </w:r>
      <w:r w:rsidR="00493DDB" w:rsidRPr="009F5847">
        <w:rPr>
          <w:rFonts w:asciiTheme="majorHAnsi" w:hAnsiTheme="majorHAnsi" w:cstheme="majorHAnsi"/>
          <w:sz w:val="24"/>
          <w:szCs w:val="24"/>
        </w:rPr>
        <w:t xml:space="preserve"> Leg</w:t>
      </w:r>
      <w:r w:rsidR="0099673A" w:rsidRPr="009F5847">
        <w:rPr>
          <w:rFonts w:asciiTheme="majorHAnsi" w:hAnsiTheme="majorHAnsi" w:cstheme="majorHAnsi"/>
          <w:sz w:val="24"/>
          <w:szCs w:val="24"/>
        </w:rPr>
        <w:t>ea</w:t>
      </w:r>
      <w:r w:rsidR="00493DDB" w:rsidRPr="009F5847">
        <w:rPr>
          <w:rFonts w:asciiTheme="majorHAnsi" w:hAnsiTheme="majorHAnsi" w:cstheme="majorHAnsi"/>
          <w:sz w:val="24"/>
          <w:szCs w:val="24"/>
        </w:rPr>
        <w:t xml:space="preserve"> cu privire la ajutorul de stat.</w:t>
      </w:r>
    </w:p>
    <w:p w:rsidR="00B95E80" w:rsidRPr="009F5847" w:rsidRDefault="00B95E80" w:rsidP="0098547A">
      <w:pPr>
        <w:spacing w:after="120" w:line="240" w:lineRule="auto"/>
        <w:jc w:val="both"/>
        <w:rPr>
          <w:rFonts w:asciiTheme="majorHAnsi" w:hAnsiTheme="majorHAnsi" w:cstheme="majorHAnsi"/>
          <w:sz w:val="24"/>
          <w:szCs w:val="24"/>
        </w:rPr>
      </w:pPr>
      <w:r w:rsidRPr="009F5847">
        <w:rPr>
          <w:rFonts w:asciiTheme="majorHAnsi" w:hAnsiTheme="majorHAnsi" w:cstheme="majorHAnsi"/>
          <w:b/>
          <w:sz w:val="24"/>
          <w:szCs w:val="24"/>
        </w:rPr>
        <w:t>Ajutor de stat</w:t>
      </w:r>
      <w:r w:rsidRPr="009F5847">
        <w:rPr>
          <w:rFonts w:asciiTheme="majorHAnsi" w:hAnsiTheme="majorHAnsi" w:cstheme="majorHAnsi"/>
          <w:sz w:val="24"/>
          <w:szCs w:val="24"/>
        </w:rPr>
        <w:t xml:space="preserve"> - </w:t>
      </w:r>
      <w:r w:rsidR="0098547A" w:rsidRPr="009F5847">
        <w:rPr>
          <w:rFonts w:asciiTheme="majorHAnsi" w:hAnsiTheme="majorHAnsi" w:cstheme="majorHAnsi"/>
          <w:sz w:val="24"/>
          <w:szCs w:val="24"/>
        </w:rPr>
        <w:t>orice măsură de sprijin care întrunește cumulativ următoarele condiții: a) este acordată de furnizor din resurse de stat sau din resursele unităților administrativ-teritoriale sub orice formă; b) conferă beneficiarului un avantaj economic care nu ar fi fost obținut în condiții normale de piață; c) este acordată în mod selectiv; d) denaturează sau riscă să denatureze concurența.</w:t>
      </w:r>
    </w:p>
    <w:p w:rsidR="005B7292" w:rsidRPr="009F5847" w:rsidRDefault="005B7292" w:rsidP="005B7292">
      <w:pPr>
        <w:shd w:val="clear" w:color="auto" w:fill="FFFFFF"/>
        <w:spacing w:after="120" w:line="240" w:lineRule="auto"/>
        <w:jc w:val="both"/>
        <w:textAlignment w:val="baseline"/>
        <w:rPr>
          <w:rFonts w:asciiTheme="majorHAnsi" w:eastAsia="Times New Roman" w:hAnsiTheme="majorHAnsi" w:cstheme="majorHAnsi"/>
          <w:sz w:val="24"/>
          <w:szCs w:val="24"/>
        </w:rPr>
      </w:pPr>
      <w:r w:rsidRPr="009F5847">
        <w:rPr>
          <w:rFonts w:asciiTheme="majorHAnsi" w:eastAsia="Times New Roman" w:hAnsiTheme="majorHAnsi" w:cstheme="majorHAnsi"/>
          <w:b/>
          <w:bCs/>
          <w:iCs/>
          <w:sz w:val="24"/>
          <w:szCs w:val="24"/>
          <w:bdr w:val="none" w:sz="0" w:space="0" w:color="auto" w:frame="1"/>
        </w:rPr>
        <w:t xml:space="preserve">Baza impozabilă </w:t>
      </w:r>
      <w:r w:rsidRPr="009F5847">
        <w:rPr>
          <w:rFonts w:asciiTheme="majorHAnsi" w:eastAsia="Times New Roman" w:hAnsiTheme="majorHAnsi" w:cstheme="majorHAnsi"/>
          <w:sz w:val="24"/>
          <w:szCs w:val="24"/>
          <w:lang w:eastAsia="x-none"/>
        </w:rPr>
        <w:t>–</w:t>
      </w:r>
      <w:r w:rsidRPr="009F5847">
        <w:rPr>
          <w:rFonts w:asciiTheme="majorHAnsi" w:eastAsia="Times New Roman" w:hAnsiTheme="majorHAnsi" w:cstheme="majorHAnsi"/>
          <w:sz w:val="24"/>
          <w:szCs w:val="24"/>
        </w:rPr>
        <w:t xml:space="preserve"> totalul veniturilor, </w:t>
      </w:r>
      <w:r w:rsidRPr="009F5847">
        <w:rPr>
          <w:rFonts w:asciiTheme="majorHAnsi" w:hAnsiTheme="majorHAnsi" w:cstheme="majorHAnsi"/>
          <w:sz w:val="24"/>
          <w:szCs w:val="24"/>
          <w:shd w:val="clear" w:color="auto" w:fill="FFFFFF"/>
        </w:rPr>
        <w:t>bunurilor, sau alte valori</w:t>
      </w:r>
      <w:r w:rsidRPr="009F5847">
        <w:rPr>
          <w:rFonts w:asciiTheme="majorHAnsi" w:eastAsia="Times New Roman" w:hAnsiTheme="majorHAnsi" w:cstheme="majorHAnsi"/>
          <w:sz w:val="24"/>
          <w:szCs w:val="24"/>
        </w:rPr>
        <w:t xml:space="preserve"> asupra cărora se aplică cota de impozit.</w:t>
      </w:r>
    </w:p>
    <w:p w:rsidR="005B7292" w:rsidRPr="009F5847" w:rsidRDefault="005B7292" w:rsidP="005B7292">
      <w:pPr>
        <w:shd w:val="clear" w:color="auto" w:fill="FFFFFF"/>
        <w:spacing w:after="120" w:line="240" w:lineRule="auto"/>
        <w:jc w:val="both"/>
        <w:textAlignment w:val="baseline"/>
        <w:rPr>
          <w:rFonts w:asciiTheme="majorHAnsi" w:eastAsia="Times New Roman" w:hAnsiTheme="majorHAnsi" w:cstheme="majorHAnsi"/>
          <w:b/>
          <w:bCs/>
          <w:iCs/>
          <w:color w:val="424242"/>
          <w:sz w:val="24"/>
          <w:szCs w:val="24"/>
          <w:bdr w:val="none" w:sz="0" w:space="0" w:color="auto" w:frame="1"/>
        </w:rPr>
      </w:pPr>
      <w:r w:rsidRPr="009F5847">
        <w:rPr>
          <w:rFonts w:asciiTheme="majorHAnsi" w:hAnsiTheme="majorHAnsi" w:cstheme="majorHAnsi"/>
          <w:b/>
          <w:color w:val="000000"/>
          <w:sz w:val="24"/>
          <w:szCs w:val="24"/>
          <w:shd w:val="clear" w:color="auto" w:fill="FFFFFF"/>
        </w:rPr>
        <w:t>Obiectul impunerii</w:t>
      </w:r>
      <w:r w:rsidRPr="009F5847">
        <w:rPr>
          <w:rFonts w:asciiTheme="majorHAnsi" w:hAnsiTheme="majorHAnsi" w:cstheme="majorHAnsi"/>
          <w:color w:val="000000"/>
          <w:sz w:val="24"/>
          <w:szCs w:val="24"/>
          <w:shd w:val="clear" w:color="auto" w:fill="FFFFFF"/>
        </w:rPr>
        <w:t xml:space="preserve"> </w:t>
      </w:r>
      <w:r w:rsidRPr="009F5847">
        <w:rPr>
          <w:rFonts w:asciiTheme="majorHAnsi" w:eastAsia="Times New Roman" w:hAnsiTheme="majorHAnsi" w:cstheme="majorHAnsi"/>
          <w:sz w:val="24"/>
          <w:szCs w:val="24"/>
          <w:lang w:eastAsia="x-none"/>
        </w:rPr>
        <w:t>–</w:t>
      </w:r>
      <w:r w:rsidRPr="009F5847">
        <w:rPr>
          <w:rFonts w:asciiTheme="majorHAnsi" w:hAnsiTheme="majorHAnsi" w:cstheme="majorHAnsi"/>
          <w:color w:val="000000"/>
          <w:sz w:val="24"/>
          <w:szCs w:val="24"/>
          <w:shd w:val="clear" w:color="auto" w:fill="FFFFFF"/>
        </w:rPr>
        <w:t xml:space="preserve"> valoarea asupra căreia se calculează impozitul/taxa ori contribuția.</w:t>
      </w:r>
    </w:p>
    <w:p w:rsidR="005B7292" w:rsidRPr="009F5847" w:rsidRDefault="005B7292" w:rsidP="005B7292">
      <w:pPr>
        <w:spacing w:after="120" w:line="240" w:lineRule="auto"/>
        <w:jc w:val="both"/>
        <w:rPr>
          <w:rFonts w:asciiTheme="majorHAnsi" w:eastAsia="Times New Roman" w:hAnsiTheme="majorHAnsi" w:cstheme="majorHAnsi"/>
          <w:sz w:val="24"/>
          <w:szCs w:val="24"/>
          <w:lang w:eastAsia="x-none"/>
        </w:rPr>
      </w:pPr>
      <w:r w:rsidRPr="009F5847">
        <w:rPr>
          <w:rFonts w:asciiTheme="majorHAnsi" w:eastAsia="Times New Roman" w:hAnsiTheme="majorHAnsi" w:cstheme="majorHAnsi"/>
          <w:b/>
          <w:iCs/>
          <w:sz w:val="24"/>
          <w:szCs w:val="24"/>
          <w:lang w:eastAsia="x-none"/>
        </w:rPr>
        <w:lastRenderedPageBreak/>
        <w:t>Obligație fiscală</w:t>
      </w:r>
      <w:r w:rsidRPr="009F5847">
        <w:rPr>
          <w:rFonts w:asciiTheme="majorHAnsi" w:eastAsia="Times New Roman" w:hAnsiTheme="majorHAnsi" w:cstheme="majorHAnsi"/>
          <w:sz w:val="24"/>
          <w:szCs w:val="24"/>
          <w:lang w:eastAsia="x-none"/>
        </w:rPr>
        <w:t xml:space="preserve"> – obligație a contribuabilului de a plăti la buget o anumită sumă ca impozit, prime de asigurare obligatorie de asistență medicală și contribuții de asigurări sociale de stat obligatorii stabilite în cotă procentuală, majorare de întârziere (penalitate) și/sau amendă.</w:t>
      </w:r>
    </w:p>
    <w:p w:rsidR="005B7292" w:rsidRPr="009F5847" w:rsidRDefault="00E37C2E" w:rsidP="005B7292">
      <w:pPr>
        <w:spacing w:after="120" w:line="240" w:lineRule="auto"/>
        <w:jc w:val="both"/>
        <w:rPr>
          <w:rFonts w:asciiTheme="majorHAnsi" w:eastAsia="Times New Roman" w:hAnsiTheme="majorHAnsi" w:cstheme="majorHAnsi"/>
          <w:sz w:val="24"/>
          <w:szCs w:val="24"/>
          <w:lang w:eastAsia="ru-RU"/>
        </w:rPr>
      </w:pPr>
      <w:r w:rsidRPr="009F5847">
        <w:rPr>
          <w:rFonts w:asciiTheme="majorHAnsi" w:eastAsia="Times New Roman" w:hAnsiTheme="majorHAnsi" w:cstheme="majorHAnsi"/>
          <w:b/>
          <w:iCs/>
          <w:sz w:val="24"/>
          <w:szCs w:val="24"/>
          <w:lang w:eastAsia="ru-RU"/>
        </w:rPr>
        <w:t>Impozit</w:t>
      </w:r>
      <w:r w:rsidR="005B7292" w:rsidRPr="009F5847">
        <w:rPr>
          <w:rFonts w:asciiTheme="majorHAnsi" w:eastAsia="Times New Roman" w:hAnsiTheme="majorHAnsi" w:cstheme="majorHAnsi"/>
          <w:sz w:val="24"/>
          <w:szCs w:val="24"/>
          <w:lang w:eastAsia="ru-RU"/>
        </w:rPr>
        <w:t xml:space="preserve"> </w:t>
      </w:r>
      <w:r w:rsidR="005B7292" w:rsidRPr="009F5847">
        <w:rPr>
          <w:rFonts w:asciiTheme="majorHAnsi" w:eastAsia="Times New Roman" w:hAnsiTheme="majorHAnsi" w:cstheme="majorHAnsi"/>
          <w:sz w:val="24"/>
          <w:szCs w:val="24"/>
          <w:lang w:eastAsia="x-none"/>
        </w:rPr>
        <w:t>–</w:t>
      </w:r>
      <w:r w:rsidR="005B7292" w:rsidRPr="009F5847">
        <w:rPr>
          <w:rFonts w:asciiTheme="majorHAnsi" w:eastAsia="Times New Roman" w:hAnsiTheme="majorHAnsi" w:cstheme="majorHAnsi"/>
          <w:sz w:val="24"/>
          <w:szCs w:val="24"/>
          <w:lang w:eastAsia="ru-RU"/>
        </w:rPr>
        <w:t xml:space="preserve"> plată obligatorie cu titlu gratuit, care nu ține de întreprinderea unor acțiuni determinate și concrete de către organul împuternicit sau de către persoana cu funcții de răspundere a acestuia pentru sau în raport cu contribuabilul care a achitat această plată.</w:t>
      </w:r>
    </w:p>
    <w:p w:rsidR="005B7292" w:rsidRPr="009F5847" w:rsidRDefault="00E37C2E" w:rsidP="005B7292">
      <w:pPr>
        <w:spacing w:after="120" w:line="240" w:lineRule="auto"/>
        <w:jc w:val="both"/>
        <w:rPr>
          <w:rFonts w:asciiTheme="majorHAnsi" w:eastAsia="Times New Roman" w:hAnsiTheme="majorHAnsi" w:cstheme="majorHAnsi"/>
          <w:sz w:val="24"/>
          <w:szCs w:val="24"/>
          <w:lang w:eastAsia="ru-RU"/>
        </w:rPr>
      </w:pPr>
      <w:r w:rsidRPr="009F5847">
        <w:rPr>
          <w:rFonts w:asciiTheme="majorHAnsi" w:eastAsia="Times New Roman" w:hAnsiTheme="majorHAnsi" w:cstheme="majorHAnsi"/>
          <w:b/>
          <w:sz w:val="24"/>
          <w:szCs w:val="24"/>
          <w:lang w:eastAsia="ru-RU"/>
        </w:rPr>
        <w:t>Restanță/creanțe</w:t>
      </w:r>
      <w:r w:rsidR="005B7292" w:rsidRPr="009F5847">
        <w:rPr>
          <w:rFonts w:asciiTheme="majorHAnsi" w:eastAsia="Times New Roman" w:hAnsiTheme="majorHAnsi" w:cstheme="majorHAnsi"/>
          <w:sz w:val="24"/>
          <w:szCs w:val="24"/>
          <w:lang w:eastAsia="ru-RU"/>
        </w:rPr>
        <w:t xml:space="preserve"> - sumă pe care contribuabilul era obligat să o plătească la buget ca impozit, taxă sau altă plată, dar pe care nu a plătit-o în termen, precum </w:t>
      </w:r>
      <w:r w:rsidR="00726434" w:rsidRPr="009F5847">
        <w:rPr>
          <w:rFonts w:asciiTheme="majorHAnsi" w:eastAsia="Times New Roman" w:hAnsiTheme="majorHAnsi" w:cstheme="majorHAnsi"/>
          <w:sz w:val="24"/>
          <w:szCs w:val="24"/>
          <w:lang w:eastAsia="ru-RU"/>
        </w:rPr>
        <w:t>și</w:t>
      </w:r>
      <w:r w:rsidR="005B7292" w:rsidRPr="009F5847">
        <w:rPr>
          <w:rFonts w:asciiTheme="majorHAnsi" w:eastAsia="Times New Roman" w:hAnsiTheme="majorHAnsi" w:cstheme="majorHAnsi"/>
          <w:sz w:val="24"/>
          <w:szCs w:val="24"/>
          <w:lang w:eastAsia="ru-RU"/>
        </w:rPr>
        <w:t xml:space="preserve"> suma majorării de întârziere (penalității) și/sau amenzii.</w:t>
      </w:r>
    </w:p>
    <w:p w:rsidR="005B7292" w:rsidRPr="009F5847" w:rsidRDefault="005B7292" w:rsidP="005B7292">
      <w:pPr>
        <w:spacing w:after="120" w:line="240" w:lineRule="auto"/>
        <w:jc w:val="both"/>
        <w:rPr>
          <w:rFonts w:asciiTheme="majorHAnsi" w:eastAsia="Times New Roman" w:hAnsiTheme="majorHAnsi" w:cstheme="majorHAnsi"/>
          <w:sz w:val="24"/>
          <w:szCs w:val="24"/>
          <w:lang w:eastAsia="x-none"/>
        </w:rPr>
      </w:pPr>
      <w:r w:rsidRPr="009F5847">
        <w:rPr>
          <w:rFonts w:asciiTheme="majorHAnsi" w:eastAsia="Times New Roman" w:hAnsiTheme="majorHAnsi" w:cstheme="majorHAnsi"/>
          <w:b/>
          <w:sz w:val="24"/>
          <w:szCs w:val="24"/>
          <w:lang w:eastAsia="x-none"/>
        </w:rPr>
        <w:t>Conformare fiscală voluntară</w:t>
      </w:r>
      <w:r w:rsidRPr="009F5847">
        <w:rPr>
          <w:rFonts w:asciiTheme="majorHAnsi" w:eastAsia="Times New Roman" w:hAnsiTheme="majorHAnsi" w:cstheme="majorHAnsi"/>
          <w:sz w:val="24"/>
          <w:szCs w:val="24"/>
          <w:lang w:eastAsia="x-none"/>
        </w:rPr>
        <w:t xml:space="preserve"> – calculare corectă, raportare și achitare deplină și la timp la buget a obligației fiscale de către contribuabil în mod benevol.</w:t>
      </w:r>
    </w:p>
    <w:p w:rsidR="005B7292" w:rsidRPr="009F5847" w:rsidRDefault="005B7292" w:rsidP="005B7292">
      <w:pPr>
        <w:spacing w:after="120" w:line="240" w:lineRule="auto"/>
        <w:jc w:val="both"/>
        <w:rPr>
          <w:rFonts w:asciiTheme="majorHAnsi" w:eastAsia="Times New Roman" w:hAnsiTheme="majorHAnsi" w:cstheme="majorHAnsi"/>
          <w:sz w:val="24"/>
          <w:szCs w:val="24"/>
          <w:lang w:eastAsia="x-none"/>
        </w:rPr>
      </w:pPr>
      <w:r w:rsidRPr="009F5847">
        <w:rPr>
          <w:rFonts w:asciiTheme="majorHAnsi" w:eastAsia="Times New Roman" w:hAnsiTheme="majorHAnsi" w:cstheme="majorHAnsi"/>
          <w:b/>
          <w:iCs/>
          <w:sz w:val="24"/>
          <w:szCs w:val="24"/>
          <w:lang w:eastAsia="x-none"/>
        </w:rPr>
        <w:t>Control fiscal</w:t>
      </w:r>
      <w:r w:rsidRPr="009F5847">
        <w:rPr>
          <w:rFonts w:asciiTheme="majorHAnsi" w:eastAsia="Times New Roman" w:hAnsiTheme="majorHAnsi" w:cstheme="majorHAnsi"/>
          <w:sz w:val="24"/>
          <w:szCs w:val="24"/>
          <w:lang w:eastAsia="x-none"/>
        </w:rPr>
        <w:t xml:space="preserve"> – verificarea corectitudinii executării de către contribuabil a obligației fiscale și altor obligații prevăzute de legislația fiscală, inclusiv verificarea altor persoane sub aspectul legăturii lor cu activitatea contribuabilului, prin metode, forme și operațiuni prevăzute de Codul fiscal.</w:t>
      </w:r>
    </w:p>
    <w:p w:rsidR="002C1DE7" w:rsidRPr="009F5847" w:rsidRDefault="00476AFA" w:rsidP="002C1DE7">
      <w:pPr>
        <w:spacing w:after="120" w:line="240" w:lineRule="auto"/>
        <w:jc w:val="both"/>
        <w:rPr>
          <w:rFonts w:asciiTheme="majorHAnsi" w:hAnsiTheme="majorHAnsi" w:cstheme="majorHAnsi"/>
          <w:color w:val="000000"/>
          <w:sz w:val="24"/>
          <w:szCs w:val="24"/>
        </w:rPr>
      </w:pPr>
      <w:r w:rsidRPr="009F5847">
        <w:rPr>
          <w:rFonts w:asciiTheme="majorHAnsi" w:hAnsiTheme="majorHAnsi" w:cstheme="majorHAnsi"/>
          <w:b/>
          <w:sz w:val="24"/>
          <w:szCs w:val="24"/>
        </w:rPr>
        <w:t xml:space="preserve">Riscuri de </w:t>
      </w:r>
      <w:r w:rsidR="005B7292" w:rsidRPr="009F5847">
        <w:rPr>
          <w:rFonts w:asciiTheme="majorHAnsi" w:hAnsiTheme="majorHAnsi" w:cstheme="majorHAnsi"/>
          <w:b/>
          <w:sz w:val="24"/>
          <w:szCs w:val="24"/>
        </w:rPr>
        <w:t>conform</w:t>
      </w:r>
      <w:r w:rsidRPr="009F5847">
        <w:rPr>
          <w:rFonts w:asciiTheme="majorHAnsi" w:hAnsiTheme="majorHAnsi" w:cstheme="majorHAnsi"/>
          <w:b/>
          <w:sz w:val="24"/>
          <w:szCs w:val="24"/>
        </w:rPr>
        <w:t xml:space="preserve">are </w:t>
      </w:r>
      <w:r w:rsidR="005B7292" w:rsidRPr="009F5847">
        <w:rPr>
          <w:rFonts w:asciiTheme="majorHAnsi" w:hAnsiTheme="majorHAnsi" w:cstheme="majorHAnsi"/>
          <w:sz w:val="24"/>
          <w:szCs w:val="24"/>
        </w:rPr>
        <w:t>– utilizarea sistematică a informațiilor disponibile pentru determinarea cauzelor</w:t>
      </w:r>
      <w:r w:rsidR="00EC1EAF" w:rsidRPr="009F5847">
        <w:rPr>
          <w:rFonts w:asciiTheme="majorHAnsi" w:hAnsiTheme="majorHAnsi" w:cstheme="majorHAnsi"/>
          <w:sz w:val="24"/>
          <w:szCs w:val="24"/>
        </w:rPr>
        <w:t xml:space="preserve"> </w:t>
      </w:r>
      <w:r w:rsidR="005B7292" w:rsidRPr="009F5847">
        <w:rPr>
          <w:rFonts w:asciiTheme="majorHAnsi" w:hAnsiTheme="majorHAnsi" w:cstheme="majorHAnsi"/>
          <w:sz w:val="24"/>
          <w:szCs w:val="24"/>
        </w:rPr>
        <w:t>și c</w:t>
      </w:r>
      <w:r w:rsidR="001E2BEB" w:rsidRPr="009F5847">
        <w:rPr>
          <w:rFonts w:asciiTheme="majorHAnsi" w:hAnsiTheme="majorHAnsi" w:cstheme="majorHAnsi"/>
          <w:sz w:val="24"/>
          <w:szCs w:val="24"/>
        </w:rPr>
        <w:t>ondițiilor apariției riscurilor</w:t>
      </w:r>
      <w:r w:rsidR="005B7292" w:rsidRPr="009F5847">
        <w:rPr>
          <w:rFonts w:asciiTheme="majorHAnsi" w:hAnsiTheme="majorHAnsi" w:cstheme="majorHAnsi"/>
          <w:color w:val="000000"/>
          <w:sz w:val="24"/>
          <w:szCs w:val="24"/>
        </w:rPr>
        <w:t>, identificarea lor, evaluarea frecvenței și gravității impactului acestora</w:t>
      </w:r>
      <w:r w:rsidR="002C1DE7" w:rsidRPr="009F5847">
        <w:rPr>
          <w:rFonts w:asciiTheme="majorHAnsi" w:eastAsia="Times New Roman" w:hAnsiTheme="majorHAnsi" w:cstheme="majorHAnsi"/>
          <w:sz w:val="24"/>
          <w:szCs w:val="24"/>
        </w:rPr>
        <w:t xml:space="preserve">. </w:t>
      </w:r>
    </w:p>
    <w:p w:rsidR="002C1DE7" w:rsidRPr="009F5847" w:rsidRDefault="00493DDB" w:rsidP="00493DDB">
      <w:pPr>
        <w:spacing w:before="120" w:line="240" w:lineRule="auto"/>
        <w:ind w:right="374"/>
        <w:rPr>
          <w:rFonts w:asciiTheme="majorHAnsi" w:hAnsiTheme="majorHAnsi" w:cstheme="majorHAnsi"/>
          <w:color w:val="2E74B5" w:themeColor="accent1" w:themeShade="BF"/>
          <w:sz w:val="26"/>
          <w:szCs w:val="26"/>
        </w:rPr>
      </w:pPr>
      <w:r w:rsidRPr="009F5847">
        <w:rPr>
          <w:rFonts w:asciiTheme="majorHAnsi" w:hAnsiTheme="majorHAnsi" w:cstheme="majorHAnsi"/>
          <w:color w:val="2E74B5" w:themeColor="accent1" w:themeShade="BF"/>
          <w:sz w:val="26"/>
          <w:szCs w:val="26"/>
        </w:rPr>
        <w:t>Destinatarii Raportului de audit:</w:t>
      </w:r>
    </w:p>
    <w:p w:rsidR="00493DDB" w:rsidRPr="009F5847" w:rsidRDefault="00493DDB" w:rsidP="00493DDB">
      <w:pPr>
        <w:spacing w:line="240" w:lineRule="auto"/>
        <w:jc w:val="both"/>
        <w:rPr>
          <w:rFonts w:asciiTheme="majorHAnsi" w:hAnsiTheme="majorHAnsi" w:cstheme="majorHAnsi"/>
          <w:sz w:val="24"/>
          <w:szCs w:val="24"/>
        </w:rPr>
      </w:pPr>
      <w:r w:rsidRPr="009F5847">
        <w:rPr>
          <w:rFonts w:asciiTheme="majorHAnsi" w:hAnsiTheme="majorHAnsi" w:cstheme="majorHAnsi"/>
          <w:b/>
          <w:sz w:val="24"/>
          <w:szCs w:val="24"/>
        </w:rPr>
        <w:t>Parlamentul</w:t>
      </w:r>
      <w:r w:rsidR="008E6CE7" w:rsidRPr="009F5847">
        <w:rPr>
          <w:rFonts w:asciiTheme="majorHAnsi" w:hAnsiTheme="majorHAnsi" w:cstheme="majorHAnsi"/>
          <w:b/>
          <w:sz w:val="24"/>
          <w:szCs w:val="24"/>
        </w:rPr>
        <w:t xml:space="preserve"> </w:t>
      </w:r>
      <w:r w:rsidRPr="009F5847">
        <w:rPr>
          <w:rFonts w:asciiTheme="majorHAnsi" w:hAnsiTheme="majorHAnsi" w:cstheme="majorHAnsi"/>
          <w:b/>
          <w:sz w:val="24"/>
          <w:szCs w:val="24"/>
        </w:rPr>
        <w:t>și Guvernul</w:t>
      </w:r>
      <w:r w:rsidR="00EC1EAF" w:rsidRPr="009F5847">
        <w:rPr>
          <w:rFonts w:asciiTheme="majorHAnsi" w:hAnsiTheme="majorHAnsi" w:cstheme="majorHAnsi"/>
          <w:b/>
          <w:sz w:val="24"/>
          <w:szCs w:val="24"/>
        </w:rPr>
        <w:t xml:space="preserve"> </w:t>
      </w:r>
      <w:r w:rsidRPr="009F5847">
        <w:rPr>
          <w:rFonts w:asciiTheme="majorHAnsi" w:hAnsiTheme="majorHAnsi" w:cstheme="majorHAnsi"/>
          <w:b/>
          <w:sz w:val="24"/>
          <w:szCs w:val="24"/>
        </w:rPr>
        <w:t>Republicii Moldova</w:t>
      </w:r>
      <w:r w:rsidRPr="009F5847">
        <w:rPr>
          <w:rFonts w:asciiTheme="majorHAnsi" w:hAnsiTheme="majorHAnsi" w:cstheme="majorHAnsi"/>
          <w:sz w:val="24"/>
          <w:szCs w:val="24"/>
        </w:rPr>
        <w:t xml:space="preserve"> – pentru informare și luare de atitudine privind</w:t>
      </w:r>
      <w:r w:rsidR="00EC1EAF" w:rsidRPr="009F5847">
        <w:rPr>
          <w:rFonts w:asciiTheme="majorHAnsi" w:hAnsiTheme="majorHAnsi" w:cstheme="majorHAnsi"/>
          <w:sz w:val="24"/>
          <w:szCs w:val="24"/>
        </w:rPr>
        <w:t xml:space="preserve"> </w:t>
      </w:r>
      <w:r w:rsidRPr="009F5847">
        <w:rPr>
          <w:rFonts w:asciiTheme="majorHAnsi" w:hAnsiTheme="majorHAnsi" w:cstheme="majorHAnsi"/>
          <w:sz w:val="24"/>
          <w:szCs w:val="24"/>
        </w:rPr>
        <w:t>situația existentă în administrarea sistemului de facilități fiscale, precum și pentru o posibilă utilizare a informațiilor la luarea deciziilor</w:t>
      </w:r>
      <w:r w:rsidR="001E2BEB" w:rsidRPr="009F5847">
        <w:rPr>
          <w:rFonts w:asciiTheme="majorHAnsi" w:hAnsiTheme="majorHAnsi" w:cstheme="majorHAnsi"/>
          <w:sz w:val="24"/>
          <w:szCs w:val="24"/>
        </w:rPr>
        <w:t xml:space="preserve">, </w:t>
      </w:r>
      <w:r w:rsidR="00D94D04" w:rsidRPr="009F5847">
        <w:rPr>
          <w:rFonts w:asciiTheme="majorHAnsi" w:hAnsiTheme="majorHAnsi" w:cstheme="majorHAnsi"/>
          <w:sz w:val="24"/>
          <w:szCs w:val="24"/>
        </w:rPr>
        <w:t>înaintarea</w:t>
      </w:r>
      <w:r w:rsidR="001E2BEB" w:rsidRPr="009F5847">
        <w:rPr>
          <w:rFonts w:asciiTheme="majorHAnsi" w:hAnsiTheme="majorHAnsi" w:cstheme="majorHAnsi"/>
          <w:sz w:val="24"/>
          <w:szCs w:val="24"/>
        </w:rPr>
        <w:t xml:space="preserve"> </w:t>
      </w:r>
      <w:r w:rsidRPr="009F5847">
        <w:rPr>
          <w:rFonts w:asciiTheme="majorHAnsi" w:hAnsiTheme="majorHAnsi" w:cstheme="majorHAnsi"/>
          <w:sz w:val="24"/>
          <w:szCs w:val="24"/>
        </w:rPr>
        <w:t>inițiativelor privind promovarea politicilor statului în acest domeniu</w:t>
      </w:r>
      <w:r w:rsidR="000A056E" w:rsidRPr="009F5847">
        <w:rPr>
          <w:rFonts w:asciiTheme="majorHAnsi" w:hAnsiTheme="majorHAnsi" w:cstheme="majorHAnsi"/>
          <w:sz w:val="24"/>
          <w:szCs w:val="24"/>
        </w:rPr>
        <w:t>;</w:t>
      </w:r>
      <w:r w:rsidRPr="009F5847">
        <w:rPr>
          <w:rFonts w:asciiTheme="majorHAnsi" w:hAnsiTheme="majorHAnsi" w:cstheme="majorHAnsi"/>
          <w:sz w:val="24"/>
          <w:szCs w:val="24"/>
        </w:rPr>
        <w:t xml:space="preserve"> </w:t>
      </w:r>
    </w:p>
    <w:p w:rsidR="00493DDB" w:rsidRPr="009F5847" w:rsidRDefault="00493DDB" w:rsidP="00493DDB">
      <w:pPr>
        <w:spacing w:line="240" w:lineRule="auto"/>
        <w:jc w:val="both"/>
        <w:rPr>
          <w:rFonts w:asciiTheme="majorHAnsi" w:hAnsiTheme="majorHAnsi" w:cstheme="majorHAnsi"/>
          <w:sz w:val="24"/>
          <w:szCs w:val="24"/>
        </w:rPr>
      </w:pPr>
      <w:r w:rsidRPr="009F5847">
        <w:rPr>
          <w:rFonts w:asciiTheme="majorHAnsi" w:hAnsiTheme="majorHAnsi" w:cstheme="majorHAnsi"/>
          <w:b/>
          <w:sz w:val="24"/>
          <w:szCs w:val="24"/>
        </w:rPr>
        <w:t>Ministerul Finanțelor</w:t>
      </w:r>
      <w:r w:rsidR="000A056E" w:rsidRPr="009F5847">
        <w:rPr>
          <w:rFonts w:asciiTheme="majorHAnsi" w:hAnsiTheme="majorHAnsi" w:cstheme="majorHAnsi"/>
          <w:sz w:val="24"/>
          <w:szCs w:val="24"/>
        </w:rPr>
        <w:t xml:space="preserve"> - </w:t>
      </w:r>
      <w:r w:rsidRPr="009F5847">
        <w:rPr>
          <w:rFonts w:asciiTheme="majorHAnsi" w:hAnsiTheme="majorHAnsi" w:cstheme="majorHAnsi"/>
          <w:sz w:val="24"/>
          <w:szCs w:val="24"/>
        </w:rPr>
        <w:t>ca organ central de specialitate al administrației publice centrale responsabil de promovarea politicii</w:t>
      </w:r>
      <w:r w:rsidR="00EC1EAF" w:rsidRPr="009F5847">
        <w:rPr>
          <w:rFonts w:asciiTheme="majorHAnsi" w:hAnsiTheme="majorHAnsi" w:cstheme="majorHAnsi"/>
          <w:sz w:val="24"/>
          <w:szCs w:val="24"/>
        </w:rPr>
        <w:t xml:space="preserve"> </w:t>
      </w:r>
      <w:r w:rsidRPr="009F5847">
        <w:rPr>
          <w:rFonts w:asciiTheme="majorHAnsi" w:hAnsiTheme="majorHAnsi" w:cstheme="majorHAnsi"/>
          <w:sz w:val="24"/>
          <w:szCs w:val="24"/>
        </w:rPr>
        <w:t xml:space="preserve">bugetar-fiscale </w:t>
      </w:r>
      <w:r w:rsidR="005C74BF" w:rsidRPr="009F5847">
        <w:rPr>
          <w:rFonts w:asciiTheme="majorHAnsi" w:hAnsiTheme="majorHAnsi" w:cstheme="majorHAnsi"/>
          <w:sz w:val="24"/>
          <w:szCs w:val="24"/>
        </w:rPr>
        <w:t>a statului</w:t>
      </w:r>
      <w:r w:rsidR="000A056E" w:rsidRPr="009F5847">
        <w:rPr>
          <w:rFonts w:asciiTheme="majorHAnsi" w:hAnsiTheme="majorHAnsi" w:cstheme="majorHAnsi"/>
          <w:sz w:val="24"/>
          <w:szCs w:val="24"/>
        </w:rPr>
        <w:t>;</w:t>
      </w:r>
    </w:p>
    <w:p w:rsidR="00493DDB" w:rsidRPr="009F5847" w:rsidRDefault="00493DDB" w:rsidP="00493DDB">
      <w:pPr>
        <w:spacing w:line="240" w:lineRule="auto"/>
        <w:jc w:val="both"/>
        <w:rPr>
          <w:rFonts w:asciiTheme="majorHAnsi" w:hAnsiTheme="majorHAnsi" w:cstheme="majorHAnsi"/>
          <w:sz w:val="24"/>
          <w:szCs w:val="24"/>
        </w:rPr>
      </w:pPr>
      <w:r w:rsidRPr="009F5847">
        <w:rPr>
          <w:rFonts w:asciiTheme="majorHAnsi" w:hAnsiTheme="majorHAnsi" w:cstheme="majorHAnsi"/>
          <w:b/>
          <w:sz w:val="24"/>
          <w:szCs w:val="24"/>
        </w:rPr>
        <w:t>Serviciul Fiscal de Stat</w:t>
      </w:r>
      <w:r w:rsidR="000A056E" w:rsidRPr="009F5847">
        <w:rPr>
          <w:rFonts w:asciiTheme="majorHAnsi" w:hAnsiTheme="majorHAnsi" w:cstheme="majorHAnsi"/>
          <w:i/>
          <w:iCs/>
        </w:rPr>
        <w:t xml:space="preserve">  -</w:t>
      </w:r>
      <w:r w:rsidRPr="009F5847">
        <w:rPr>
          <w:rFonts w:asciiTheme="majorHAnsi" w:hAnsiTheme="majorHAnsi" w:cstheme="majorHAnsi"/>
          <w:i/>
          <w:iCs/>
        </w:rPr>
        <w:t xml:space="preserve"> </w:t>
      </w:r>
      <w:r w:rsidR="000A056E" w:rsidRPr="009F5847">
        <w:rPr>
          <w:rFonts w:asciiTheme="majorHAnsi" w:hAnsiTheme="majorHAnsi" w:cstheme="majorHAnsi"/>
          <w:i/>
          <w:iCs/>
        </w:rPr>
        <w:t xml:space="preserve"> </w:t>
      </w:r>
      <w:r w:rsidR="000A056E" w:rsidRPr="009F5847">
        <w:rPr>
          <w:rFonts w:asciiTheme="majorHAnsi" w:hAnsiTheme="majorHAnsi" w:cstheme="majorHAnsi"/>
          <w:sz w:val="24"/>
          <w:szCs w:val="24"/>
        </w:rPr>
        <w:t>pentru</w:t>
      </w:r>
      <w:r w:rsidRPr="009F5847">
        <w:rPr>
          <w:rFonts w:asciiTheme="majorHAnsi" w:hAnsiTheme="majorHAnsi" w:cstheme="majorHAnsi"/>
          <w:sz w:val="24"/>
          <w:szCs w:val="24"/>
        </w:rPr>
        <w:t xml:space="preserve"> identific</w:t>
      </w:r>
      <w:r w:rsidR="000A056E" w:rsidRPr="009F5847">
        <w:rPr>
          <w:rFonts w:asciiTheme="majorHAnsi" w:hAnsiTheme="majorHAnsi" w:cstheme="majorHAnsi"/>
          <w:sz w:val="24"/>
          <w:szCs w:val="24"/>
        </w:rPr>
        <w:t>area</w:t>
      </w:r>
      <w:r w:rsidRPr="009F5847">
        <w:rPr>
          <w:rFonts w:asciiTheme="majorHAnsi" w:hAnsiTheme="majorHAnsi" w:cstheme="majorHAnsi"/>
          <w:sz w:val="24"/>
          <w:szCs w:val="24"/>
        </w:rPr>
        <w:t xml:space="preserve"> deficienț</w:t>
      </w:r>
      <w:r w:rsidR="000A056E" w:rsidRPr="009F5847">
        <w:rPr>
          <w:rFonts w:asciiTheme="majorHAnsi" w:hAnsiTheme="majorHAnsi" w:cstheme="majorHAnsi"/>
          <w:sz w:val="24"/>
          <w:szCs w:val="24"/>
        </w:rPr>
        <w:t>e</w:t>
      </w:r>
      <w:r w:rsidRPr="009F5847">
        <w:rPr>
          <w:rFonts w:asciiTheme="majorHAnsi" w:hAnsiTheme="majorHAnsi" w:cstheme="majorHAnsi"/>
          <w:sz w:val="24"/>
          <w:szCs w:val="24"/>
        </w:rPr>
        <w:t>lor și vulnerabilităților aferente procesului de acordare a facilităților fiscale și raportare a costurilor bugetare a</w:t>
      </w:r>
      <w:r w:rsidR="000A056E" w:rsidRPr="009F5847">
        <w:rPr>
          <w:rFonts w:asciiTheme="majorHAnsi" w:hAnsiTheme="majorHAnsi" w:cstheme="majorHAnsi"/>
          <w:sz w:val="24"/>
          <w:szCs w:val="24"/>
        </w:rPr>
        <w:t>le</w:t>
      </w:r>
      <w:r w:rsidR="00EC1EAF" w:rsidRPr="009F5847">
        <w:rPr>
          <w:rFonts w:asciiTheme="majorHAnsi" w:hAnsiTheme="majorHAnsi" w:cstheme="majorHAnsi"/>
          <w:sz w:val="24"/>
          <w:szCs w:val="24"/>
        </w:rPr>
        <w:t xml:space="preserve"> </w:t>
      </w:r>
      <w:r w:rsidRPr="009F5847">
        <w:rPr>
          <w:rFonts w:asciiTheme="majorHAnsi" w:hAnsiTheme="majorHAnsi" w:cstheme="majorHAnsi"/>
          <w:sz w:val="24"/>
          <w:szCs w:val="24"/>
        </w:rPr>
        <w:t>acestora, inclusiv la raportarea ajutorului de stat</w:t>
      </w:r>
      <w:r w:rsidR="000A056E" w:rsidRPr="009F5847">
        <w:rPr>
          <w:rFonts w:asciiTheme="majorHAnsi" w:hAnsiTheme="majorHAnsi" w:cstheme="majorHAnsi"/>
          <w:sz w:val="24"/>
          <w:szCs w:val="24"/>
        </w:rPr>
        <w:t>;</w:t>
      </w:r>
    </w:p>
    <w:p w:rsidR="00493DDB" w:rsidRPr="009F5847" w:rsidRDefault="000A056E" w:rsidP="00493DDB">
      <w:pPr>
        <w:spacing w:line="240" w:lineRule="auto"/>
        <w:jc w:val="both"/>
        <w:rPr>
          <w:rFonts w:asciiTheme="majorHAnsi" w:hAnsiTheme="majorHAnsi" w:cstheme="majorHAnsi"/>
        </w:rPr>
      </w:pPr>
      <w:r w:rsidRPr="009F5847">
        <w:rPr>
          <w:rFonts w:asciiTheme="majorHAnsi" w:hAnsiTheme="majorHAnsi" w:cstheme="majorHAnsi"/>
          <w:b/>
          <w:sz w:val="24"/>
          <w:szCs w:val="24"/>
        </w:rPr>
        <w:t>s</w:t>
      </w:r>
      <w:r w:rsidR="001E2BEB" w:rsidRPr="009F5847">
        <w:rPr>
          <w:rFonts w:asciiTheme="majorHAnsi" w:hAnsiTheme="majorHAnsi" w:cstheme="majorHAnsi"/>
          <w:b/>
          <w:sz w:val="24"/>
          <w:szCs w:val="24"/>
        </w:rPr>
        <w:t>ocietatea civilă, alte</w:t>
      </w:r>
      <w:r w:rsidR="008E6CE7" w:rsidRPr="009F5847">
        <w:rPr>
          <w:rFonts w:asciiTheme="majorHAnsi" w:hAnsiTheme="majorHAnsi" w:cstheme="majorHAnsi"/>
          <w:b/>
          <w:sz w:val="24"/>
          <w:szCs w:val="24"/>
        </w:rPr>
        <w:t xml:space="preserve"> </w:t>
      </w:r>
      <w:r w:rsidR="00493DDB" w:rsidRPr="009F5847">
        <w:rPr>
          <w:rFonts w:asciiTheme="majorHAnsi" w:hAnsiTheme="majorHAnsi" w:cstheme="majorHAnsi"/>
          <w:b/>
          <w:sz w:val="24"/>
          <w:szCs w:val="24"/>
        </w:rPr>
        <w:t xml:space="preserve"> părți interesate.</w:t>
      </w:r>
      <w:r w:rsidR="00493DDB" w:rsidRPr="009F5847">
        <w:rPr>
          <w:rFonts w:asciiTheme="majorHAnsi" w:hAnsiTheme="majorHAnsi" w:cstheme="majorHAnsi"/>
        </w:rPr>
        <w:t xml:space="preserve"> </w:t>
      </w:r>
    </w:p>
    <w:p w:rsidR="00493DDB" w:rsidRDefault="00493DD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040BCB" w:rsidRPr="009F5847" w:rsidRDefault="00040BCB" w:rsidP="002C1DE7">
      <w:pPr>
        <w:spacing w:before="120" w:after="0" w:line="240" w:lineRule="auto"/>
        <w:ind w:right="374"/>
        <w:rPr>
          <w:rFonts w:asciiTheme="majorHAnsi" w:hAnsiTheme="majorHAnsi" w:cstheme="majorHAnsi"/>
          <w:color w:val="2E74B5" w:themeColor="accent1" w:themeShade="BF"/>
          <w:sz w:val="26"/>
          <w:szCs w:val="26"/>
        </w:rPr>
      </w:pPr>
    </w:p>
    <w:p w:rsidR="00415FB2" w:rsidRPr="009F5847" w:rsidRDefault="00400266" w:rsidP="00415FB2">
      <w:pPr>
        <w:pStyle w:val="Heading1"/>
        <w:numPr>
          <w:ilvl w:val="0"/>
          <w:numId w:val="1"/>
        </w:numPr>
        <w:tabs>
          <w:tab w:val="left" w:pos="3600"/>
          <w:tab w:val="left" w:pos="3780"/>
        </w:tabs>
        <w:spacing w:before="0" w:after="160" w:line="240" w:lineRule="auto"/>
        <w:ind w:left="180" w:hanging="180"/>
        <w:rPr>
          <w:rFonts w:eastAsiaTheme="minorHAnsi" w:cstheme="majorHAnsi"/>
          <w:b/>
          <w:color w:val="1F4E79" w:themeColor="accent1" w:themeShade="80"/>
          <w:sz w:val="28"/>
          <w:szCs w:val="28"/>
          <w:shd w:val="clear" w:color="auto" w:fill="FFFFFF"/>
          <w:lang w:val="ro-MD"/>
        </w:rPr>
      </w:pPr>
      <w:bookmarkStart w:id="9" w:name="_Toc111467858"/>
      <w:r w:rsidRPr="009F5847">
        <w:rPr>
          <w:rFonts w:eastAsiaTheme="minorHAnsi" w:cstheme="majorHAnsi"/>
          <w:b/>
          <w:color w:val="1F4E79" w:themeColor="accent1" w:themeShade="80"/>
          <w:sz w:val="28"/>
          <w:szCs w:val="28"/>
          <w:shd w:val="clear" w:color="auto" w:fill="FFFFFF"/>
          <w:lang w:val="ro-MD"/>
        </w:rPr>
        <w:t>SINTEZA</w:t>
      </w:r>
      <w:bookmarkEnd w:id="4"/>
      <w:bookmarkEnd w:id="5"/>
      <w:bookmarkEnd w:id="9"/>
    </w:p>
    <w:p w:rsidR="00415FB2" w:rsidRPr="009F5847" w:rsidRDefault="003E043C" w:rsidP="0098547A">
      <w:pPr>
        <w:spacing w:after="120" w:line="240" w:lineRule="auto"/>
        <w:jc w:val="both"/>
        <w:rPr>
          <w:rFonts w:asciiTheme="majorHAnsi" w:eastAsiaTheme="minorEastAsia" w:hAnsiTheme="majorHAnsi" w:cstheme="majorHAnsi"/>
          <w:sz w:val="24"/>
          <w:szCs w:val="24"/>
        </w:rPr>
      </w:pPr>
      <w:r w:rsidRPr="009F5847">
        <w:rPr>
          <w:rFonts w:asciiTheme="majorHAnsi" w:eastAsiaTheme="minorEastAsia" w:hAnsiTheme="majorHAnsi" w:cstheme="majorHAnsi"/>
          <w:sz w:val="24"/>
          <w:szCs w:val="24"/>
          <w:lang w:eastAsia="ru-RU"/>
        </w:rPr>
        <w:t>Facilitățile fiscale</w:t>
      </w:r>
      <w:r w:rsidR="000A056E" w:rsidRPr="009F5847">
        <w:rPr>
          <w:rFonts w:asciiTheme="majorHAnsi" w:eastAsiaTheme="minorEastAsia" w:hAnsiTheme="majorHAnsi" w:cstheme="majorHAnsi"/>
          <w:sz w:val="24"/>
          <w:szCs w:val="24"/>
          <w:lang w:eastAsia="ru-RU"/>
        </w:rPr>
        <w:t>,</w:t>
      </w:r>
      <w:r w:rsidR="001E2051" w:rsidRPr="009F5847">
        <w:rPr>
          <w:rFonts w:asciiTheme="majorHAnsi" w:eastAsiaTheme="minorEastAsia" w:hAnsiTheme="majorHAnsi" w:cstheme="majorHAnsi"/>
          <w:sz w:val="24"/>
          <w:szCs w:val="24"/>
          <w:lang w:eastAsia="ru-RU"/>
        </w:rPr>
        <w:t xml:space="preserve"> prin contextul </w:t>
      </w:r>
      <w:r w:rsidR="000A056E" w:rsidRPr="009F5847">
        <w:rPr>
          <w:rFonts w:asciiTheme="majorHAnsi" w:eastAsiaTheme="minorEastAsia" w:hAnsiTheme="majorHAnsi" w:cstheme="majorHAnsi"/>
          <w:sz w:val="24"/>
          <w:szCs w:val="24"/>
          <w:lang w:eastAsia="ru-RU"/>
        </w:rPr>
        <w:t>lor,</w:t>
      </w:r>
      <w:r w:rsidR="001E2051" w:rsidRPr="009F5847">
        <w:rPr>
          <w:rFonts w:asciiTheme="majorHAnsi" w:eastAsiaTheme="minorEastAsia" w:hAnsiTheme="majorHAnsi" w:cstheme="majorHAnsi"/>
          <w:sz w:val="24"/>
          <w:szCs w:val="24"/>
          <w:lang w:eastAsia="ru-RU"/>
        </w:rPr>
        <w:t xml:space="preserve"> reprezintă </w:t>
      </w:r>
      <w:r w:rsidRPr="009F5847">
        <w:rPr>
          <w:rFonts w:asciiTheme="majorHAnsi" w:eastAsiaTheme="minorEastAsia" w:hAnsiTheme="majorHAnsi" w:cstheme="majorHAnsi"/>
          <w:sz w:val="24"/>
          <w:szCs w:val="24"/>
          <w:lang w:eastAsia="ru-RU"/>
        </w:rPr>
        <w:t>o derogare de la structura normală de impozitare, care scad veniturile</w:t>
      </w:r>
      <w:r w:rsidR="00E91D74" w:rsidRPr="009F5847">
        <w:rPr>
          <w:rFonts w:asciiTheme="majorHAnsi" w:eastAsiaTheme="minorEastAsia" w:hAnsiTheme="majorHAnsi" w:cstheme="majorHAnsi"/>
          <w:sz w:val="24"/>
          <w:szCs w:val="24"/>
          <w:lang w:eastAsia="ru-RU"/>
        </w:rPr>
        <w:t xml:space="preserve"> BPN </w:t>
      </w:r>
      <w:r w:rsidR="009F5847" w:rsidRPr="009F5847">
        <w:rPr>
          <w:rFonts w:asciiTheme="majorHAnsi" w:eastAsiaTheme="minorEastAsia" w:hAnsiTheme="majorHAnsi" w:cstheme="majorHAnsi"/>
          <w:sz w:val="24"/>
          <w:szCs w:val="24"/>
          <w:lang w:eastAsia="ru-RU"/>
        </w:rPr>
        <w:t>și</w:t>
      </w:r>
      <w:r w:rsidRPr="009F5847">
        <w:rPr>
          <w:rFonts w:asciiTheme="majorHAnsi" w:eastAsiaTheme="minorEastAsia" w:hAnsiTheme="majorHAnsi" w:cstheme="majorHAnsi"/>
          <w:sz w:val="24"/>
          <w:szCs w:val="24"/>
          <w:lang w:eastAsia="ru-RU"/>
        </w:rPr>
        <w:t xml:space="preserve"> au un impact semnificativ asupra </w:t>
      </w:r>
      <w:r w:rsidR="001E2051" w:rsidRPr="009F5847">
        <w:rPr>
          <w:rFonts w:asciiTheme="majorHAnsi" w:eastAsiaTheme="minorEastAsia" w:hAnsiTheme="majorHAnsi" w:cstheme="majorHAnsi"/>
          <w:sz w:val="24"/>
          <w:szCs w:val="24"/>
          <w:lang w:eastAsia="ru-RU"/>
        </w:rPr>
        <w:t>finanțelor</w:t>
      </w:r>
      <w:r w:rsidRPr="009F5847">
        <w:rPr>
          <w:rFonts w:asciiTheme="majorHAnsi" w:eastAsiaTheme="minorEastAsia" w:hAnsiTheme="majorHAnsi" w:cstheme="majorHAnsi"/>
          <w:sz w:val="24"/>
          <w:szCs w:val="24"/>
          <w:lang w:eastAsia="ru-RU"/>
        </w:rPr>
        <w:t xml:space="preserve"> statului în întregime.</w:t>
      </w:r>
      <w:r w:rsidR="001E2051" w:rsidRPr="009F5847">
        <w:rPr>
          <w:rFonts w:asciiTheme="majorHAnsi" w:eastAsiaTheme="minorEastAsia" w:hAnsiTheme="majorHAnsi" w:cstheme="majorHAnsi"/>
          <w:sz w:val="24"/>
          <w:szCs w:val="24"/>
          <w:lang w:eastAsia="ru-RU"/>
        </w:rPr>
        <w:t xml:space="preserve"> </w:t>
      </w:r>
      <w:r w:rsidR="000A056E" w:rsidRPr="009F5847">
        <w:rPr>
          <w:rFonts w:asciiTheme="majorHAnsi" w:eastAsiaTheme="minorEastAsia" w:hAnsiTheme="majorHAnsi" w:cstheme="majorHAnsi"/>
          <w:sz w:val="24"/>
          <w:szCs w:val="24"/>
          <w:lang w:eastAsia="ru-RU"/>
        </w:rPr>
        <w:t>Dat fiind</w:t>
      </w:r>
      <w:r w:rsidR="001E2051" w:rsidRPr="009F5847">
        <w:rPr>
          <w:rFonts w:asciiTheme="majorHAnsi" w:eastAsiaTheme="minorEastAsia" w:hAnsiTheme="majorHAnsi" w:cstheme="majorHAnsi"/>
          <w:sz w:val="24"/>
          <w:szCs w:val="24"/>
          <w:lang w:eastAsia="ru-RU"/>
        </w:rPr>
        <w:t xml:space="preserve"> faptul că </w:t>
      </w:r>
      <w:r w:rsidR="00E91D74" w:rsidRPr="009F5847">
        <w:rPr>
          <w:rFonts w:asciiTheme="majorHAnsi" w:eastAsiaTheme="minorEastAsia" w:hAnsiTheme="majorHAnsi" w:cstheme="majorHAnsi"/>
          <w:sz w:val="24"/>
          <w:szCs w:val="24"/>
          <w:lang w:eastAsia="ru-RU"/>
        </w:rPr>
        <w:t xml:space="preserve"> acestea </w:t>
      </w:r>
      <w:r w:rsidR="000A056E" w:rsidRPr="009F5847">
        <w:rPr>
          <w:rFonts w:asciiTheme="majorHAnsi" w:eastAsiaTheme="minorEastAsia" w:hAnsiTheme="majorHAnsi" w:cstheme="majorHAnsi"/>
          <w:sz w:val="24"/>
          <w:szCs w:val="24"/>
          <w:lang w:eastAsia="ru-RU"/>
        </w:rPr>
        <w:t>constituie</w:t>
      </w:r>
      <w:r w:rsidR="001E2051" w:rsidRPr="009F5847">
        <w:rPr>
          <w:rFonts w:asciiTheme="majorHAnsi" w:eastAsiaTheme="minorEastAsia" w:hAnsiTheme="majorHAnsi" w:cstheme="majorHAnsi"/>
          <w:sz w:val="24"/>
          <w:szCs w:val="24"/>
          <w:lang w:eastAsia="ru-RU"/>
        </w:rPr>
        <w:t xml:space="preserve"> </w:t>
      </w:r>
      <w:r w:rsidRPr="009F5847">
        <w:rPr>
          <w:rFonts w:asciiTheme="majorHAnsi" w:eastAsiaTheme="minorEastAsia" w:hAnsiTheme="majorHAnsi" w:cstheme="majorHAnsi"/>
          <w:sz w:val="24"/>
          <w:szCs w:val="24"/>
          <w:lang w:eastAsia="ru-RU"/>
        </w:rPr>
        <w:t xml:space="preserve">costuri </w:t>
      </w:r>
      <w:r w:rsidR="001E2051" w:rsidRPr="009F5847">
        <w:rPr>
          <w:rFonts w:asciiTheme="majorHAnsi" w:eastAsiaTheme="minorEastAsia" w:hAnsiTheme="majorHAnsi" w:cstheme="majorHAnsi"/>
          <w:sz w:val="24"/>
          <w:szCs w:val="24"/>
          <w:lang w:eastAsia="ru-RU"/>
        </w:rPr>
        <w:t>semnificative pentru buget</w:t>
      </w:r>
      <w:r w:rsidR="000A056E" w:rsidRPr="009F5847">
        <w:rPr>
          <w:rFonts w:asciiTheme="majorHAnsi" w:eastAsiaTheme="minorEastAsia" w:hAnsiTheme="majorHAnsi" w:cstheme="majorHAnsi"/>
          <w:sz w:val="24"/>
          <w:szCs w:val="24"/>
          <w:lang w:eastAsia="ru-RU"/>
        </w:rPr>
        <w:t>,</w:t>
      </w:r>
      <w:r w:rsidR="001E2051" w:rsidRPr="009F5847">
        <w:rPr>
          <w:rFonts w:asciiTheme="majorHAnsi" w:eastAsiaTheme="minorEastAsia" w:hAnsiTheme="majorHAnsi" w:cstheme="majorHAnsi"/>
          <w:sz w:val="24"/>
          <w:szCs w:val="24"/>
          <w:lang w:eastAsia="ru-RU"/>
        </w:rPr>
        <w:t xml:space="preserve"> este important ca autoritățile statului </w:t>
      </w:r>
      <w:r w:rsidR="006159E4" w:rsidRPr="009F5847">
        <w:rPr>
          <w:rFonts w:asciiTheme="majorHAnsi" w:eastAsiaTheme="minorEastAsia" w:hAnsiTheme="majorHAnsi" w:cstheme="majorHAnsi"/>
          <w:sz w:val="24"/>
          <w:szCs w:val="24"/>
          <w:lang w:eastAsia="ru-RU"/>
        </w:rPr>
        <w:t>să</w:t>
      </w:r>
      <w:r w:rsidR="001E2051" w:rsidRPr="009F5847">
        <w:rPr>
          <w:rFonts w:asciiTheme="majorHAnsi" w:eastAsiaTheme="minorEastAsia" w:hAnsiTheme="majorHAnsi" w:cstheme="majorHAnsi"/>
          <w:sz w:val="24"/>
          <w:szCs w:val="24"/>
          <w:lang w:eastAsia="ru-RU"/>
        </w:rPr>
        <w:t xml:space="preserve"> l</w:t>
      </w:r>
      <w:r w:rsidR="006159E4" w:rsidRPr="009F5847">
        <w:rPr>
          <w:rFonts w:asciiTheme="majorHAnsi" w:eastAsiaTheme="minorEastAsia" w:hAnsiTheme="majorHAnsi" w:cstheme="majorHAnsi"/>
          <w:sz w:val="24"/>
          <w:szCs w:val="24"/>
          <w:lang w:eastAsia="ru-RU"/>
        </w:rPr>
        <w:t xml:space="preserve">e estimeze și să le raporteze </w:t>
      </w:r>
      <w:r w:rsidR="001E2051" w:rsidRPr="009F5847">
        <w:rPr>
          <w:rFonts w:asciiTheme="majorHAnsi" w:eastAsiaTheme="minorEastAsia" w:hAnsiTheme="majorHAnsi" w:cstheme="majorHAnsi"/>
          <w:sz w:val="24"/>
          <w:szCs w:val="24"/>
          <w:lang w:eastAsia="ru-RU"/>
        </w:rPr>
        <w:t xml:space="preserve"> într-o manieră</w:t>
      </w:r>
      <w:r w:rsidR="00DA20E7" w:rsidRPr="009F5847">
        <w:rPr>
          <w:rFonts w:asciiTheme="majorHAnsi" w:eastAsiaTheme="minorEastAsia" w:hAnsiTheme="majorHAnsi" w:cstheme="majorHAnsi"/>
          <w:sz w:val="24"/>
          <w:szCs w:val="24"/>
          <w:lang w:eastAsia="ru-RU"/>
        </w:rPr>
        <w:t xml:space="preserve"> corectă și </w:t>
      </w:r>
      <w:r w:rsidR="001E2051" w:rsidRPr="009F5847">
        <w:rPr>
          <w:rFonts w:asciiTheme="majorHAnsi" w:eastAsiaTheme="minorEastAsia" w:hAnsiTheme="majorHAnsi" w:cstheme="majorHAnsi"/>
          <w:sz w:val="24"/>
          <w:szCs w:val="24"/>
          <w:lang w:eastAsia="ru-RU"/>
        </w:rPr>
        <w:t xml:space="preserve">transparentă, </w:t>
      </w:r>
      <w:r w:rsidR="00DA20E7" w:rsidRPr="009F5847">
        <w:rPr>
          <w:rFonts w:asciiTheme="majorHAnsi" w:eastAsiaTheme="minorEastAsia" w:hAnsiTheme="majorHAnsi" w:cstheme="majorHAnsi"/>
          <w:sz w:val="24"/>
          <w:szCs w:val="24"/>
          <w:lang w:eastAsia="ru-RU"/>
        </w:rPr>
        <w:t xml:space="preserve">precum și să asigure integrarea principiilor </w:t>
      </w:r>
      <w:r w:rsidRPr="009F5847">
        <w:rPr>
          <w:rFonts w:asciiTheme="majorHAnsi" w:eastAsiaTheme="minorEastAsia" w:hAnsiTheme="majorHAnsi" w:cstheme="majorHAnsi"/>
          <w:sz w:val="24"/>
          <w:szCs w:val="24"/>
          <w:lang w:eastAsia="ru-RU"/>
        </w:rPr>
        <w:t xml:space="preserve">bunei guvernări </w:t>
      </w:r>
      <w:r w:rsidR="00DA20E7" w:rsidRPr="009F5847">
        <w:rPr>
          <w:rFonts w:asciiTheme="majorHAnsi" w:eastAsiaTheme="minorEastAsia" w:hAnsiTheme="majorHAnsi" w:cstheme="majorHAnsi"/>
          <w:sz w:val="24"/>
          <w:szCs w:val="24"/>
          <w:lang w:eastAsia="ru-RU"/>
        </w:rPr>
        <w:t>în valorificarea înlesnirilor acordate d</w:t>
      </w:r>
      <w:r w:rsidR="000A056E" w:rsidRPr="009F5847">
        <w:rPr>
          <w:rFonts w:asciiTheme="majorHAnsi" w:eastAsiaTheme="minorEastAsia" w:hAnsiTheme="majorHAnsi" w:cstheme="majorHAnsi"/>
          <w:sz w:val="24"/>
          <w:szCs w:val="24"/>
          <w:lang w:eastAsia="ru-RU"/>
        </w:rPr>
        <w:t>i</w:t>
      </w:r>
      <w:r w:rsidR="00DA20E7" w:rsidRPr="009F5847">
        <w:rPr>
          <w:rFonts w:asciiTheme="majorHAnsi" w:eastAsiaTheme="minorEastAsia" w:hAnsiTheme="majorHAnsi" w:cstheme="majorHAnsi"/>
          <w:sz w:val="24"/>
          <w:szCs w:val="24"/>
          <w:lang w:eastAsia="ru-RU"/>
        </w:rPr>
        <w:t>feritor categorii de beneficiari.</w:t>
      </w:r>
      <w:r w:rsidR="001E2051" w:rsidRPr="009F5847">
        <w:rPr>
          <w:rFonts w:asciiTheme="majorHAnsi" w:eastAsiaTheme="minorEastAsia" w:hAnsiTheme="majorHAnsi" w:cstheme="majorHAnsi"/>
          <w:sz w:val="24"/>
          <w:szCs w:val="24"/>
          <w:lang w:eastAsia="ru-RU"/>
        </w:rPr>
        <w:t xml:space="preserve"> </w:t>
      </w:r>
      <w:r w:rsidR="00DA20E7" w:rsidRPr="009F5847">
        <w:rPr>
          <w:rFonts w:asciiTheme="majorHAnsi" w:eastAsiaTheme="minorEastAsia" w:hAnsiTheme="majorHAnsi" w:cstheme="majorHAnsi"/>
          <w:sz w:val="24"/>
          <w:szCs w:val="24"/>
          <w:lang w:eastAsia="ru-RU"/>
        </w:rPr>
        <w:t>Aceste pr</w:t>
      </w:r>
      <w:r w:rsidR="00C574DC" w:rsidRPr="009F5847">
        <w:rPr>
          <w:rFonts w:asciiTheme="majorHAnsi" w:eastAsiaTheme="minorEastAsia" w:hAnsiTheme="majorHAnsi" w:cstheme="majorHAnsi"/>
          <w:sz w:val="24"/>
          <w:szCs w:val="24"/>
          <w:lang w:eastAsia="ru-RU"/>
        </w:rPr>
        <w:t>e</w:t>
      </w:r>
      <w:r w:rsidR="006159E4" w:rsidRPr="009F5847">
        <w:rPr>
          <w:rFonts w:asciiTheme="majorHAnsi" w:eastAsiaTheme="minorEastAsia" w:hAnsiTheme="majorHAnsi" w:cstheme="majorHAnsi"/>
          <w:sz w:val="24"/>
          <w:szCs w:val="24"/>
          <w:lang w:eastAsia="ru-RU"/>
        </w:rPr>
        <w:t xml:space="preserve">mise, dar și </w:t>
      </w:r>
      <w:r w:rsidR="00DA20E7" w:rsidRPr="009F5847">
        <w:rPr>
          <w:rFonts w:asciiTheme="majorHAnsi" w:eastAsiaTheme="minorEastAsia" w:hAnsiTheme="majorHAnsi" w:cstheme="majorHAnsi"/>
          <w:sz w:val="24"/>
          <w:szCs w:val="24"/>
          <w:lang w:eastAsia="ru-RU"/>
        </w:rPr>
        <w:t xml:space="preserve">interesul sporit </w:t>
      </w:r>
      <w:r w:rsidR="006159E4" w:rsidRPr="009F5847">
        <w:rPr>
          <w:rFonts w:asciiTheme="majorHAnsi" w:eastAsiaTheme="minorEastAsia" w:hAnsiTheme="majorHAnsi" w:cstheme="majorHAnsi"/>
          <w:sz w:val="24"/>
          <w:szCs w:val="24"/>
          <w:lang w:eastAsia="ru-RU"/>
        </w:rPr>
        <w:t>a</w:t>
      </w:r>
      <w:r w:rsidR="000A056E" w:rsidRPr="009F5847">
        <w:rPr>
          <w:rFonts w:asciiTheme="majorHAnsi" w:eastAsiaTheme="minorEastAsia" w:hAnsiTheme="majorHAnsi" w:cstheme="majorHAnsi"/>
          <w:sz w:val="24"/>
          <w:szCs w:val="24"/>
          <w:lang w:eastAsia="ru-RU"/>
        </w:rPr>
        <w:t>l</w:t>
      </w:r>
      <w:r w:rsidR="006159E4" w:rsidRPr="009F5847">
        <w:rPr>
          <w:rFonts w:asciiTheme="majorHAnsi" w:eastAsiaTheme="minorEastAsia" w:hAnsiTheme="majorHAnsi" w:cstheme="majorHAnsi"/>
          <w:sz w:val="24"/>
          <w:szCs w:val="24"/>
          <w:lang w:eastAsia="ru-RU"/>
        </w:rPr>
        <w:t xml:space="preserve"> </w:t>
      </w:r>
      <w:r w:rsidR="00C574DC" w:rsidRPr="009F5847">
        <w:rPr>
          <w:rFonts w:asciiTheme="majorHAnsi" w:eastAsiaTheme="minorEastAsia" w:hAnsiTheme="majorHAnsi" w:cstheme="majorHAnsi"/>
          <w:sz w:val="24"/>
          <w:szCs w:val="24"/>
          <w:lang w:eastAsia="ru-RU"/>
        </w:rPr>
        <w:t>d</w:t>
      </w:r>
      <w:r w:rsidR="000A056E" w:rsidRPr="009F5847">
        <w:rPr>
          <w:rFonts w:asciiTheme="majorHAnsi" w:eastAsiaTheme="minorEastAsia" w:hAnsiTheme="majorHAnsi" w:cstheme="majorHAnsi"/>
          <w:sz w:val="24"/>
          <w:szCs w:val="24"/>
          <w:lang w:eastAsia="ru-RU"/>
        </w:rPr>
        <w:t>i</w:t>
      </w:r>
      <w:r w:rsidR="00C574DC" w:rsidRPr="009F5847">
        <w:rPr>
          <w:rFonts w:asciiTheme="majorHAnsi" w:eastAsiaTheme="minorEastAsia" w:hAnsiTheme="majorHAnsi" w:cstheme="majorHAnsi"/>
          <w:sz w:val="24"/>
          <w:szCs w:val="24"/>
          <w:lang w:eastAsia="ru-RU"/>
        </w:rPr>
        <w:t xml:space="preserve">feritor </w:t>
      </w:r>
      <w:r w:rsidR="00DA20E7" w:rsidRPr="009F5847">
        <w:rPr>
          <w:rFonts w:asciiTheme="majorHAnsi" w:eastAsiaTheme="minorEastAsia" w:hAnsiTheme="majorHAnsi" w:cstheme="majorHAnsi"/>
          <w:sz w:val="24"/>
          <w:szCs w:val="24"/>
          <w:lang w:eastAsia="ru-RU"/>
        </w:rPr>
        <w:t xml:space="preserve">actori </w:t>
      </w:r>
      <w:r w:rsidR="006159E4" w:rsidRPr="009F5847">
        <w:rPr>
          <w:rFonts w:asciiTheme="majorHAnsi" w:eastAsiaTheme="minorEastAsia" w:hAnsiTheme="majorHAnsi" w:cstheme="majorHAnsi"/>
          <w:sz w:val="24"/>
          <w:szCs w:val="24"/>
          <w:lang w:eastAsia="ru-RU"/>
        </w:rPr>
        <w:t xml:space="preserve">cointeresați </w:t>
      </w:r>
      <w:r w:rsidR="007E7B2B" w:rsidRPr="009F5847">
        <w:rPr>
          <w:rFonts w:asciiTheme="majorHAnsi" w:eastAsiaTheme="minorEastAsia" w:hAnsiTheme="majorHAnsi" w:cstheme="majorHAnsi"/>
          <w:sz w:val="24"/>
          <w:szCs w:val="24"/>
          <w:lang w:eastAsia="ru-RU"/>
        </w:rPr>
        <w:t xml:space="preserve">în </w:t>
      </w:r>
      <w:r w:rsidR="006159E4" w:rsidRPr="009F5847">
        <w:rPr>
          <w:rFonts w:asciiTheme="majorHAnsi" w:eastAsiaTheme="minorEastAsia" w:hAnsiTheme="majorHAnsi" w:cstheme="majorHAnsi"/>
          <w:sz w:val="24"/>
          <w:szCs w:val="24"/>
          <w:lang w:eastAsia="ru-RU"/>
        </w:rPr>
        <w:t xml:space="preserve"> </w:t>
      </w:r>
      <w:r w:rsidR="00C574DC" w:rsidRPr="009F5847">
        <w:rPr>
          <w:rFonts w:asciiTheme="majorHAnsi" w:eastAsiaTheme="minorEastAsia" w:hAnsiTheme="majorHAnsi" w:cstheme="majorHAnsi"/>
          <w:sz w:val="24"/>
          <w:szCs w:val="24"/>
          <w:lang w:eastAsia="ru-RU"/>
        </w:rPr>
        <w:t>aspectele gestionării sistemului de facilități fiscale a</w:t>
      </w:r>
      <w:r w:rsidR="007E7B2B" w:rsidRPr="009F5847">
        <w:rPr>
          <w:rFonts w:asciiTheme="majorHAnsi" w:eastAsiaTheme="minorEastAsia" w:hAnsiTheme="majorHAnsi" w:cstheme="majorHAnsi"/>
          <w:sz w:val="24"/>
          <w:szCs w:val="24"/>
          <w:lang w:eastAsia="ru-RU"/>
        </w:rPr>
        <w:t>u</w:t>
      </w:r>
      <w:r w:rsidR="006159E4" w:rsidRPr="009F5847">
        <w:rPr>
          <w:rFonts w:asciiTheme="majorHAnsi" w:eastAsiaTheme="minorEastAsia" w:hAnsiTheme="majorHAnsi" w:cstheme="majorHAnsi"/>
          <w:sz w:val="24"/>
          <w:szCs w:val="24"/>
          <w:lang w:eastAsia="ru-RU"/>
        </w:rPr>
        <w:t xml:space="preserve"> </w:t>
      </w:r>
      <w:r w:rsidR="007E7B2B" w:rsidRPr="009F5847">
        <w:rPr>
          <w:rFonts w:asciiTheme="majorHAnsi" w:eastAsiaTheme="minorEastAsia" w:hAnsiTheme="majorHAnsi" w:cstheme="majorHAnsi"/>
          <w:sz w:val="24"/>
          <w:szCs w:val="24"/>
          <w:lang w:eastAsia="ru-RU"/>
        </w:rPr>
        <w:t>servit</w:t>
      </w:r>
      <w:r w:rsidR="006159E4" w:rsidRPr="009F5847">
        <w:rPr>
          <w:rFonts w:asciiTheme="majorHAnsi" w:eastAsiaTheme="minorEastAsia" w:hAnsiTheme="majorHAnsi" w:cstheme="majorHAnsi"/>
          <w:sz w:val="24"/>
          <w:szCs w:val="24"/>
          <w:lang w:eastAsia="ru-RU"/>
        </w:rPr>
        <w:t xml:space="preserve"> drept temei</w:t>
      </w:r>
      <w:r w:rsidR="00C574DC" w:rsidRPr="009F5847">
        <w:rPr>
          <w:rFonts w:asciiTheme="majorHAnsi" w:eastAsiaTheme="minorEastAsia" w:hAnsiTheme="majorHAnsi" w:cstheme="majorHAnsi"/>
          <w:sz w:val="24"/>
          <w:szCs w:val="24"/>
          <w:lang w:eastAsia="ru-RU"/>
        </w:rPr>
        <w:t xml:space="preserve"> </w:t>
      </w:r>
      <w:r w:rsidR="007E7B2B" w:rsidRPr="009F5847">
        <w:rPr>
          <w:rFonts w:asciiTheme="majorHAnsi" w:eastAsiaTheme="minorEastAsia" w:hAnsiTheme="majorHAnsi" w:cstheme="majorHAnsi"/>
          <w:sz w:val="24"/>
          <w:szCs w:val="24"/>
          <w:lang w:eastAsia="ru-RU"/>
        </w:rPr>
        <w:t>la</w:t>
      </w:r>
      <w:r w:rsidR="006159E4" w:rsidRPr="009F5847">
        <w:rPr>
          <w:rFonts w:asciiTheme="majorHAnsi" w:eastAsiaTheme="minorEastAsia" w:hAnsiTheme="majorHAnsi" w:cstheme="majorHAnsi"/>
          <w:sz w:val="24"/>
          <w:szCs w:val="24"/>
          <w:lang w:eastAsia="ru-RU"/>
        </w:rPr>
        <w:t xml:space="preserve"> </w:t>
      </w:r>
      <w:r w:rsidR="00C574DC" w:rsidRPr="009F5847">
        <w:rPr>
          <w:rFonts w:asciiTheme="majorHAnsi" w:eastAsiaTheme="minorEastAsia" w:hAnsiTheme="majorHAnsi" w:cstheme="majorHAnsi"/>
          <w:sz w:val="24"/>
          <w:szCs w:val="24"/>
          <w:lang w:eastAsia="ru-RU"/>
        </w:rPr>
        <w:t xml:space="preserve">selectarea tematicii respective pentru auditare. Astfel, </w:t>
      </w:r>
      <w:r w:rsidR="00415FB2" w:rsidRPr="009F5847">
        <w:rPr>
          <w:rFonts w:asciiTheme="majorHAnsi" w:eastAsiaTheme="minorEastAsia" w:hAnsiTheme="majorHAnsi" w:cstheme="majorHAnsi"/>
          <w:sz w:val="24"/>
          <w:szCs w:val="24"/>
          <w:lang w:bidi="en-US"/>
        </w:rPr>
        <w:t>Curtea de Conturi, în conformitate cu Programul activității de audit pe anul 2022</w:t>
      </w:r>
      <w:r w:rsidR="00415FB2" w:rsidRPr="009F5847">
        <w:rPr>
          <w:rFonts w:asciiTheme="majorHAnsi" w:eastAsiaTheme="minorEastAsia" w:hAnsiTheme="majorHAnsi" w:cstheme="majorHAnsi"/>
          <w:sz w:val="24"/>
          <w:szCs w:val="24"/>
          <w:vertAlign w:val="superscript"/>
          <w:lang w:bidi="en-US"/>
        </w:rPr>
        <w:footnoteReference w:id="1"/>
      </w:r>
      <w:r w:rsidR="00415FB2" w:rsidRPr="009F5847">
        <w:rPr>
          <w:rFonts w:asciiTheme="majorHAnsi" w:eastAsiaTheme="minorEastAsia" w:hAnsiTheme="majorHAnsi" w:cstheme="majorHAnsi"/>
          <w:sz w:val="24"/>
          <w:szCs w:val="24"/>
          <w:lang w:bidi="en-US"/>
        </w:rPr>
        <w:t>, a efectuat a</w:t>
      </w:r>
      <w:r w:rsidR="00415FB2" w:rsidRPr="009F5847">
        <w:rPr>
          <w:rFonts w:asciiTheme="majorHAnsi" w:eastAsiaTheme="minorEastAsia" w:hAnsiTheme="majorHAnsi" w:cstheme="majorHAnsi"/>
          <w:color w:val="000000"/>
          <w:sz w:val="24"/>
          <w:szCs w:val="24"/>
        </w:rPr>
        <w:t>uditul conformității facilităților fiscale acordate în perioada anilor 2020-2021</w:t>
      </w:r>
      <w:r w:rsidR="00CA1490" w:rsidRPr="009F5847">
        <w:rPr>
          <w:rFonts w:asciiTheme="majorHAnsi" w:eastAsiaTheme="minorEastAsia" w:hAnsiTheme="majorHAnsi" w:cstheme="majorHAnsi"/>
          <w:color w:val="000000"/>
          <w:sz w:val="24"/>
          <w:szCs w:val="24"/>
        </w:rPr>
        <w:t>.</w:t>
      </w:r>
    </w:p>
    <w:p w:rsidR="00415FB2" w:rsidRPr="009F5847" w:rsidRDefault="00E91D74" w:rsidP="0098547A">
      <w:pPr>
        <w:jc w:val="both"/>
        <w:rPr>
          <w:rFonts w:asciiTheme="majorHAnsi" w:hAnsiTheme="majorHAnsi" w:cstheme="majorHAnsi"/>
          <w:sz w:val="24"/>
          <w:szCs w:val="24"/>
        </w:rPr>
      </w:pPr>
      <w:r w:rsidRPr="009F5847">
        <w:rPr>
          <w:rFonts w:asciiTheme="majorHAnsi" w:hAnsiTheme="majorHAnsi" w:cstheme="majorHAnsi"/>
          <w:sz w:val="24"/>
          <w:szCs w:val="24"/>
          <w:lang w:bidi="en-US"/>
        </w:rPr>
        <w:t>Analiza per ansamblu</w:t>
      </w:r>
      <w:r w:rsidR="002B6192" w:rsidRPr="009F5847">
        <w:rPr>
          <w:rFonts w:asciiTheme="majorHAnsi" w:hAnsiTheme="majorHAnsi" w:cstheme="majorHAnsi"/>
          <w:sz w:val="24"/>
          <w:szCs w:val="24"/>
          <w:lang w:bidi="en-US"/>
        </w:rPr>
        <w:t xml:space="preserve"> a</w:t>
      </w:r>
      <w:r w:rsidRPr="009F5847">
        <w:rPr>
          <w:rFonts w:asciiTheme="majorHAnsi" w:hAnsiTheme="majorHAnsi" w:cstheme="majorHAnsi"/>
          <w:sz w:val="24"/>
          <w:szCs w:val="24"/>
          <w:lang w:bidi="en-US"/>
        </w:rPr>
        <w:t xml:space="preserve"> constatăril</w:t>
      </w:r>
      <w:r w:rsidR="002B6192" w:rsidRPr="009F5847">
        <w:rPr>
          <w:rFonts w:asciiTheme="majorHAnsi" w:hAnsiTheme="majorHAnsi" w:cstheme="majorHAnsi"/>
          <w:sz w:val="24"/>
          <w:szCs w:val="24"/>
          <w:lang w:bidi="en-US"/>
        </w:rPr>
        <w:t>or</w:t>
      </w:r>
      <w:r w:rsidRPr="009F5847">
        <w:rPr>
          <w:rFonts w:asciiTheme="majorHAnsi" w:hAnsiTheme="majorHAnsi" w:cstheme="majorHAnsi"/>
          <w:sz w:val="24"/>
          <w:szCs w:val="24"/>
          <w:lang w:bidi="en-US"/>
        </w:rPr>
        <w:t xml:space="preserve"> de audit</w:t>
      </w:r>
      <w:r w:rsidR="002B6192" w:rsidRPr="009F5847">
        <w:rPr>
          <w:rFonts w:asciiTheme="majorHAnsi" w:hAnsiTheme="majorHAnsi" w:cstheme="majorHAnsi"/>
          <w:sz w:val="24"/>
          <w:szCs w:val="24"/>
          <w:lang w:bidi="en-US"/>
        </w:rPr>
        <w:t>,</w:t>
      </w:r>
      <w:r w:rsidRPr="009F5847">
        <w:rPr>
          <w:rFonts w:asciiTheme="majorHAnsi" w:hAnsiTheme="majorHAnsi" w:cstheme="majorHAnsi"/>
          <w:sz w:val="24"/>
          <w:szCs w:val="24"/>
          <w:lang w:bidi="en-US"/>
        </w:rPr>
        <w:t xml:space="preserve"> expuse în prezentul </w:t>
      </w:r>
      <w:r w:rsidR="002B6192" w:rsidRPr="009F5847">
        <w:rPr>
          <w:rFonts w:asciiTheme="majorHAnsi" w:hAnsiTheme="majorHAnsi" w:cstheme="majorHAnsi"/>
          <w:sz w:val="24"/>
          <w:szCs w:val="24"/>
          <w:lang w:bidi="en-US"/>
        </w:rPr>
        <w:t>R</w:t>
      </w:r>
      <w:r w:rsidRPr="009F5847">
        <w:rPr>
          <w:rFonts w:asciiTheme="majorHAnsi" w:hAnsiTheme="majorHAnsi" w:cstheme="majorHAnsi"/>
          <w:sz w:val="24"/>
          <w:szCs w:val="24"/>
          <w:lang w:bidi="en-US"/>
        </w:rPr>
        <w:t>aport, re</w:t>
      </w:r>
      <w:r w:rsidR="002B6192" w:rsidRPr="009F5847">
        <w:rPr>
          <w:rFonts w:asciiTheme="majorHAnsi" w:hAnsiTheme="majorHAnsi" w:cstheme="majorHAnsi"/>
          <w:sz w:val="24"/>
          <w:szCs w:val="24"/>
          <w:lang w:bidi="en-US"/>
        </w:rPr>
        <w:t>levă</w:t>
      </w:r>
      <w:r w:rsidRPr="009F5847">
        <w:rPr>
          <w:rFonts w:asciiTheme="majorHAnsi" w:hAnsiTheme="majorHAnsi" w:cstheme="majorHAnsi"/>
          <w:sz w:val="24"/>
          <w:szCs w:val="24"/>
          <w:lang w:bidi="en-US"/>
        </w:rPr>
        <w:t xml:space="preserve"> că </w:t>
      </w:r>
      <w:r w:rsidR="00415FB2" w:rsidRPr="009F5847">
        <w:rPr>
          <w:rFonts w:asciiTheme="majorHAnsi" w:hAnsiTheme="majorHAnsi" w:cstheme="majorHAnsi"/>
          <w:sz w:val="24"/>
          <w:szCs w:val="24"/>
          <w:lang w:bidi="en-US"/>
        </w:rPr>
        <w:t xml:space="preserve">unele facilități instituite de Guvern </w:t>
      </w:r>
      <w:r w:rsidR="00415FB2" w:rsidRPr="009F5847">
        <w:rPr>
          <w:rFonts w:asciiTheme="majorHAnsi" w:hAnsiTheme="majorHAnsi" w:cstheme="majorHAnsi"/>
          <w:sz w:val="24"/>
          <w:szCs w:val="24"/>
        </w:rPr>
        <w:t>ajută la impulsionarea dezvoltării unor sectoare și ramuri economice cu potențial de creștere, precum și</w:t>
      </w:r>
      <w:r w:rsidR="00EC1EAF" w:rsidRPr="009F5847">
        <w:rPr>
          <w:rFonts w:asciiTheme="majorHAnsi" w:hAnsiTheme="majorHAnsi" w:cstheme="majorHAnsi"/>
          <w:sz w:val="24"/>
          <w:szCs w:val="24"/>
        </w:rPr>
        <w:t xml:space="preserve"> </w:t>
      </w:r>
      <w:r w:rsidR="002B6192" w:rsidRPr="009F5847">
        <w:rPr>
          <w:rFonts w:asciiTheme="majorHAnsi" w:hAnsiTheme="majorHAnsi" w:cstheme="majorHAnsi"/>
          <w:sz w:val="24"/>
          <w:szCs w:val="24"/>
        </w:rPr>
        <w:t>la</w:t>
      </w:r>
      <w:r w:rsidR="00415FB2" w:rsidRPr="009F5847">
        <w:rPr>
          <w:rFonts w:asciiTheme="majorHAnsi" w:hAnsiTheme="majorHAnsi" w:cstheme="majorHAnsi"/>
          <w:sz w:val="24"/>
          <w:szCs w:val="24"/>
        </w:rPr>
        <w:t xml:space="preserve"> atrager</w:t>
      </w:r>
      <w:r w:rsidR="002B6192" w:rsidRPr="009F5847">
        <w:rPr>
          <w:rFonts w:asciiTheme="majorHAnsi" w:hAnsiTheme="majorHAnsi" w:cstheme="majorHAnsi"/>
          <w:sz w:val="24"/>
          <w:szCs w:val="24"/>
        </w:rPr>
        <w:t>ea</w:t>
      </w:r>
      <w:r w:rsidR="00415FB2" w:rsidRPr="009F5847">
        <w:rPr>
          <w:rFonts w:asciiTheme="majorHAnsi" w:hAnsiTheme="majorHAnsi" w:cstheme="majorHAnsi"/>
          <w:sz w:val="24"/>
          <w:szCs w:val="24"/>
        </w:rPr>
        <w:t xml:space="preserve"> investițiilor și</w:t>
      </w:r>
      <w:r w:rsidR="00EC1EAF" w:rsidRPr="009F5847">
        <w:rPr>
          <w:rFonts w:asciiTheme="majorHAnsi" w:hAnsiTheme="majorHAnsi" w:cstheme="majorHAnsi"/>
          <w:sz w:val="24"/>
          <w:szCs w:val="24"/>
        </w:rPr>
        <w:t xml:space="preserve"> </w:t>
      </w:r>
      <w:r w:rsidR="00415FB2" w:rsidRPr="009F5847">
        <w:rPr>
          <w:rFonts w:asciiTheme="majorHAnsi" w:hAnsiTheme="majorHAnsi" w:cstheme="majorHAnsi"/>
          <w:sz w:val="24"/>
          <w:szCs w:val="24"/>
        </w:rPr>
        <w:t>dezvolt</w:t>
      </w:r>
      <w:r w:rsidR="002B6192" w:rsidRPr="009F5847">
        <w:rPr>
          <w:rFonts w:asciiTheme="majorHAnsi" w:hAnsiTheme="majorHAnsi" w:cstheme="majorHAnsi"/>
          <w:sz w:val="24"/>
          <w:szCs w:val="24"/>
        </w:rPr>
        <w:t>area</w:t>
      </w:r>
      <w:r w:rsidR="00415FB2" w:rsidRPr="009F5847">
        <w:rPr>
          <w:rFonts w:asciiTheme="majorHAnsi" w:hAnsiTheme="majorHAnsi" w:cstheme="majorHAnsi"/>
          <w:sz w:val="24"/>
          <w:szCs w:val="24"/>
        </w:rPr>
        <w:t xml:space="preserve"> economiei naționale,</w:t>
      </w:r>
      <w:r w:rsidRPr="009F5847">
        <w:rPr>
          <w:rFonts w:asciiTheme="majorHAnsi" w:hAnsiTheme="majorHAnsi" w:cstheme="majorHAnsi"/>
          <w:sz w:val="24"/>
          <w:szCs w:val="24"/>
        </w:rPr>
        <w:t xml:space="preserve"> </w:t>
      </w:r>
      <w:r w:rsidR="002B6192" w:rsidRPr="009F5847">
        <w:rPr>
          <w:rFonts w:asciiTheme="majorHAnsi" w:hAnsiTheme="majorHAnsi" w:cstheme="majorHAnsi"/>
          <w:sz w:val="24"/>
          <w:szCs w:val="24"/>
        </w:rPr>
        <w:t xml:space="preserve">iar </w:t>
      </w:r>
      <w:r w:rsidRPr="009F5847">
        <w:rPr>
          <w:rFonts w:asciiTheme="majorHAnsi" w:hAnsiTheme="majorHAnsi" w:cstheme="majorHAnsi"/>
          <w:sz w:val="24"/>
          <w:szCs w:val="24"/>
        </w:rPr>
        <w:t>altele</w:t>
      </w:r>
      <w:r w:rsidR="00CA0484" w:rsidRPr="009F5847">
        <w:rPr>
          <w:rFonts w:asciiTheme="majorHAnsi" w:hAnsiTheme="majorHAnsi" w:cstheme="majorHAnsi"/>
          <w:sz w:val="24"/>
          <w:szCs w:val="24"/>
        </w:rPr>
        <w:t xml:space="preserve"> au fost instituite și sunt aplicate pe o perioadă îndelungată, fără a genera plusvaloare</w:t>
      </w:r>
      <w:r w:rsidR="006159E4" w:rsidRPr="009F5847">
        <w:rPr>
          <w:rFonts w:asciiTheme="majorHAnsi" w:hAnsiTheme="majorHAnsi" w:cstheme="majorHAnsi"/>
          <w:sz w:val="24"/>
          <w:szCs w:val="24"/>
        </w:rPr>
        <w:t xml:space="preserve"> statului și societății</w:t>
      </w:r>
      <w:r w:rsidR="00CA0484" w:rsidRPr="009F5847">
        <w:rPr>
          <w:rFonts w:asciiTheme="majorHAnsi" w:hAnsiTheme="majorHAnsi" w:cstheme="majorHAnsi"/>
          <w:sz w:val="24"/>
          <w:szCs w:val="24"/>
        </w:rPr>
        <w:t>. Se menționează că</w:t>
      </w:r>
      <w:r w:rsidR="00415FB2" w:rsidRPr="009F5847">
        <w:rPr>
          <w:rFonts w:asciiTheme="majorHAnsi" w:hAnsiTheme="majorHAnsi" w:cstheme="majorHAnsi"/>
          <w:sz w:val="24"/>
          <w:szCs w:val="24"/>
        </w:rPr>
        <w:t xml:space="preserve"> MF, în calitate de autoritate publică centrală </w:t>
      </w:r>
      <w:r w:rsidR="001E2BEB" w:rsidRPr="009F5847">
        <w:rPr>
          <w:rFonts w:asciiTheme="majorHAnsi" w:hAnsiTheme="majorHAnsi" w:cstheme="majorHAnsi"/>
          <w:sz w:val="24"/>
          <w:szCs w:val="24"/>
        </w:rPr>
        <w:t xml:space="preserve">care asigură realizarea politicii guvernamentale </w:t>
      </w:r>
      <w:r w:rsidR="00415FB2" w:rsidRPr="009F5847">
        <w:rPr>
          <w:rFonts w:asciiTheme="majorHAnsi" w:hAnsiTheme="majorHAnsi" w:cstheme="majorHAnsi"/>
          <w:sz w:val="24"/>
          <w:szCs w:val="24"/>
        </w:rPr>
        <w:t>în domeniul finanțelor publice, de rând cu SFS</w:t>
      </w:r>
      <w:r w:rsidR="00EC1EAF" w:rsidRPr="009F5847">
        <w:rPr>
          <w:rFonts w:asciiTheme="majorHAnsi" w:hAnsiTheme="majorHAnsi" w:cstheme="majorHAnsi"/>
          <w:sz w:val="24"/>
          <w:szCs w:val="24"/>
        </w:rPr>
        <w:t xml:space="preserve"> </w:t>
      </w:r>
      <w:r w:rsidR="00415FB2" w:rsidRPr="009F5847">
        <w:rPr>
          <w:rFonts w:asciiTheme="majorHAnsi" w:hAnsiTheme="majorHAnsi" w:cstheme="majorHAnsi"/>
          <w:sz w:val="24"/>
          <w:szCs w:val="24"/>
        </w:rPr>
        <w:t>și alte autorități ale administrației publice de specialitate,</w:t>
      </w:r>
      <w:r w:rsidR="00415FB2" w:rsidRPr="009F5847">
        <w:rPr>
          <w:rFonts w:asciiTheme="majorHAnsi" w:hAnsiTheme="majorHAnsi" w:cstheme="majorHAnsi"/>
          <w:sz w:val="24"/>
          <w:szCs w:val="24"/>
          <w:vertAlign w:val="superscript"/>
        </w:rPr>
        <w:footnoteReference w:id="2"/>
      </w:r>
      <w:r w:rsidR="00415FB2" w:rsidRPr="009F5847">
        <w:rPr>
          <w:rFonts w:asciiTheme="majorHAnsi" w:hAnsiTheme="majorHAnsi" w:cstheme="majorHAnsi"/>
          <w:sz w:val="24"/>
          <w:szCs w:val="24"/>
        </w:rPr>
        <w:t xml:space="preserve"> nu </w:t>
      </w:r>
      <w:r w:rsidR="008D5D9E" w:rsidRPr="009F5847">
        <w:rPr>
          <w:rFonts w:asciiTheme="majorHAnsi" w:hAnsiTheme="majorHAnsi" w:cstheme="majorHAnsi"/>
          <w:sz w:val="24"/>
          <w:szCs w:val="24"/>
        </w:rPr>
        <w:t>s-</w:t>
      </w:r>
      <w:r w:rsidR="00415FB2" w:rsidRPr="009F5847">
        <w:rPr>
          <w:rFonts w:asciiTheme="majorHAnsi" w:hAnsiTheme="majorHAnsi" w:cstheme="majorHAnsi"/>
          <w:sz w:val="24"/>
          <w:szCs w:val="24"/>
        </w:rPr>
        <w:t xml:space="preserve">au </w:t>
      </w:r>
      <w:r w:rsidR="008D5D9E" w:rsidRPr="009F5847">
        <w:rPr>
          <w:rFonts w:asciiTheme="majorHAnsi" w:hAnsiTheme="majorHAnsi" w:cstheme="majorHAnsi"/>
          <w:sz w:val="24"/>
          <w:szCs w:val="24"/>
        </w:rPr>
        <w:t>preocupa</w:t>
      </w:r>
      <w:r w:rsidR="00415FB2" w:rsidRPr="009F5847">
        <w:rPr>
          <w:rFonts w:asciiTheme="majorHAnsi" w:hAnsiTheme="majorHAnsi" w:cstheme="majorHAnsi"/>
          <w:sz w:val="24"/>
          <w:szCs w:val="24"/>
        </w:rPr>
        <w:t xml:space="preserve">t suficient de buna guvernare a </w:t>
      </w:r>
      <w:r w:rsidR="00CA0484" w:rsidRPr="009F5847">
        <w:rPr>
          <w:rFonts w:asciiTheme="majorHAnsi" w:hAnsiTheme="majorHAnsi" w:cstheme="majorHAnsi"/>
          <w:sz w:val="24"/>
          <w:szCs w:val="24"/>
        </w:rPr>
        <w:t xml:space="preserve">întregului </w:t>
      </w:r>
      <w:r w:rsidR="00415FB2" w:rsidRPr="009F5847">
        <w:rPr>
          <w:rFonts w:asciiTheme="majorHAnsi" w:hAnsiTheme="majorHAnsi" w:cstheme="majorHAnsi"/>
          <w:sz w:val="24"/>
          <w:szCs w:val="24"/>
        </w:rPr>
        <w:t>sistem de facilități</w:t>
      </w:r>
      <w:r w:rsidR="008D5D9E" w:rsidRPr="009F5847">
        <w:rPr>
          <w:rFonts w:asciiTheme="majorHAnsi" w:hAnsiTheme="majorHAnsi" w:cstheme="majorHAnsi"/>
          <w:sz w:val="24"/>
          <w:szCs w:val="24"/>
        </w:rPr>
        <w:t>, fapt care</w:t>
      </w:r>
      <w:r w:rsidR="002B6192" w:rsidRPr="009F5847">
        <w:rPr>
          <w:rFonts w:asciiTheme="majorHAnsi" w:hAnsiTheme="majorHAnsi" w:cstheme="majorHAnsi"/>
          <w:sz w:val="24"/>
          <w:szCs w:val="24"/>
        </w:rPr>
        <w:t xml:space="preserve"> a</w:t>
      </w:r>
      <w:r w:rsidR="00415FB2" w:rsidRPr="009F5847">
        <w:rPr>
          <w:rFonts w:asciiTheme="majorHAnsi" w:hAnsiTheme="majorHAnsi" w:cstheme="majorHAnsi"/>
          <w:sz w:val="24"/>
          <w:szCs w:val="24"/>
        </w:rPr>
        <w:t xml:space="preserve"> generat nereguli, soldate cu pierderi de mijloace financiare ale statului, </w:t>
      </w:r>
      <w:r w:rsidR="008D5D9E" w:rsidRPr="009F5847">
        <w:rPr>
          <w:rFonts w:asciiTheme="majorHAnsi" w:hAnsiTheme="majorHAnsi" w:cstheme="majorHAnsi"/>
          <w:sz w:val="24"/>
          <w:szCs w:val="24"/>
        </w:rPr>
        <w:t xml:space="preserve">și </w:t>
      </w:r>
      <w:r w:rsidR="00415FB2" w:rsidRPr="009F5847">
        <w:rPr>
          <w:rFonts w:asciiTheme="majorHAnsi" w:hAnsiTheme="majorHAnsi" w:cstheme="majorHAnsi"/>
          <w:sz w:val="24"/>
          <w:szCs w:val="24"/>
        </w:rPr>
        <w:t>costuri suplimentare ale bugetului public,</w:t>
      </w:r>
      <w:r w:rsidR="008D5D9E" w:rsidRPr="009F5847">
        <w:rPr>
          <w:rFonts w:asciiTheme="majorHAnsi" w:hAnsiTheme="majorHAnsi" w:cstheme="majorHAnsi"/>
          <w:sz w:val="24"/>
          <w:szCs w:val="24"/>
        </w:rPr>
        <w:t xml:space="preserve"> </w:t>
      </w:r>
      <w:r w:rsidR="00415FB2" w:rsidRPr="009F5847">
        <w:rPr>
          <w:rFonts w:asciiTheme="majorHAnsi" w:hAnsiTheme="majorHAnsi" w:cstheme="majorHAnsi"/>
          <w:sz w:val="24"/>
          <w:szCs w:val="24"/>
        </w:rPr>
        <w:t>rezultate din acordarea unor facilități ineficiente, ori nejustificate din punct de vedere economic. La fel, se atestă deficiențe și puncte slabe în managementul de administrare a sistemului de facilități fiscale, cauzate de estimarea fragmentată a</w:t>
      </w:r>
      <w:r w:rsidR="00EC1EAF" w:rsidRPr="009F5847">
        <w:rPr>
          <w:rFonts w:asciiTheme="majorHAnsi" w:hAnsiTheme="majorHAnsi" w:cstheme="majorHAnsi"/>
          <w:sz w:val="24"/>
          <w:szCs w:val="24"/>
        </w:rPr>
        <w:t xml:space="preserve"> </w:t>
      </w:r>
      <w:r w:rsidR="00415FB2" w:rsidRPr="009F5847">
        <w:rPr>
          <w:rFonts w:asciiTheme="majorHAnsi" w:hAnsiTheme="majorHAnsi" w:cstheme="majorHAnsi"/>
          <w:sz w:val="24"/>
          <w:szCs w:val="24"/>
        </w:rPr>
        <w:t xml:space="preserve">costurilor bugetare ale facilităților, de lipsa unor evaluări ale impactului generat de acordarea acestora, ceea ce a diminuat transparența „cheltuielilor publice”, suportate de stat. </w:t>
      </w:r>
      <w:r w:rsidR="0083081E" w:rsidRPr="00125BFD">
        <w:rPr>
          <w:rFonts w:asciiTheme="majorHAnsi" w:hAnsiTheme="majorHAnsi" w:cstheme="majorHAnsi"/>
          <w:sz w:val="24"/>
          <w:szCs w:val="24"/>
        </w:rPr>
        <w:t xml:space="preserve">Cele menționate au fost condiționate și de </w:t>
      </w:r>
      <w:r w:rsidR="0083081E" w:rsidRPr="00125BFD">
        <w:rPr>
          <w:rFonts w:asciiTheme="majorHAnsi" w:eastAsiaTheme="minorEastAsia" w:hAnsiTheme="majorHAnsi" w:cstheme="majorHAnsi"/>
          <w:sz w:val="24"/>
          <w:szCs w:val="24"/>
          <w:lang w:eastAsia="ru-RU"/>
        </w:rPr>
        <w:t>lipsa unui cadru</w:t>
      </w:r>
      <w:r w:rsidR="000B0D94" w:rsidRPr="00125BFD">
        <w:rPr>
          <w:rFonts w:asciiTheme="majorHAnsi" w:eastAsiaTheme="minorEastAsia" w:hAnsiTheme="majorHAnsi" w:cstheme="majorHAnsi"/>
          <w:sz w:val="24"/>
          <w:szCs w:val="24"/>
          <w:lang w:eastAsia="ru-RU"/>
        </w:rPr>
        <w:t xml:space="preserve"> </w:t>
      </w:r>
      <w:r w:rsidR="0083081E" w:rsidRPr="00125BFD">
        <w:rPr>
          <w:rFonts w:asciiTheme="majorHAnsi" w:eastAsiaTheme="minorEastAsia" w:hAnsiTheme="majorHAnsi" w:cstheme="majorHAnsi"/>
          <w:sz w:val="24"/>
          <w:szCs w:val="24"/>
          <w:lang w:eastAsia="ru-RU"/>
        </w:rPr>
        <w:t xml:space="preserve">normativ, care să reglementeze procesul de estimare/ evidență, raportare și evaluare a impactului din acordarea facilităților, precum și stabilirea responsabilităților părților implicate în aceste procese. În contextul expus </w:t>
      </w:r>
      <w:r w:rsidR="0083081E" w:rsidRPr="00125BFD">
        <w:rPr>
          <w:rFonts w:asciiTheme="majorHAnsi" w:hAnsiTheme="majorHAnsi" w:cstheme="majorHAnsi"/>
          <w:sz w:val="24"/>
          <w:szCs w:val="24"/>
        </w:rPr>
        <w:t>se menționează următoarele</w:t>
      </w:r>
      <w:r w:rsidR="000B0D94" w:rsidRPr="00125BFD">
        <w:rPr>
          <w:rFonts w:asciiTheme="majorHAnsi" w:hAnsiTheme="majorHAnsi" w:cstheme="majorHAnsi"/>
          <w:sz w:val="24"/>
          <w:szCs w:val="24"/>
        </w:rPr>
        <w:t xml:space="preserve"> observații de audit.</w:t>
      </w:r>
    </w:p>
    <w:p w:rsidR="00415FB2" w:rsidRPr="00CB5F81" w:rsidRDefault="00415FB2" w:rsidP="00415FB2">
      <w:pPr>
        <w:ind w:right="-187"/>
        <w:jc w:val="both"/>
        <w:rPr>
          <w:rFonts w:asciiTheme="majorHAnsi" w:hAnsiTheme="majorHAnsi" w:cstheme="majorHAnsi"/>
          <w:sz w:val="24"/>
          <w:szCs w:val="24"/>
        </w:rPr>
      </w:pPr>
      <w:r w:rsidRPr="00CB5F81">
        <w:rPr>
          <w:rFonts w:asciiTheme="majorHAnsi" w:eastAsia="Times New Roman" w:hAnsiTheme="majorHAnsi" w:cstheme="majorHAnsi"/>
          <w:i/>
          <w:color w:val="2E74B5" w:themeColor="accent1" w:themeShade="BF"/>
          <w:sz w:val="24"/>
          <w:szCs w:val="24"/>
          <w:lang w:eastAsia="ro-MD"/>
        </w:rPr>
        <w:t xml:space="preserve"> Cu privire la estimarea costurilor bugetare ale facilităților fiscale </w:t>
      </w:r>
    </w:p>
    <w:p w:rsidR="00415FB2" w:rsidRPr="00CB5F81" w:rsidRDefault="00415FB2" w:rsidP="00415FB2">
      <w:pPr>
        <w:numPr>
          <w:ilvl w:val="0"/>
          <w:numId w:val="28"/>
        </w:numPr>
        <w:spacing w:after="120" w:line="240" w:lineRule="auto"/>
        <w:jc w:val="both"/>
        <w:rPr>
          <w:rFonts w:asciiTheme="majorHAnsi" w:eastAsia="Times New Roman" w:hAnsiTheme="majorHAnsi" w:cstheme="majorHAnsi"/>
          <w:sz w:val="24"/>
          <w:szCs w:val="24"/>
        </w:rPr>
      </w:pPr>
      <w:r w:rsidRPr="00CB5F81">
        <w:rPr>
          <w:rFonts w:asciiTheme="majorHAnsi" w:eastAsiaTheme="minorEastAsia" w:hAnsiTheme="majorHAnsi" w:cstheme="majorHAnsi"/>
          <w:sz w:val="24"/>
          <w:szCs w:val="24"/>
        </w:rPr>
        <w:t>Potrivit datelor MF, facilitățile fiscale și vamale pentru ultimii 5 ani au însumat</w:t>
      </w:r>
      <w:r w:rsidR="008D5D9E">
        <w:rPr>
          <w:rFonts w:asciiTheme="majorHAnsi" w:eastAsiaTheme="minorEastAsia" w:hAnsiTheme="majorHAnsi" w:cstheme="majorHAnsi"/>
          <w:sz w:val="24"/>
          <w:szCs w:val="24"/>
        </w:rPr>
        <w:t>,</w:t>
      </w:r>
      <w:r w:rsidRPr="00CB5F81">
        <w:rPr>
          <w:rFonts w:asciiTheme="majorHAnsi" w:eastAsiaTheme="minorEastAsia" w:hAnsiTheme="majorHAnsi" w:cstheme="majorHAnsi"/>
          <w:sz w:val="24"/>
          <w:szCs w:val="24"/>
        </w:rPr>
        <w:t xml:space="preserve"> per total</w:t>
      </w:r>
      <w:r w:rsidR="008D5D9E">
        <w:rPr>
          <w:rFonts w:asciiTheme="majorHAnsi" w:eastAsiaTheme="minorEastAsia" w:hAnsiTheme="majorHAnsi" w:cstheme="majorHAnsi"/>
          <w:sz w:val="24"/>
          <w:szCs w:val="24"/>
        </w:rPr>
        <w:t>,</w:t>
      </w:r>
      <w:r w:rsidRPr="00CB5F81">
        <w:rPr>
          <w:rFonts w:asciiTheme="majorHAnsi" w:eastAsiaTheme="minorEastAsia" w:hAnsiTheme="majorHAnsi" w:cstheme="majorHAnsi"/>
          <w:sz w:val="24"/>
          <w:szCs w:val="24"/>
        </w:rPr>
        <w:t xml:space="preserve"> 57,6 ml</w:t>
      </w:r>
      <w:r w:rsidR="00966130">
        <w:rPr>
          <w:rFonts w:asciiTheme="majorHAnsi" w:eastAsiaTheme="minorEastAsia" w:hAnsiTheme="majorHAnsi" w:cstheme="majorHAnsi"/>
          <w:sz w:val="24"/>
          <w:szCs w:val="24"/>
        </w:rPr>
        <w:t>r</w:t>
      </w:r>
      <w:r w:rsidRPr="00CB5F81">
        <w:rPr>
          <w:rFonts w:asciiTheme="majorHAnsi" w:eastAsiaTheme="minorEastAsia" w:hAnsiTheme="majorHAnsi" w:cstheme="majorHAnsi"/>
          <w:sz w:val="24"/>
          <w:szCs w:val="24"/>
        </w:rPr>
        <w:t>d.</w:t>
      </w:r>
      <w:r w:rsidR="00EC1EAF">
        <w:rPr>
          <w:rFonts w:asciiTheme="majorHAnsi" w:eastAsiaTheme="minorEastAsia" w:hAnsiTheme="majorHAnsi" w:cstheme="majorHAnsi"/>
          <w:sz w:val="24"/>
          <w:szCs w:val="24"/>
        </w:rPr>
        <w:t xml:space="preserve"> </w:t>
      </w:r>
      <w:r w:rsidRPr="00CB5F81">
        <w:rPr>
          <w:rFonts w:asciiTheme="majorHAnsi" w:eastAsiaTheme="minorEastAsia" w:hAnsiTheme="majorHAnsi" w:cstheme="majorHAnsi"/>
          <w:sz w:val="24"/>
          <w:szCs w:val="24"/>
        </w:rPr>
        <w:t>lei, fiind înregistrate anual oscilații privind valoarea acestora, condiționate, în principal,</w:t>
      </w:r>
      <w:r w:rsidR="00EC1EAF">
        <w:rPr>
          <w:rFonts w:asciiTheme="majorHAnsi" w:eastAsiaTheme="minorEastAsia" w:hAnsiTheme="majorHAnsi" w:cstheme="majorHAnsi"/>
          <w:sz w:val="24"/>
          <w:szCs w:val="24"/>
        </w:rPr>
        <w:t xml:space="preserve"> </w:t>
      </w:r>
      <w:r w:rsidRPr="00CB5F81">
        <w:rPr>
          <w:rFonts w:asciiTheme="majorHAnsi" w:eastAsiaTheme="minorEastAsia" w:hAnsiTheme="majorHAnsi" w:cstheme="majorHAnsi"/>
          <w:sz w:val="24"/>
          <w:szCs w:val="24"/>
        </w:rPr>
        <w:t>de plenitudinea și corectitudinea datelor agregate și raportate de administratorii facilităților (SF</w:t>
      </w:r>
      <w:r w:rsidR="008D5D9E">
        <w:rPr>
          <w:rFonts w:asciiTheme="majorHAnsi" w:eastAsiaTheme="minorEastAsia" w:hAnsiTheme="majorHAnsi" w:cstheme="majorHAnsi"/>
          <w:sz w:val="24"/>
          <w:szCs w:val="24"/>
        </w:rPr>
        <w:t>S</w:t>
      </w:r>
      <w:r w:rsidRPr="00CB5F81">
        <w:rPr>
          <w:rFonts w:asciiTheme="majorHAnsi" w:eastAsiaTheme="minorEastAsia" w:hAnsiTheme="majorHAnsi" w:cstheme="majorHAnsi"/>
          <w:sz w:val="24"/>
          <w:szCs w:val="24"/>
        </w:rPr>
        <w:t xml:space="preserve"> și SV). </w:t>
      </w:r>
      <w:r w:rsidRPr="00CB5F81">
        <w:rPr>
          <w:rFonts w:asciiTheme="majorHAnsi" w:eastAsia="Times New Roman" w:hAnsiTheme="majorHAnsi" w:cstheme="majorHAnsi"/>
          <w:sz w:val="24"/>
          <w:szCs w:val="24"/>
        </w:rPr>
        <w:t>Ponderea facilităților fiscale și vamale în PIB, în anii 2016-2020, a variat între 5%-7%, iar în BPN</w:t>
      </w:r>
      <w:r w:rsidR="00EC1EAF">
        <w:rPr>
          <w:rFonts w:asciiTheme="majorHAnsi" w:eastAsia="Times New Roman" w:hAnsiTheme="majorHAnsi" w:cstheme="majorHAnsi"/>
          <w:sz w:val="24"/>
          <w:szCs w:val="24"/>
        </w:rPr>
        <w:t xml:space="preserve"> </w:t>
      </w:r>
      <w:r w:rsidR="008D5D9E">
        <w:rPr>
          <w:rFonts w:asciiTheme="majorHAnsi" w:eastAsia="Times New Roman" w:hAnsiTheme="majorHAnsi" w:cstheme="majorHAnsi"/>
          <w:sz w:val="24"/>
          <w:szCs w:val="24"/>
        </w:rPr>
        <w:t>-</w:t>
      </w:r>
      <w:r w:rsidRPr="00CB5F81">
        <w:rPr>
          <w:rFonts w:asciiTheme="majorHAnsi" w:eastAsia="Times New Roman" w:hAnsiTheme="majorHAnsi" w:cstheme="majorHAnsi"/>
          <w:sz w:val="24"/>
          <w:szCs w:val="24"/>
        </w:rPr>
        <w:t xml:space="preserve"> între 15%-25%</w:t>
      </w:r>
      <w:r w:rsidR="00A2038F">
        <w:rPr>
          <w:rFonts w:asciiTheme="majorHAnsi" w:eastAsia="Times New Roman" w:hAnsiTheme="majorHAnsi" w:cstheme="majorHAnsi"/>
          <w:sz w:val="24"/>
          <w:szCs w:val="24"/>
        </w:rPr>
        <w:t xml:space="preserve"> (pct. 2.2</w:t>
      </w:r>
      <w:r w:rsidR="008D5D9E">
        <w:rPr>
          <w:rFonts w:asciiTheme="majorHAnsi" w:eastAsia="Times New Roman" w:hAnsiTheme="majorHAnsi" w:cstheme="majorHAnsi"/>
          <w:sz w:val="24"/>
          <w:szCs w:val="24"/>
        </w:rPr>
        <w:t>.</w:t>
      </w:r>
      <w:r w:rsidR="00A2038F">
        <w:rPr>
          <w:rFonts w:asciiTheme="majorHAnsi" w:eastAsia="Times New Roman" w:hAnsiTheme="majorHAnsi" w:cstheme="majorHAnsi"/>
          <w:sz w:val="24"/>
          <w:szCs w:val="24"/>
        </w:rPr>
        <w:t>);</w:t>
      </w:r>
    </w:p>
    <w:p w:rsidR="00415FB2" w:rsidRPr="00DF20A5" w:rsidRDefault="00415FB2" w:rsidP="00E37C2E">
      <w:pPr>
        <w:numPr>
          <w:ilvl w:val="0"/>
          <w:numId w:val="28"/>
        </w:numPr>
        <w:spacing w:after="120" w:line="240" w:lineRule="auto"/>
        <w:jc w:val="both"/>
        <w:rPr>
          <w:rFonts w:asciiTheme="majorHAnsi" w:eastAsiaTheme="minorEastAsia" w:hAnsiTheme="majorHAnsi" w:cstheme="majorHAnsi"/>
          <w:sz w:val="24"/>
          <w:szCs w:val="24"/>
        </w:rPr>
      </w:pPr>
      <w:r w:rsidRPr="00DF20A5">
        <w:rPr>
          <w:rFonts w:asciiTheme="majorHAnsi" w:eastAsia="Times New Roman" w:hAnsiTheme="majorHAnsi" w:cstheme="majorHAnsi"/>
          <w:sz w:val="24"/>
          <w:szCs w:val="24"/>
        </w:rPr>
        <w:t>În anul 2020, Registrul unic al facilităț</w:t>
      </w:r>
      <w:r w:rsidR="00EC1EAF" w:rsidRPr="00DF20A5">
        <w:rPr>
          <w:rFonts w:asciiTheme="majorHAnsi" w:eastAsia="Times New Roman" w:hAnsiTheme="majorHAnsi" w:cstheme="majorHAnsi"/>
          <w:sz w:val="24"/>
          <w:szCs w:val="24"/>
        </w:rPr>
        <w:t>ilor fiscale și vamale a inclus</w:t>
      </w:r>
      <w:r w:rsidRPr="00DF20A5">
        <w:rPr>
          <w:rFonts w:asciiTheme="majorHAnsi" w:eastAsia="Times New Roman" w:hAnsiTheme="majorHAnsi" w:cstheme="majorHAnsi"/>
          <w:sz w:val="24"/>
          <w:szCs w:val="24"/>
        </w:rPr>
        <w:t xml:space="preserve"> 384 de tipuri de facilități, dintre care au fost cuantificate valoric doar 145 de facilități, în rest - la 239 de facilități nu au fost estimate costurile bugetare. Din cifra totală de fac</w:t>
      </w:r>
      <w:r w:rsidR="00A85441" w:rsidRPr="00DF20A5">
        <w:rPr>
          <w:rFonts w:asciiTheme="majorHAnsi" w:eastAsia="Times New Roman" w:hAnsiTheme="majorHAnsi" w:cstheme="majorHAnsi"/>
          <w:sz w:val="24"/>
          <w:szCs w:val="24"/>
        </w:rPr>
        <w:t>ilități administrate de SFS (217</w:t>
      </w:r>
      <w:r w:rsidRPr="00DF20A5">
        <w:rPr>
          <w:rFonts w:asciiTheme="majorHAnsi" w:eastAsia="Times New Roman" w:hAnsiTheme="majorHAnsi" w:cstheme="majorHAnsi"/>
          <w:sz w:val="24"/>
          <w:szCs w:val="24"/>
        </w:rPr>
        <w:t xml:space="preserve"> facilități din cele 384 ), la 141 de facilități, sau 65%,</w:t>
      </w:r>
      <w:r w:rsidR="00EC1EAF" w:rsidRPr="00DF20A5">
        <w:rPr>
          <w:rFonts w:asciiTheme="majorHAnsi" w:eastAsia="Times New Roman" w:hAnsiTheme="majorHAnsi" w:cstheme="majorHAnsi"/>
          <w:sz w:val="24"/>
          <w:szCs w:val="24"/>
        </w:rPr>
        <w:t xml:space="preserve"> </w:t>
      </w:r>
      <w:r w:rsidRPr="00DF20A5">
        <w:rPr>
          <w:rFonts w:asciiTheme="majorHAnsi" w:eastAsia="Times New Roman" w:hAnsiTheme="majorHAnsi" w:cstheme="majorHAnsi"/>
          <w:sz w:val="24"/>
          <w:szCs w:val="24"/>
        </w:rPr>
        <w:t>nu au fost</w:t>
      </w:r>
      <w:r w:rsidR="00EC1EAF" w:rsidRPr="00DF20A5">
        <w:rPr>
          <w:rFonts w:asciiTheme="majorHAnsi" w:eastAsia="Times New Roman" w:hAnsiTheme="majorHAnsi" w:cstheme="majorHAnsi"/>
          <w:sz w:val="24"/>
          <w:szCs w:val="24"/>
        </w:rPr>
        <w:t xml:space="preserve"> </w:t>
      </w:r>
      <w:r w:rsidRPr="00DF20A5">
        <w:rPr>
          <w:rFonts w:asciiTheme="majorHAnsi" w:eastAsia="Times New Roman" w:hAnsiTheme="majorHAnsi" w:cstheme="majorHAnsi"/>
          <w:sz w:val="24"/>
          <w:szCs w:val="24"/>
        </w:rPr>
        <w:t>evaluate costurile bugetare. Or, în aceste condiții, autoritățile statului nu au asigurat</w:t>
      </w:r>
      <w:r w:rsidR="005C74BF" w:rsidRPr="00DF20A5">
        <w:rPr>
          <w:rFonts w:asciiTheme="majorHAnsi" w:eastAsia="Times New Roman" w:hAnsiTheme="majorHAnsi" w:cstheme="majorHAnsi"/>
          <w:sz w:val="24"/>
          <w:szCs w:val="24"/>
        </w:rPr>
        <w:t xml:space="preserve"> în totalitate</w:t>
      </w:r>
      <w:r w:rsidRPr="00DF20A5">
        <w:rPr>
          <w:rFonts w:asciiTheme="majorHAnsi" w:eastAsia="Times New Roman" w:hAnsiTheme="majorHAnsi" w:cstheme="majorHAnsi"/>
          <w:sz w:val="24"/>
          <w:szCs w:val="24"/>
        </w:rPr>
        <w:t xml:space="preserve"> implement</w:t>
      </w:r>
      <w:r w:rsidR="008D5D9E">
        <w:rPr>
          <w:rFonts w:asciiTheme="majorHAnsi" w:eastAsia="Times New Roman" w:hAnsiTheme="majorHAnsi" w:cstheme="majorHAnsi"/>
          <w:sz w:val="24"/>
          <w:szCs w:val="24"/>
        </w:rPr>
        <w:t>area</w:t>
      </w:r>
      <w:r w:rsidRPr="00DF20A5">
        <w:rPr>
          <w:rFonts w:asciiTheme="majorHAnsi" w:eastAsia="Times New Roman" w:hAnsiTheme="majorHAnsi" w:cstheme="majorHAnsi"/>
          <w:sz w:val="24"/>
          <w:szCs w:val="24"/>
        </w:rPr>
        <w:t xml:space="preserve"> acțiunii stipulate în Planul de acțiuni al Guvernului pentru anii 2020-2023, care prevedea „</w:t>
      </w:r>
      <w:r w:rsidRPr="00DF20A5">
        <w:rPr>
          <w:rFonts w:asciiTheme="majorHAnsi" w:eastAsia="Times New Roman" w:hAnsiTheme="majorHAnsi" w:cstheme="majorHAnsi"/>
          <w:i/>
          <w:sz w:val="24"/>
          <w:szCs w:val="24"/>
        </w:rPr>
        <w:t>dezvoltarea unei baze de date a tuturor facilităților fiscale și vamale, cu estimarea costurilor bugetare aferente acestora</w:t>
      </w:r>
      <w:r w:rsidRPr="00DF20A5">
        <w:rPr>
          <w:rFonts w:asciiTheme="majorHAnsi" w:eastAsia="Times New Roman" w:hAnsiTheme="majorHAnsi" w:cstheme="majorHAnsi"/>
          <w:sz w:val="24"/>
          <w:szCs w:val="24"/>
        </w:rPr>
        <w:t xml:space="preserve">”, </w:t>
      </w:r>
      <w:r w:rsidR="00DE6548">
        <w:rPr>
          <w:rFonts w:asciiTheme="majorHAnsi" w:eastAsia="Times New Roman" w:hAnsiTheme="majorHAnsi" w:cstheme="majorHAnsi"/>
          <w:sz w:val="24"/>
          <w:szCs w:val="24"/>
        </w:rPr>
        <w:t>a</w:t>
      </w:r>
      <w:r w:rsidRPr="00DF20A5">
        <w:rPr>
          <w:rFonts w:asciiTheme="majorHAnsi" w:eastAsia="Times New Roman" w:hAnsiTheme="majorHAnsi" w:cstheme="majorHAnsi"/>
          <w:sz w:val="24"/>
          <w:szCs w:val="24"/>
        </w:rPr>
        <w:t xml:space="preserve">l </w:t>
      </w:r>
      <w:r w:rsidR="00DE6548">
        <w:rPr>
          <w:rFonts w:asciiTheme="majorHAnsi" w:eastAsia="Times New Roman" w:hAnsiTheme="majorHAnsi" w:cstheme="majorHAnsi"/>
          <w:sz w:val="24"/>
          <w:szCs w:val="24"/>
        </w:rPr>
        <w:t>cărei</w:t>
      </w:r>
      <w:r w:rsidR="00DE6548" w:rsidRPr="00DF20A5">
        <w:rPr>
          <w:rFonts w:asciiTheme="majorHAnsi" w:eastAsia="Times New Roman" w:hAnsiTheme="majorHAnsi" w:cstheme="majorHAnsi"/>
          <w:sz w:val="24"/>
          <w:szCs w:val="24"/>
        </w:rPr>
        <w:t xml:space="preserve"> termen </w:t>
      </w:r>
      <w:r w:rsidRPr="00DF20A5">
        <w:rPr>
          <w:rFonts w:asciiTheme="majorHAnsi" w:eastAsia="Times New Roman" w:hAnsiTheme="majorHAnsi" w:cstheme="majorHAnsi"/>
          <w:sz w:val="24"/>
          <w:szCs w:val="24"/>
        </w:rPr>
        <w:t>de realizare a fost stabilit pentru luna martie 2021.</w:t>
      </w:r>
      <w:r w:rsidR="00DF20A5" w:rsidRPr="00DF20A5">
        <w:rPr>
          <w:rFonts w:asciiTheme="majorHAnsi" w:eastAsia="Times New Roman" w:hAnsiTheme="majorHAnsi" w:cstheme="majorHAnsi"/>
          <w:sz w:val="24"/>
          <w:szCs w:val="24"/>
        </w:rPr>
        <w:t xml:space="preserve">  Concomitent</w:t>
      </w:r>
      <w:r w:rsidR="00911DF8">
        <w:rPr>
          <w:rFonts w:asciiTheme="majorHAnsi" w:eastAsia="Times New Roman" w:hAnsiTheme="majorHAnsi" w:cstheme="majorHAnsi"/>
          <w:sz w:val="24"/>
          <w:szCs w:val="24"/>
        </w:rPr>
        <w:t>,</w:t>
      </w:r>
      <w:r w:rsidR="00DF20A5" w:rsidRPr="00DF20A5">
        <w:rPr>
          <w:rFonts w:asciiTheme="majorHAnsi" w:eastAsia="Times New Roman" w:hAnsiTheme="majorHAnsi" w:cstheme="majorHAnsi"/>
          <w:sz w:val="24"/>
          <w:szCs w:val="24"/>
        </w:rPr>
        <w:t xml:space="preserve"> </w:t>
      </w:r>
      <w:r w:rsidR="00DF20A5" w:rsidRPr="00DF20A5">
        <w:rPr>
          <w:rFonts w:asciiTheme="majorHAnsi" w:eastAsia="Times New Roman" w:hAnsiTheme="majorHAnsi" w:cstheme="majorHAnsi"/>
          <w:sz w:val="24"/>
          <w:szCs w:val="24"/>
        </w:rPr>
        <w:lastRenderedPageBreak/>
        <w:t>MF explică nerealizare</w:t>
      </w:r>
      <w:r w:rsidR="00911DF8">
        <w:rPr>
          <w:rFonts w:asciiTheme="majorHAnsi" w:eastAsia="Times New Roman" w:hAnsiTheme="majorHAnsi" w:cstheme="majorHAnsi"/>
          <w:sz w:val="24"/>
          <w:szCs w:val="24"/>
        </w:rPr>
        <w:t xml:space="preserve">a acestei sarcini </w:t>
      </w:r>
      <w:r w:rsidR="00DE6548">
        <w:rPr>
          <w:rFonts w:asciiTheme="majorHAnsi" w:eastAsia="Times New Roman" w:hAnsiTheme="majorHAnsi" w:cstheme="majorHAnsi"/>
          <w:sz w:val="24"/>
          <w:szCs w:val="24"/>
        </w:rPr>
        <w:t xml:space="preserve">prin </w:t>
      </w:r>
      <w:r w:rsidR="00DF20A5" w:rsidRPr="00DF20A5">
        <w:rPr>
          <w:rFonts w:asciiTheme="majorHAnsi" w:eastAsia="Times New Roman" w:hAnsiTheme="majorHAnsi" w:cstheme="majorHAnsi"/>
          <w:sz w:val="24"/>
          <w:szCs w:val="24"/>
        </w:rPr>
        <w:t>complexit</w:t>
      </w:r>
      <w:r w:rsidR="00DE6548">
        <w:rPr>
          <w:rFonts w:asciiTheme="majorHAnsi" w:eastAsia="Times New Roman" w:hAnsiTheme="majorHAnsi" w:cstheme="majorHAnsi"/>
          <w:sz w:val="24"/>
          <w:szCs w:val="24"/>
        </w:rPr>
        <w:t>atea</w:t>
      </w:r>
      <w:r w:rsidR="00DF20A5" w:rsidRPr="00DF20A5">
        <w:rPr>
          <w:rFonts w:asciiTheme="majorHAnsi" w:eastAsia="Times New Roman" w:hAnsiTheme="majorHAnsi" w:cstheme="majorHAnsi"/>
          <w:sz w:val="24"/>
          <w:szCs w:val="24"/>
        </w:rPr>
        <w:t xml:space="preserve"> și existenț</w:t>
      </w:r>
      <w:r w:rsidR="00DE6548">
        <w:rPr>
          <w:rFonts w:asciiTheme="majorHAnsi" w:eastAsia="Times New Roman" w:hAnsiTheme="majorHAnsi" w:cstheme="majorHAnsi"/>
          <w:sz w:val="24"/>
          <w:szCs w:val="24"/>
        </w:rPr>
        <w:t>a</w:t>
      </w:r>
      <w:r w:rsidR="00DF20A5" w:rsidRPr="00DF20A5">
        <w:rPr>
          <w:rFonts w:asciiTheme="majorHAnsi" w:eastAsia="Times New Roman" w:hAnsiTheme="majorHAnsi" w:cstheme="majorHAnsi"/>
          <w:sz w:val="24"/>
          <w:szCs w:val="24"/>
        </w:rPr>
        <w:t xml:space="preserve"> aspectelor </w:t>
      </w:r>
      <w:r w:rsidR="00911DF8">
        <w:rPr>
          <w:rFonts w:asciiTheme="majorHAnsi" w:eastAsia="Times New Roman" w:hAnsiTheme="majorHAnsi" w:cstheme="majorHAnsi"/>
          <w:sz w:val="24"/>
          <w:szCs w:val="24"/>
        </w:rPr>
        <w:t xml:space="preserve">deficitare </w:t>
      </w:r>
      <w:r w:rsidR="00911DF8" w:rsidRPr="00A65BB4">
        <w:rPr>
          <w:rFonts w:asciiTheme="majorHAnsi" w:eastAsia="Times New Roman" w:hAnsiTheme="majorHAnsi" w:cstheme="majorHAnsi"/>
          <w:sz w:val="24"/>
          <w:szCs w:val="24"/>
        </w:rPr>
        <w:t xml:space="preserve">în implementarea unor instrumente și mecanisme de estimare a </w:t>
      </w:r>
      <w:r w:rsidR="00911DF8">
        <w:rPr>
          <w:rFonts w:asciiTheme="majorHAnsi" w:eastAsia="Times New Roman" w:hAnsiTheme="majorHAnsi" w:cstheme="majorHAnsi"/>
          <w:sz w:val="24"/>
          <w:szCs w:val="24"/>
        </w:rPr>
        <w:t xml:space="preserve">costurilor </w:t>
      </w:r>
      <w:r w:rsidR="00911DF8" w:rsidRPr="00A65BB4">
        <w:rPr>
          <w:rFonts w:asciiTheme="majorHAnsi" w:eastAsia="Times New Roman" w:hAnsiTheme="majorHAnsi" w:cstheme="majorHAnsi"/>
          <w:sz w:val="24"/>
          <w:szCs w:val="24"/>
        </w:rPr>
        <w:t>facilităților</w:t>
      </w:r>
      <w:r w:rsidR="00911DF8">
        <w:rPr>
          <w:rFonts w:asciiTheme="majorHAnsi" w:eastAsia="Times New Roman" w:hAnsiTheme="majorHAnsi" w:cstheme="majorHAnsi"/>
          <w:sz w:val="24"/>
          <w:szCs w:val="24"/>
        </w:rPr>
        <w:t xml:space="preserve"> necuantificate </w:t>
      </w:r>
      <w:r w:rsidR="00A2038F" w:rsidRPr="00DF20A5">
        <w:rPr>
          <w:rFonts w:asciiTheme="majorHAnsi" w:eastAsia="Times New Roman" w:hAnsiTheme="majorHAnsi" w:cstheme="majorHAnsi"/>
          <w:sz w:val="24"/>
          <w:szCs w:val="24"/>
        </w:rPr>
        <w:t>(pct. 2.2</w:t>
      </w:r>
      <w:r w:rsidR="00DE6548">
        <w:rPr>
          <w:rFonts w:asciiTheme="majorHAnsi" w:eastAsia="Times New Roman" w:hAnsiTheme="majorHAnsi" w:cstheme="majorHAnsi"/>
          <w:sz w:val="24"/>
          <w:szCs w:val="24"/>
        </w:rPr>
        <w:t>.</w:t>
      </w:r>
      <w:r w:rsidR="00A2038F" w:rsidRPr="00DF20A5">
        <w:rPr>
          <w:rFonts w:asciiTheme="majorHAnsi" w:eastAsia="Times New Roman" w:hAnsiTheme="majorHAnsi" w:cstheme="majorHAnsi"/>
          <w:sz w:val="24"/>
          <w:szCs w:val="24"/>
        </w:rPr>
        <w:t xml:space="preserve"> și pct. 4.1.2.);</w:t>
      </w:r>
      <w:r w:rsidR="00911DF8" w:rsidRPr="00911DF8">
        <w:rPr>
          <w:rFonts w:asciiTheme="majorHAnsi" w:eastAsia="Times New Roman" w:hAnsiTheme="majorHAnsi" w:cstheme="majorHAnsi"/>
          <w:sz w:val="24"/>
          <w:szCs w:val="24"/>
        </w:rPr>
        <w:t xml:space="preserve"> </w:t>
      </w:r>
    </w:p>
    <w:p w:rsidR="00415FB2" w:rsidRPr="00B312B6" w:rsidRDefault="00415FB2" w:rsidP="00C42DFB">
      <w:pPr>
        <w:numPr>
          <w:ilvl w:val="0"/>
          <w:numId w:val="28"/>
        </w:numPr>
        <w:spacing w:after="120" w:line="240" w:lineRule="auto"/>
        <w:jc w:val="both"/>
        <w:rPr>
          <w:rFonts w:asciiTheme="majorHAnsi" w:eastAsiaTheme="minorEastAsia" w:hAnsiTheme="majorHAnsi" w:cstheme="majorHAnsi"/>
          <w:sz w:val="24"/>
          <w:szCs w:val="24"/>
        </w:rPr>
      </w:pPr>
      <w:r w:rsidRPr="00B312B6">
        <w:rPr>
          <w:rFonts w:asciiTheme="majorHAnsi" w:eastAsia="Times New Roman" w:hAnsiTheme="majorHAnsi" w:cstheme="majorHAnsi"/>
          <w:sz w:val="24"/>
          <w:szCs w:val="24"/>
        </w:rPr>
        <w:t xml:space="preserve">Deși, în anul 2020, SFS a estimat și </w:t>
      </w:r>
      <w:r w:rsidR="00DE6548">
        <w:rPr>
          <w:rFonts w:asciiTheme="majorHAnsi" w:eastAsia="Times New Roman" w:hAnsiTheme="majorHAnsi" w:cstheme="majorHAnsi"/>
          <w:sz w:val="24"/>
          <w:szCs w:val="24"/>
        </w:rPr>
        <w:t xml:space="preserve">a </w:t>
      </w:r>
      <w:r w:rsidRPr="00B312B6">
        <w:rPr>
          <w:rFonts w:asciiTheme="majorHAnsi" w:eastAsia="Times New Roman" w:hAnsiTheme="majorHAnsi" w:cstheme="majorHAnsi"/>
          <w:sz w:val="24"/>
          <w:szCs w:val="24"/>
        </w:rPr>
        <w:t>raportat costurile bugetare ale 76 de facilități, în</w:t>
      </w:r>
      <w:r w:rsidRPr="00B312B6">
        <w:rPr>
          <w:rFonts w:asciiTheme="majorHAnsi" w:eastAsiaTheme="minorEastAsia" w:hAnsiTheme="majorHAnsi" w:cstheme="majorHAnsi"/>
          <w:sz w:val="24"/>
          <w:szCs w:val="24"/>
          <w:lang w:eastAsia="ru-RU"/>
        </w:rPr>
        <w:t xml:space="preserve"> sumă de 2,3 mlrd. lei, verificările auditului atestă că aceste date conțin erori semnificative,</w:t>
      </w:r>
      <w:r w:rsidRPr="00B312B6">
        <w:rPr>
          <w:rFonts w:ascii="Times New Roman" w:eastAsiaTheme="minorEastAsia" w:hAnsi="Times New Roman" w:cs="Times New Roman"/>
          <w:sz w:val="24"/>
          <w:szCs w:val="24"/>
        </w:rPr>
        <w:t xml:space="preserve"> </w:t>
      </w:r>
      <w:r w:rsidRPr="00674DF6">
        <w:rPr>
          <w:rFonts w:asciiTheme="majorHAnsi" w:eastAsiaTheme="minorEastAsia" w:hAnsiTheme="majorHAnsi" w:cstheme="majorHAnsi"/>
          <w:sz w:val="24"/>
          <w:szCs w:val="24"/>
        </w:rPr>
        <w:t xml:space="preserve">or, </w:t>
      </w:r>
      <w:r w:rsidRPr="00674DF6">
        <w:rPr>
          <w:rFonts w:asciiTheme="majorHAnsi" w:eastAsiaTheme="minorEastAsia" w:hAnsiTheme="majorHAnsi" w:cstheme="majorHAnsi"/>
          <w:sz w:val="24"/>
          <w:szCs w:val="24"/>
          <w:lang w:eastAsia="ru-RU"/>
        </w:rPr>
        <w:t xml:space="preserve">valoarea  </w:t>
      </w:r>
      <w:r w:rsidR="00397887">
        <w:rPr>
          <w:rFonts w:asciiTheme="majorHAnsi" w:eastAsiaTheme="minorEastAsia" w:hAnsiTheme="majorHAnsi" w:cstheme="majorHAnsi"/>
          <w:sz w:val="24"/>
          <w:szCs w:val="24"/>
          <w:lang w:eastAsia="ru-RU"/>
        </w:rPr>
        <w:t xml:space="preserve">la </w:t>
      </w:r>
      <w:r w:rsidRPr="00674DF6">
        <w:rPr>
          <w:rFonts w:asciiTheme="majorHAnsi" w:eastAsiaTheme="minorEastAsia" w:hAnsiTheme="majorHAnsi" w:cstheme="majorHAnsi"/>
          <w:sz w:val="24"/>
          <w:szCs w:val="24"/>
          <w:lang w:eastAsia="ru-RU"/>
        </w:rPr>
        <w:t>unele facilități cuantificate estimativ de audit</w:t>
      </w:r>
      <w:r w:rsidR="00B312B6" w:rsidRPr="00674DF6">
        <w:t xml:space="preserve"> </w:t>
      </w:r>
      <w:r w:rsidR="00DE6548" w:rsidRPr="00674DF6">
        <w:rPr>
          <w:rFonts w:asciiTheme="majorHAnsi" w:eastAsiaTheme="minorEastAsia" w:hAnsiTheme="majorHAnsi" w:cstheme="majorHAnsi"/>
          <w:sz w:val="24"/>
          <w:szCs w:val="24"/>
          <w:lang w:eastAsia="ru-RU"/>
        </w:rPr>
        <w:t>a fost</w:t>
      </w:r>
      <w:r w:rsidR="00B312B6" w:rsidRPr="00674DF6">
        <w:rPr>
          <w:rFonts w:asciiTheme="majorHAnsi" w:eastAsiaTheme="minorEastAsia" w:hAnsiTheme="majorHAnsi" w:cstheme="majorHAnsi"/>
          <w:sz w:val="24"/>
          <w:szCs w:val="24"/>
          <w:lang w:eastAsia="ru-RU"/>
        </w:rPr>
        <w:t xml:space="preserve"> majorată cu 519,7 mil. lei,</w:t>
      </w:r>
      <w:r w:rsidR="00674DF6" w:rsidRPr="009F5847">
        <w:rPr>
          <w:rFonts w:asciiTheme="majorHAnsi" w:eastAsiaTheme="minorEastAsia" w:hAnsiTheme="majorHAnsi" w:cstheme="majorHAnsi"/>
          <w:sz w:val="24"/>
          <w:szCs w:val="24"/>
          <w:lang w:eastAsia="ru-RU"/>
        </w:rPr>
        <w:t xml:space="preserve"> iar</w:t>
      </w:r>
      <w:r w:rsidR="00B312B6" w:rsidRPr="00674DF6">
        <w:rPr>
          <w:rFonts w:asciiTheme="majorHAnsi" w:eastAsiaTheme="minorEastAsia" w:hAnsiTheme="majorHAnsi" w:cstheme="majorHAnsi"/>
          <w:sz w:val="24"/>
          <w:szCs w:val="24"/>
          <w:lang w:eastAsia="ru-RU"/>
        </w:rPr>
        <w:t xml:space="preserve"> </w:t>
      </w:r>
      <w:r w:rsidR="00397887">
        <w:rPr>
          <w:rFonts w:asciiTheme="majorHAnsi" w:eastAsiaTheme="minorEastAsia" w:hAnsiTheme="majorHAnsi" w:cstheme="majorHAnsi"/>
          <w:sz w:val="24"/>
          <w:szCs w:val="24"/>
          <w:lang w:eastAsia="ru-RU"/>
        </w:rPr>
        <w:t xml:space="preserve">la </w:t>
      </w:r>
      <w:r w:rsidR="00B312B6" w:rsidRPr="00674DF6">
        <w:rPr>
          <w:rFonts w:asciiTheme="majorHAnsi" w:eastAsiaTheme="minorEastAsia" w:hAnsiTheme="majorHAnsi" w:cstheme="majorHAnsi"/>
          <w:sz w:val="24"/>
          <w:szCs w:val="24"/>
          <w:lang w:eastAsia="ru-RU"/>
        </w:rPr>
        <w:t>alte</w:t>
      </w:r>
      <w:r w:rsidR="00397887">
        <w:rPr>
          <w:rFonts w:asciiTheme="majorHAnsi" w:eastAsiaTheme="minorEastAsia" w:hAnsiTheme="majorHAnsi" w:cstheme="majorHAnsi"/>
          <w:sz w:val="24"/>
          <w:szCs w:val="24"/>
          <w:lang w:eastAsia="ru-RU"/>
        </w:rPr>
        <w:t>le</w:t>
      </w:r>
      <w:r w:rsidR="00674DF6" w:rsidRPr="009F5847">
        <w:rPr>
          <w:rFonts w:asciiTheme="majorHAnsi" w:eastAsiaTheme="minorEastAsia" w:hAnsiTheme="majorHAnsi" w:cstheme="majorHAnsi"/>
          <w:sz w:val="24"/>
          <w:szCs w:val="24"/>
          <w:lang w:eastAsia="ru-RU"/>
        </w:rPr>
        <w:t xml:space="preserve"> </w:t>
      </w:r>
      <w:r w:rsidR="00B312B6" w:rsidRPr="00674DF6">
        <w:rPr>
          <w:rFonts w:asciiTheme="majorHAnsi" w:eastAsiaTheme="minorEastAsia" w:hAnsiTheme="majorHAnsi" w:cstheme="majorHAnsi"/>
          <w:sz w:val="24"/>
          <w:szCs w:val="24"/>
          <w:lang w:eastAsia="ru-RU"/>
        </w:rPr>
        <w:t>-</w:t>
      </w:r>
      <w:r w:rsidR="00674DF6" w:rsidRPr="009F5847">
        <w:rPr>
          <w:rFonts w:asciiTheme="majorHAnsi" w:eastAsiaTheme="minorEastAsia" w:hAnsiTheme="majorHAnsi" w:cstheme="majorHAnsi"/>
          <w:sz w:val="24"/>
          <w:szCs w:val="24"/>
          <w:lang w:eastAsia="ru-RU"/>
        </w:rPr>
        <w:t xml:space="preserve"> </w:t>
      </w:r>
      <w:r w:rsidR="00B312B6" w:rsidRPr="00674DF6">
        <w:rPr>
          <w:rFonts w:asciiTheme="majorHAnsi" w:eastAsiaTheme="minorEastAsia" w:hAnsiTheme="majorHAnsi" w:cstheme="majorHAnsi"/>
          <w:sz w:val="24"/>
          <w:szCs w:val="24"/>
          <w:lang w:eastAsia="ru-RU"/>
        </w:rPr>
        <w:t>subestimat</w:t>
      </w:r>
      <w:r w:rsidR="00397887">
        <w:rPr>
          <w:rFonts w:asciiTheme="majorHAnsi" w:eastAsiaTheme="minorEastAsia" w:hAnsiTheme="majorHAnsi" w:cstheme="majorHAnsi"/>
          <w:sz w:val="24"/>
          <w:szCs w:val="24"/>
          <w:lang w:eastAsia="ru-RU"/>
        </w:rPr>
        <w:t>ă</w:t>
      </w:r>
      <w:r w:rsidR="00B312B6" w:rsidRPr="00674DF6">
        <w:rPr>
          <w:rFonts w:asciiTheme="majorHAnsi" w:eastAsiaTheme="minorEastAsia" w:hAnsiTheme="majorHAnsi" w:cstheme="majorHAnsi"/>
          <w:sz w:val="24"/>
          <w:szCs w:val="24"/>
          <w:lang w:eastAsia="ru-RU"/>
        </w:rPr>
        <w:t xml:space="preserve"> cu 537,1 mil. lei, concomitent neexistând </w:t>
      </w:r>
      <w:r w:rsidR="00D6107B" w:rsidRPr="00674DF6">
        <w:rPr>
          <w:rFonts w:asciiTheme="majorHAnsi" w:eastAsiaTheme="minorEastAsia" w:hAnsiTheme="majorHAnsi" w:cstheme="majorHAnsi"/>
          <w:sz w:val="24"/>
          <w:szCs w:val="24"/>
          <w:lang w:eastAsia="ru-RU"/>
        </w:rPr>
        <w:t xml:space="preserve">calcule </w:t>
      </w:r>
      <w:r w:rsidR="00B312B6" w:rsidRPr="00674DF6">
        <w:rPr>
          <w:rFonts w:asciiTheme="majorHAnsi" w:eastAsiaTheme="minorEastAsia" w:hAnsiTheme="majorHAnsi" w:cstheme="majorHAnsi"/>
          <w:sz w:val="24"/>
          <w:szCs w:val="24"/>
          <w:lang w:eastAsia="ru-RU"/>
        </w:rPr>
        <w:t>justificate la une</w:t>
      </w:r>
      <w:r w:rsidR="00B312B6">
        <w:rPr>
          <w:rFonts w:asciiTheme="majorHAnsi" w:eastAsiaTheme="minorEastAsia" w:hAnsiTheme="majorHAnsi" w:cstheme="majorHAnsi"/>
          <w:sz w:val="24"/>
          <w:szCs w:val="24"/>
          <w:lang w:eastAsia="ru-RU"/>
        </w:rPr>
        <w:t xml:space="preserve">le facilități raportate în sumă de 977,9 </w:t>
      </w:r>
      <w:r w:rsidR="00B312B6" w:rsidRPr="00B312B6">
        <w:rPr>
          <w:rFonts w:asciiTheme="majorHAnsi" w:eastAsiaTheme="minorEastAsia" w:hAnsiTheme="majorHAnsi" w:cstheme="majorHAnsi"/>
          <w:sz w:val="24"/>
          <w:szCs w:val="24"/>
          <w:lang w:eastAsia="ru-RU"/>
        </w:rPr>
        <w:t xml:space="preserve"> mil</w:t>
      </w:r>
      <w:r w:rsidR="00D6107B">
        <w:rPr>
          <w:rFonts w:asciiTheme="majorHAnsi" w:eastAsiaTheme="minorEastAsia" w:hAnsiTheme="majorHAnsi" w:cstheme="majorHAnsi"/>
          <w:sz w:val="24"/>
          <w:szCs w:val="24"/>
          <w:lang w:eastAsia="ru-RU"/>
        </w:rPr>
        <w:t>.</w:t>
      </w:r>
      <w:r w:rsidR="00B312B6" w:rsidRPr="00B312B6">
        <w:rPr>
          <w:rFonts w:asciiTheme="majorHAnsi" w:eastAsiaTheme="minorEastAsia" w:hAnsiTheme="majorHAnsi" w:cstheme="majorHAnsi"/>
          <w:sz w:val="24"/>
          <w:szCs w:val="24"/>
          <w:lang w:eastAsia="ru-RU"/>
        </w:rPr>
        <w:t xml:space="preserve"> lei. În contextul expus, se exemplifică următoarele:</w:t>
      </w:r>
    </w:p>
    <w:p w:rsidR="00415FB2" w:rsidRPr="00BF76B2" w:rsidRDefault="00415FB2" w:rsidP="00C53123">
      <w:pPr>
        <w:numPr>
          <w:ilvl w:val="0"/>
          <w:numId w:val="30"/>
        </w:numPr>
        <w:tabs>
          <w:tab w:val="left" w:pos="900"/>
          <w:tab w:val="left" w:pos="1350"/>
        </w:tabs>
        <w:spacing w:after="0" w:line="240" w:lineRule="auto"/>
        <w:ind w:left="274" w:firstLine="274"/>
        <w:jc w:val="both"/>
        <w:rPr>
          <w:rFonts w:asciiTheme="majorHAnsi" w:eastAsiaTheme="minorEastAsia" w:hAnsiTheme="majorHAnsi" w:cstheme="majorHAnsi"/>
          <w:sz w:val="24"/>
          <w:szCs w:val="24"/>
        </w:rPr>
      </w:pPr>
      <w:r w:rsidRPr="00BF76B2">
        <w:rPr>
          <w:rFonts w:asciiTheme="majorHAnsi" w:eastAsiaTheme="minorEastAsia" w:hAnsiTheme="majorHAnsi" w:cstheme="majorHAnsi"/>
          <w:sz w:val="24"/>
          <w:szCs w:val="24"/>
        </w:rPr>
        <w:t xml:space="preserve">SFS a </w:t>
      </w:r>
      <w:r w:rsidR="00674DF6">
        <w:rPr>
          <w:rFonts w:asciiTheme="majorHAnsi" w:eastAsiaTheme="minorEastAsia" w:hAnsiTheme="majorHAnsi" w:cstheme="majorHAnsi"/>
          <w:sz w:val="24"/>
          <w:szCs w:val="24"/>
        </w:rPr>
        <w:t>manifestat</w:t>
      </w:r>
      <w:r w:rsidRPr="00BF76B2">
        <w:rPr>
          <w:rFonts w:asciiTheme="majorHAnsi" w:eastAsiaTheme="minorEastAsia" w:hAnsiTheme="majorHAnsi" w:cstheme="majorHAnsi"/>
          <w:sz w:val="24"/>
          <w:szCs w:val="24"/>
        </w:rPr>
        <w:t xml:space="preserve"> o atitudine superficială în procesul de estimare a costurilor facilităților și la raportarea</w:t>
      </w:r>
      <w:r w:rsidR="00EC1EAF" w:rsidRPr="00BF76B2">
        <w:rPr>
          <w:rFonts w:asciiTheme="majorHAnsi" w:eastAsiaTheme="minorEastAsia" w:hAnsiTheme="majorHAnsi" w:cstheme="majorHAnsi"/>
          <w:sz w:val="24"/>
          <w:szCs w:val="24"/>
        </w:rPr>
        <w:t xml:space="preserve"> </w:t>
      </w:r>
      <w:r w:rsidRPr="00BF76B2">
        <w:rPr>
          <w:rFonts w:asciiTheme="majorHAnsi" w:eastAsiaTheme="minorEastAsia" w:hAnsiTheme="majorHAnsi" w:cstheme="majorHAnsi"/>
          <w:sz w:val="24"/>
          <w:szCs w:val="24"/>
        </w:rPr>
        <w:t>acestora către MF,</w:t>
      </w:r>
      <w:r w:rsidR="00EC1EAF" w:rsidRPr="00BF76B2">
        <w:rPr>
          <w:rFonts w:asciiTheme="majorHAnsi" w:eastAsiaTheme="minorEastAsia" w:hAnsiTheme="majorHAnsi" w:cstheme="majorHAnsi"/>
          <w:sz w:val="24"/>
          <w:szCs w:val="24"/>
        </w:rPr>
        <w:t xml:space="preserve"> </w:t>
      </w:r>
      <w:r w:rsidRPr="00BF76B2">
        <w:rPr>
          <w:rFonts w:asciiTheme="majorHAnsi" w:eastAsiaTheme="minorEastAsia" w:hAnsiTheme="majorHAnsi" w:cstheme="majorHAnsi"/>
          <w:sz w:val="24"/>
          <w:szCs w:val="24"/>
        </w:rPr>
        <w:t>fapt c</w:t>
      </w:r>
      <w:r w:rsidR="00674DF6">
        <w:rPr>
          <w:rFonts w:asciiTheme="majorHAnsi" w:eastAsiaTheme="minorEastAsia" w:hAnsiTheme="majorHAnsi" w:cstheme="majorHAnsi"/>
          <w:sz w:val="24"/>
          <w:szCs w:val="24"/>
        </w:rPr>
        <w:t>ar</w:t>
      </w:r>
      <w:r w:rsidRPr="00BF76B2">
        <w:rPr>
          <w:rFonts w:asciiTheme="majorHAnsi" w:eastAsiaTheme="minorEastAsia" w:hAnsiTheme="majorHAnsi" w:cstheme="majorHAnsi"/>
          <w:sz w:val="24"/>
          <w:szCs w:val="24"/>
        </w:rPr>
        <w:t xml:space="preserve">e a determinat generarea următoarelor erori: </w:t>
      </w:r>
    </w:p>
    <w:p w:rsidR="00415FB2" w:rsidRPr="00BD1BF5" w:rsidRDefault="00674DF6" w:rsidP="00BD1BF5">
      <w:pPr>
        <w:pStyle w:val="ListParagraph"/>
        <w:numPr>
          <w:ilvl w:val="0"/>
          <w:numId w:val="35"/>
        </w:numPr>
        <w:tabs>
          <w:tab w:val="left" w:pos="1080"/>
        </w:tabs>
        <w:ind w:left="990"/>
        <w:jc w:val="both"/>
        <w:rPr>
          <w:rFonts w:asciiTheme="majorHAnsi" w:eastAsiaTheme="minorEastAsia" w:hAnsiTheme="majorHAnsi" w:cstheme="majorHAnsi"/>
          <w:sz w:val="24"/>
          <w:szCs w:val="24"/>
        </w:rPr>
      </w:pPr>
      <w:r w:rsidRPr="00BD1BF5">
        <w:rPr>
          <w:rFonts w:asciiTheme="majorHAnsi" w:eastAsiaTheme="minorEastAsia" w:hAnsiTheme="majorHAnsi" w:cstheme="majorHAnsi"/>
          <w:sz w:val="24"/>
          <w:szCs w:val="24"/>
        </w:rPr>
        <w:t>d</w:t>
      </w:r>
      <w:r w:rsidR="00415FB2" w:rsidRPr="00BD1BF5">
        <w:rPr>
          <w:rFonts w:asciiTheme="majorHAnsi" w:eastAsiaTheme="minorEastAsia" w:hAnsiTheme="majorHAnsi" w:cstheme="majorHAnsi"/>
          <w:sz w:val="24"/>
          <w:szCs w:val="24"/>
        </w:rPr>
        <w:t>iminuarea cu 71,4 mil. lei a</w:t>
      </w:r>
      <w:r w:rsidR="00EC1EAF" w:rsidRPr="00BD1BF5">
        <w:rPr>
          <w:rFonts w:asciiTheme="majorHAnsi" w:eastAsiaTheme="minorEastAsia" w:hAnsiTheme="majorHAnsi" w:cstheme="majorHAnsi"/>
          <w:sz w:val="24"/>
          <w:szCs w:val="24"/>
        </w:rPr>
        <w:t xml:space="preserve"> </w:t>
      </w:r>
      <w:r w:rsidR="00415FB2" w:rsidRPr="00BD1BF5">
        <w:rPr>
          <w:rFonts w:asciiTheme="majorHAnsi" w:eastAsiaTheme="minorEastAsia" w:hAnsiTheme="majorHAnsi" w:cstheme="majorHAnsi"/>
          <w:sz w:val="24"/>
          <w:szCs w:val="24"/>
        </w:rPr>
        <w:t>costului scutirii</w:t>
      </w:r>
      <w:r w:rsidR="00A2038F" w:rsidRPr="00BD1BF5">
        <w:rPr>
          <w:rFonts w:asciiTheme="majorHAnsi" w:eastAsiaTheme="minorEastAsia" w:hAnsiTheme="majorHAnsi" w:cstheme="majorHAnsi"/>
          <w:sz w:val="24"/>
          <w:szCs w:val="24"/>
        </w:rPr>
        <w:t xml:space="preserve"> de TVA</w:t>
      </w:r>
      <w:r w:rsidRPr="00BD1BF5">
        <w:rPr>
          <w:rFonts w:asciiTheme="majorHAnsi" w:eastAsiaTheme="minorEastAsia" w:hAnsiTheme="majorHAnsi" w:cstheme="majorHAnsi"/>
          <w:sz w:val="24"/>
          <w:szCs w:val="24"/>
        </w:rPr>
        <w:t xml:space="preserve"> l</w:t>
      </w:r>
      <w:r w:rsidR="00A2038F" w:rsidRPr="00BD1BF5">
        <w:rPr>
          <w:rFonts w:asciiTheme="majorHAnsi" w:eastAsiaTheme="minorEastAsia" w:hAnsiTheme="majorHAnsi" w:cstheme="majorHAnsi"/>
          <w:sz w:val="24"/>
          <w:szCs w:val="24"/>
        </w:rPr>
        <w:t>a serviciil</w:t>
      </w:r>
      <w:r w:rsidRPr="00BD1BF5">
        <w:rPr>
          <w:rFonts w:asciiTheme="majorHAnsi" w:eastAsiaTheme="minorEastAsia" w:hAnsiTheme="majorHAnsi" w:cstheme="majorHAnsi"/>
          <w:sz w:val="24"/>
          <w:szCs w:val="24"/>
        </w:rPr>
        <w:t>e</w:t>
      </w:r>
      <w:r w:rsidR="00A2038F" w:rsidRPr="00BD1BF5">
        <w:rPr>
          <w:rFonts w:asciiTheme="majorHAnsi" w:eastAsiaTheme="minorEastAsia" w:hAnsiTheme="majorHAnsi" w:cstheme="majorHAnsi"/>
          <w:sz w:val="24"/>
          <w:szCs w:val="24"/>
        </w:rPr>
        <w:t xml:space="preserve"> poștale (</w:t>
      </w:r>
      <w:r w:rsidR="00415FB2" w:rsidRPr="00BD1BF5">
        <w:rPr>
          <w:rFonts w:asciiTheme="majorHAnsi" w:eastAsiaTheme="minorEastAsia" w:hAnsiTheme="majorHAnsi" w:cstheme="majorHAnsi"/>
          <w:sz w:val="24"/>
          <w:szCs w:val="24"/>
        </w:rPr>
        <w:t>raportate 13,6 mil. lei, conform</w:t>
      </w:r>
      <w:r w:rsidR="00EC1EAF" w:rsidRPr="00BD1BF5">
        <w:rPr>
          <w:rFonts w:asciiTheme="majorHAnsi" w:eastAsiaTheme="minorEastAsia" w:hAnsiTheme="majorHAnsi" w:cstheme="majorHAnsi"/>
          <w:sz w:val="24"/>
          <w:szCs w:val="24"/>
        </w:rPr>
        <w:t xml:space="preserve"> </w:t>
      </w:r>
      <w:r w:rsidR="00415FB2" w:rsidRPr="00BD1BF5">
        <w:rPr>
          <w:rFonts w:asciiTheme="majorHAnsi" w:eastAsiaTheme="minorEastAsia" w:hAnsiTheme="majorHAnsi" w:cstheme="majorHAnsi"/>
          <w:sz w:val="24"/>
          <w:szCs w:val="24"/>
        </w:rPr>
        <w:t>estimărilor de audit</w:t>
      </w:r>
      <w:r w:rsidR="00EC1EAF" w:rsidRPr="00BD1BF5">
        <w:rPr>
          <w:rFonts w:asciiTheme="majorHAnsi" w:eastAsiaTheme="minorEastAsia" w:hAnsiTheme="majorHAnsi" w:cstheme="majorHAnsi"/>
          <w:sz w:val="24"/>
          <w:szCs w:val="24"/>
        </w:rPr>
        <w:t xml:space="preserve"> </w:t>
      </w:r>
      <w:r w:rsidR="00415FB2" w:rsidRPr="00BD1BF5">
        <w:rPr>
          <w:rFonts w:asciiTheme="majorHAnsi" w:eastAsiaTheme="minorEastAsia" w:hAnsiTheme="majorHAnsi" w:cstheme="majorHAnsi"/>
          <w:sz w:val="24"/>
          <w:szCs w:val="24"/>
        </w:rPr>
        <w:t>- 85,0 mil. lei)</w:t>
      </w:r>
      <w:r w:rsidR="00A2038F" w:rsidRPr="00BD1BF5">
        <w:rPr>
          <w:rFonts w:asciiTheme="majorHAnsi" w:eastAsiaTheme="minorEastAsia" w:hAnsiTheme="majorHAnsi" w:cstheme="majorHAnsi"/>
          <w:sz w:val="24"/>
          <w:szCs w:val="24"/>
        </w:rPr>
        <w:t xml:space="preserve"> (pct. 4.1.3., lit. b)</w:t>
      </w:r>
      <w:r w:rsidR="00B10FF2" w:rsidRPr="00BD1BF5">
        <w:rPr>
          <w:rFonts w:asciiTheme="majorHAnsi" w:eastAsiaTheme="minorEastAsia" w:hAnsiTheme="majorHAnsi" w:cstheme="majorHAnsi"/>
          <w:sz w:val="24"/>
          <w:szCs w:val="24"/>
        </w:rPr>
        <w:t>)</w:t>
      </w:r>
      <w:r w:rsidR="00415FB2" w:rsidRPr="00BD1BF5">
        <w:rPr>
          <w:rFonts w:asciiTheme="majorHAnsi" w:eastAsiaTheme="minorEastAsia" w:hAnsiTheme="majorHAnsi" w:cstheme="majorHAnsi"/>
          <w:sz w:val="24"/>
          <w:szCs w:val="24"/>
        </w:rPr>
        <w:t>;</w:t>
      </w:r>
    </w:p>
    <w:p w:rsidR="00415FB2" w:rsidRPr="00BF76B2" w:rsidRDefault="00674DF6" w:rsidP="00BD1BF5">
      <w:pPr>
        <w:pStyle w:val="ListParagraph"/>
        <w:numPr>
          <w:ilvl w:val="0"/>
          <w:numId w:val="35"/>
        </w:numPr>
        <w:tabs>
          <w:tab w:val="left" w:pos="1080"/>
        </w:tabs>
        <w:ind w:left="990"/>
        <w:jc w:val="both"/>
        <w:rPr>
          <w:rFonts w:asciiTheme="majorHAnsi" w:eastAsiaTheme="minorEastAsia" w:hAnsiTheme="majorHAnsi" w:cstheme="majorHAnsi"/>
          <w:sz w:val="24"/>
          <w:szCs w:val="24"/>
        </w:rPr>
      </w:pPr>
      <w:r>
        <w:rPr>
          <w:rFonts w:asciiTheme="majorHAnsi" w:eastAsiaTheme="minorEastAsia" w:hAnsiTheme="majorHAnsi" w:cstheme="majorHAnsi"/>
          <w:sz w:val="24"/>
          <w:szCs w:val="24"/>
        </w:rPr>
        <w:t>m</w:t>
      </w:r>
      <w:r w:rsidR="00913A30" w:rsidRPr="00BF76B2">
        <w:rPr>
          <w:rFonts w:asciiTheme="majorHAnsi" w:eastAsiaTheme="minorEastAsia" w:hAnsiTheme="majorHAnsi" w:cstheme="majorHAnsi"/>
          <w:sz w:val="24"/>
          <w:szCs w:val="24"/>
        </w:rPr>
        <w:t xml:space="preserve">ajorarea </w:t>
      </w:r>
      <w:r w:rsidR="00415FB2" w:rsidRPr="00BF76B2">
        <w:rPr>
          <w:rFonts w:asciiTheme="majorHAnsi" w:eastAsiaTheme="minorEastAsia" w:hAnsiTheme="majorHAnsi" w:cstheme="majorHAnsi"/>
          <w:sz w:val="24"/>
          <w:szCs w:val="24"/>
        </w:rPr>
        <w:t xml:space="preserve"> eronată a înlesnirilor acordate</w:t>
      </w:r>
      <w:r w:rsidR="00EC1EAF" w:rsidRPr="00BF76B2">
        <w:rPr>
          <w:rFonts w:asciiTheme="majorHAnsi" w:eastAsiaTheme="minorEastAsia" w:hAnsiTheme="majorHAnsi" w:cstheme="majorHAnsi"/>
          <w:sz w:val="24"/>
          <w:szCs w:val="24"/>
        </w:rPr>
        <w:t xml:space="preserve"> </w:t>
      </w:r>
      <w:r w:rsidR="00415FB2" w:rsidRPr="00BF76B2">
        <w:rPr>
          <w:rFonts w:asciiTheme="majorHAnsi" w:eastAsiaTheme="minorEastAsia" w:hAnsiTheme="majorHAnsi" w:cstheme="majorHAnsi"/>
          <w:sz w:val="24"/>
          <w:szCs w:val="24"/>
        </w:rPr>
        <w:t>gospodăriilor țărănești</w:t>
      </w:r>
      <w:r w:rsidR="00913A30" w:rsidRPr="00BF76B2">
        <w:rPr>
          <w:rFonts w:asciiTheme="majorHAnsi" w:eastAsiaTheme="minorEastAsia" w:hAnsiTheme="majorHAnsi" w:cstheme="majorHAnsi"/>
          <w:sz w:val="24"/>
          <w:szCs w:val="24"/>
        </w:rPr>
        <w:t xml:space="preserve"> cu suma de</w:t>
      </w:r>
      <w:r w:rsidR="00325E52">
        <w:rPr>
          <w:rFonts w:asciiTheme="majorHAnsi" w:eastAsiaTheme="minorEastAsia" w:hAnsiTheme="majorHAnsi" w:cstheme="majorHAnsi"/>
          <w:sz w:val="24"/>
          <w:szCs w:val="24"/>
        </w:rPr>
        <w:t xml:space="preserve"> </w:t>
      </w:r>
      <w:r w:rsidR="00913A30" w:rsidRPr="00BF76B2">
        <w:rPr>
          <w:rFonts w:asciiTheme="majorHAnsi" w:eastAsiaTheme="minorEastAsia" w:hAnsiTheme="majorHAnsi" w:cstheme="majorHAnsi"/>
          <w:sz w:val="24"/>
          <w:szCs w:val="24"/>
        </w:rPr>
        <w:t>345,4 mil. lei</w:t>
      </w:r>
      <w:r w:rsidR="0067554A">
        <w:rPr>
          <w:rFonts w:asciiTheme="majorHAnsi" w:eastAsiaTheme="minorEastAsia" w:hAnsiTheme="majorHAnsi" w:cstheme="majorHAnsi"/>
          <w:sz w:val="24"/>
          <w:szCs w:val="24"/>
        </w:rPr>
        <w:t xml:space="preserve"> (4.1.3.,lit.c))</w:t>
      </w:r>
      <w:r>
        <w:rPr>
          <w:rFonts w:asciiTheme="majorHAnsi" w:eastAsiaTheme="minorEastAsia" w:hAnsiTheme="majorHAnsi" w:cstheme="majorHAnsi"/>
          <w:sz w:val="24"/>
          <w:szCs w:val="24"/>
        </w:rPr>
        <w:t>;</w:t>
      </w:r>
    </w:p>
    <w:p w:rsidR="00415FB2" w:rsidRPr="00BF76B2" w:rsidRDefault="003F19EC" w:rsidP="00325E52">
      <w:pPr>
        <w:numPr>
          <w:ilvl w:val="0"/>
          <w:numId w:val="30"/>
        </w:numPr>
        <w:tabs>
          <w:tab w:val="left" w:pos="900"/>
          <w:tab w:val="left" w:pos="1350"/>
        </w:tabs>
        <w:spacing w:after="120" w:line="240" w:lineRule="auto"/>
        <w:ind w:left="270" w:firstLine="270"/>
        <w:jc w:val="both"/>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Lipsa </w:t>
      </w:r>
      <w:r w:rsidR="00C81EC4">
        <w:rPr>
          <w:rFonts w:asciiTheme="majorHAnsi" w:eastAsiaTheme="minorEastAsia" w:hAnsiTheme="majorHAnsi" w:cstheme="majorHAnsi"/>
          <w:sz w:val="24"/>
          <w:szCs w:val="24"/>
          <w:lang w:val="ro-RO"/>
        </w:rPr>
        <w:t xml:space="preserve">metodologiilor și calculelor argumentate privind </w:t>
      </w:r>
      <w:r w:rsidR="00C81EC4">
        <w:rPr>
          <w:rFonts w:asciiTheme="majorHAnsi" w:eastAsiaTheme="minorEastAsia" w:hAnsiTheme="majorHAnsi" w:cstheme="majorHAnsi"/>
          <w:sz w:val="24"/>
          <w:szCs w:val="24"/>
        </w:rPr>
        <w:t>costuril</w:t>
      </w:r>
      <w:r w:rsidR="00674DF6">
        <w:rPr>
          <w:rFonts w:asciiTheme="majorHAnsi" w:eastAsiaTheme="minorEastAsia" w:hAnsiTheme="majorHAnsi" w:cstheme="majorHAnsi"/>
          <w:sz w:val="24"/>
          <w:szCs w:val="24"/>
        </w:rPr>
        <w:t>e</w:t>
      </w:r>
      <w:r w:rsidR="00C81EC4">
        <w:rPr>
          <w:rFonts w:asciiTheme="majorHAnsi" w:eastAsiaTheme="minorEastAsia" w:hAnsiTheme="majorHAnsi" w:cstheme="majorHAnsi"/>
          <w:sz w:val="24"/>
          <w:szCs w:val="24"/>
        </w:rPr>
        <w:t xml:space="preserve"> unor</w:t>
      </w:r>
      <w:r>
        <w:rPr>
          <w:rFonts w:asciiTheme="majorHAnsi" w:eastAsiaTheme="minorEastAsia" w:hAnsiTheme="majorHAnsi" w:cstheme="majorHAnsi"/>
          <w:sz w:val="24"/>
          <w:szCs w:val="24"/>
        </w:rPr>
        <w:t xml:space="preserve"> facilități  raportate, aferente impozitelor indirecte </w:t>
      </w:r>
      <w:r w:rsidR="00C81EC4">
        <w:rPr>
          <w:rFonts w:asciiTheme="majorHAnsi" w:eastAsiaTheme="minorEastAsia" w:hAnsiTheme="majorHAnsi" w:cstheme="majorHAnsi"/>
          <w:sz w:val="24"/>
          <w:szCs w:val="24"/>
        </w:rPr>
        <w:t xml:space="preserve"> în </w:t>
      </w:r>
      <w:r w:rsidR="00674DF6">
        <w:rPr>
          <w:rFonts w:asciiTheme="majorHAnsi" w:eastAsiaTheme="minorEastAsia" w:hAnsiTheme="majorHAnsi" w:cstheme="majorHAnsi"/>
          <w:sz w:val="24"/>
          <w:szCs w:val="24"/>
        </w:rPr>
        <w:t>sumă</w:t>
      </w:r>
      <w:r w:rsidR="00C81EC4">
        <w:rPr>
          <w:rFonts w:asciiTheme="majorHAnsi" w:eastAsiaTheme="minorEastAsia" w:hAnsiTheme="majorHAnsi" w:cstheme="majorHAnsi"/>
          <w:sz w:val="24"/>
          <w:szCs w:val="24"/>
        </w:rPr>
        <w:t xml:space="preserve"> de aproape 1,0 mlrd.lei. </w:t>
      </w:r>
      <w:r w:rsidR="00325E52">
        <w:rPr>
          <w:rFonts w:asciiTheme="majorHAnsi" w:eastAsiaTheme="minorEastAsia" w:hAnsiTheme="majorHAnsi" w:cstheme="majorHAnsi"/>
          <w:sz w:val="24"/>
          <w:szCs w:val="24"/>
        </w:rPr>
        <w:t xml:space="preserve"> </w:t>
      </w:r>
      <w:r w:rsidR="00E931E0" w:rsidRPr="00BF76B2">
        <w:rPr>
          <w:rFonts w:asciiTheme="majorHAnsi" w:eastAsiaTheme="minorEastAsia" w:hAnsiTheme="majorHAnsi" w:cstheme="majorHAnsi"/>
          <w:sz w:val="24"/>
          <w:szCs w:val="24"/>
        </w:rPr>
        <w:t>(pct. 4.1.3.</w:t>
      </w:r>
      <w:r w:rsidR="00F225E4" w:rsidRPr="00BF76B2">
        <w:rPr>
          <w:rFonts w:asciiTheme="majorHAnsi" w:eastAsiaTheme="minorEastAsia" w:hAnsiTheme="majorHAnsi" w:cstheme="majorHAnsi"/>
          <w:sz w:val="24"/>
          <w:szCs w:val="24"/>
        </w:rPr>
        <w:t>,</w:t>
      </w:r>
      <w:r w:rsidR="00E931E0" w:rsidRPr="00BF76B2">
        <w:rPr>
          <w:rFonts w:asciiTheme="majorHAnsi" w:eastAsiaTheme="minorEastAsia" w:hAnsiTheme="majorHAnsi" w:cstheme="majorHAnsi"/>
          <w:sz w:val="24"/>
          <w:szCs w:val="24"/>
        </w:rPr>
        <w:t xml:space="preserve"> lit. a</w:t>
      </w:r>
      <w:r w:rsidR="00B10FF2" w:rsidRPr="00BF76B2">
        <w:rPr>
          <w:rFonts w:asciiTheme="majorHAnsi" w:eastAsiaTheme="minorEastAsia" w:hAnsiTheme="majorHAnsi" w:cstheme="majorHAnsi"/>
          <w:sz w:val="24"/>
          <w:szCs w:val="24"/>
        </w:rPr>
        <w:t>)</w:t>
      </w:r>
      <w:r w:rsidR="00E931E0" w:rsidRPr="00BF76B2">
        <w:rPr>
          <w:rFonts w:asciiTheme="majorHAnsi" w:eastAsiaTheme="minorEastAsia" w:hAnsiTheme="majorHAnsi" w:cstheme="majorHAnsi"/>
          <w:sz w:val="24"/>
          <w:szCs w:val="24"/>
        </w:rPr>
        <w:t>)</w:t>
      </w:r>
      <w:r>
        <w:rPr>
          <w:rFonts w:asciiTheme="majorHAnsi" w:eastAsiaTheme="minorEastAsia" w:hAnsiTheme="majorHAnsi" w:cstheme="majorHAnsi"/>
          <w:sz w:val="24"/>
          <w:szCs w:val="24"/>
        </w:rPr>
        <w:t>;</w:t>
      </w:r>
      <w:r w:rsidR="00415FB2" w:rsidRPr="00BF76B2">
        <w:rPr>
          <w:rFonts w:asciiTheme="majorHAnsi" w:eastAsiaTheme="minorEastAsia" w:hAnsiTheme="majorHAnsi" w:cstheme="majorHAnsi"/>
          <w:sz w:val="24"/>
          <w:szCs w:val="24"/>
        </w:rPr>
        <w:t xml:space="preserve"> </w:t>
      </w:r>
    </w:p>
    <w:p w:rsidR="00BF76B2" w:rsidRPr="00BF76B2" w:rsidRDefault="00415FB2" w:rsidP="008D20D5">
      <w:pPr>
        <w:numPr>
          <w:ilvl w:val="0"/>
          <w:numId w:val="30"/>
        </w:numPr>
        <w:tabs>
          <w:tab w:val="left" w:pos="900"/>
          <w:tab w:val="left" w:pos="1350"/>
        </w:tabs>
        <w:spacing w:after="120" w:line="240" w:lineRule="auto"/>
        <w:ind w:left="270" w:firstLine="270"/>
        <w:jc w:val="both"/>
        <w:rPr>
          <w:rFonts w:asciiTheme="majorHAnsi" w:eastAsiaTheme="minorEastAsia" w:hAnsiTheme="majorHAnsi" w:cstheme="majorHAnsi"/>
          <w:sz w:val="24"/>
          <w:szCs w:val="24"/>
          <w:lang w:bidi="en-US"/>
        </w:rPr>
      </w:pPr>
      <w:r w:rsidRPr="00BF76B2">
        <w:rPr>
          <w:rFonts w:asciiTheme="majorHAnsi" w:eastAsiaTheme="minorEastAsia" w:hAnsiTheme="majorHAnsi" w:cstheme="majorHAnsi"/>
          <w:sz w:val="24"/>
          <w:szCs w:val="24"/>
        </w:rPr>
        <w:t>SFS</w:t>
      </w:r>
      <w:r w:rsidR="00BF76B2" w:rsidRPr="00BF76B2">
        <w:rPr>
          <w:rFonts w:asciiTheme="majorHAnsi" w:eastAsiaTheme="minorEastAsia" w:hAnsiTheme="majorHAnsi" w:cstheme="majorHAnsi"/>
          <w:sz w:val="24"/>
          <w:szCs w:val="24"/>
        </w:rPr>
        <w:t xml:space="preserve">  a estimat și </w:t>
      </w:r>
      <w:r w:rsidR="00674DF6">
        <w:rPr>
          <w:rFonts w:asciiTheme="majorHAnsi" w:eastAsiaTheme="minorEastAsia" w:hAnsiTheme="majorHAnsi" w:cstheme="majorHAnsi"/>
          <w:sz w:val="24"/>
          <w:szCs w:val="24"/>
        </w:rPr>
        <w:t xml:space="preserve">a </w:t>
      </w:r>
      <w:r w:rsidR="00BF76B2" w:rsidRPr="00BF76B2">
        <w:rPr>
          <w:rFonts w:asciiTheme="majorHAnsi" w:eastAsiaTheme="minorEastAsia" w:hAnsiTheme="majorHAnsi" w:cstheme="majorHAnsi"/>
          <w:sz w:val="24"/>
          <w:szCs w:val="24"/>
        </w:rPr>
        <w:t xml:space="preserve">raportat </w:t>
      </w:r>
      <w:r w:rsidR="00674DF6" w:rsidRPr="00BF76B2">
        <w:rPr>
          <w:rFonts w:asciiTheme="majorHAnsi" w:eastAsiaTheme="minorEastAsia" w:hAnsiTheme="majorHAnsi" w:cstheme="majorHAnsi"/>
          <w:sz w:val="24"/>
          <w:szCs w:val="24"/>
        </w:rPr>
        <w:t xml:space="preserve">incorect </w:t>
      </w:r>
      <w:r w:rsidR="00BF76B2" w:rsidRPr="00BF76B2">
        <w:rPr>
          <w:rFonts w:asciiTheme="majorHAnsi" w:eastAsiaTheme="minorEastAsia" w:hAnsiTheme="majorHAnsi" w:cstheme="majorHAnsi"/>
          <w:sz w:val="24"/>
          <w:szCs w:val="24"/>
        </w:rPr>
        <w:t xml:space="preserve">costul  facilităților fiscale aferente scutirii </w:t>
      </w:r>
      <w:r w:rsidR="00674DF6">
        <w:rPr>
          <w:rFonts w:asciiTheme="majorHAnsi" w:eastAsiaTheme="minorEastAsia" w:hAnsiTheme="majorHAnsi" w:cstheme="majorHAnsi"/>
          <w:sz w:val="24"/>
          <w:szCs w:val="24"/>
        </w:rPr>
        <w:t xml:space="preserve">de </w:t>
      </w:r>
      <w:r w:rsidR="00BF76B2" w:rsidRPr="00BF76B2">
        <w:rPr>
          <w:rFonts w:asciiTheme="majorHAnsi" w:eastAsiaTheme="minorEastAsia" w:hAnsiTheme="majorHAnsi" w:cstheme="majorHAnsi"/>
          <w:sz w:val="24"/>
          <w:szCs w:val="24"/>
        </w:rPr>
        <w:t>impozitul</w:t>
      </w:r>
      <w:r w:rsidR="00674DF6">
        <w:rPr>
          <w:rFonts w:asciiTheme="majorHAnsi" w:eastAsiaTheme="minorEastAsia" w:hAnsiTheme="majorHAnsi" w:cstheme="majorHAnsi"/>
          <w:sz w:val="24"/>
          <w:szCs w:val="24"/>
        </w:rPr>
        <w:t xml:space="preserve"> </w:t>
      </w:r>
      <w:r w:rsidR="00BF76B2" w:rsidRPr="00BF76B2">
        <w:rPr>
          <w:rFonts w:asciiTheme="majorHAnsi" w:eastAsiaTheme="minorEastAsia" w:hAnsiTheme="majorHAnsi" w:cstheme="majorHAnsi"/>
          <w:sz w:val="24"/>
          <w:szCs w:val="24"/>
        </w:rPr>
        <w:t xml:space="preserve"> pe venit a unor categorii de contribuabili, suma fiind majorată cu</w:t>
      </w:r>
      <w:r w:rsidR="00325E52">
        <w:rPr>
          <w:rFonts w:asciiTheme="majorHAnsi" w:eastAsiaTheme="minorEastAsia" w:hAnsiTheme="majorHAnsi" w:cstheme="majorHAnsi"/>
          <w:sz w:val="24"/>
          <w:szCs w:val="24"/>
        </w:rPr>
        <w:t xml:space="preserve"> 174,3</w:t>
      </w:r>
      <w:r w:rsidR="00BF76B2" w:rsidRPr="00BF76B2">
        <w:rPr>
          <w:rFonts w:asciiTheme="majorHAnsi" w:eastAsiaTheme="minorEastAsia" w:hAnsiTheme="majorHAnsi" w:cstheme="majorHAnsi"/>
          <w:sz w:val="24"/>
          <w:szCs w:val="24"/>
        </w:rPr>
        <w:t xml:space="preserve"> mil</w:t>
      </w:r>
      <w:r w:rsidR="008D20D5">
        <w:rPr>
          <w:rFonts w:asciiTheme="majorHAnsi" w:eastAsiaTheme="minorEastAsia" w:hAnsiTheme="majorHAnsi" w:cstheme="majorHAnsi"/>
          <w:sz w:val="24"/>
          <w:szCs w:val="24"/>
        </w:rPr>
        <w:t>.</w:t>
      </w:r>
      <w:r w:rsidR="00BF76B2" w:rsidRPr="00BF76B2">
        <w:rPr>
          <w:rFonts w:asciiTheme="majorHAnsi" w:eastAsiaTheme="minorEastAsia" w:hAnsiTheme="majorHAnsi" w:cstheme="majorHAnsi"/>
          <w:sz w:val="24"/>
          <w:szCs w:val="24"/>
        </w:rPr>
        <w:t xml:space="preserve"> lei</w:t>
      </w:r>
      <w:r w:rsidRPr="00BF76B2">
        <w:rPr>
          <w:rFonts w:asciiTheme="majorHAnsi" w:eastAsiaTheme="minorEastAsia" w:hAnsiTheme="majorHAnsi" w:cstheme="majorHAnsi"/>
          <w:sz w:val="24"/>
          <w:szCs w:val="24"/>
        </w:rPr>
        <w:t>, dat fiind faptul că</w:t>
      </w:r>
      <w:r w:rsidR="00BF76B2" w:rsidRPr="00BF76B2">
        <w:rPr>
          <w:rFonts w:asciiTheme="majorHAnsi" w:eastAsiaTheme="minorEastAsia" w:hAnsiTheme="majorHAnsi" w:cstheme="majorHAnsi"/>
          <w:sz w:val="24"/>
          <w:szCs w:val="24"/>
        </w:rPr>
        <w:t xml:space="preserve"> contribuabilii au admis erori la completarea declarațiilor anuale  privind impozitul pe venit, iar organul </w:t>
      </w:r>
      <w:r w:rsidRPr="00BF76B2">
        <w:rPr>
          <w:rFonts w:asciiTheme="majorHAnsi" w:eastAsiaTheme="minorEastAsia" w:hAnsiTheme="majorHAnsi" w:cstheme="majorHAnsi"/>
          <w:sz w:val="24"/>
          <w:szCs w:val="24"/>
        </w:rPr>
        <w:t xml:space="preserve"> fiscal </w:t>
      </w:r>
      <w:r w:rsidR="00BF76B2" w:rsidRPr="00BF76B2">
        <w:rPr>
          <w:rFonts w:asciiTheme="majorHAnsi" w:eastAsiaTheme="minorEastAsia" w:hAnsiTheme="majorHAnsi" w:cstheme="majorHAnsi"/>
          <w:sz w:val="24"/>
          <w:szCs w:val="24"/>
        </w:rPr>
        <w:t xml:space="preserve"> nu </w:t>
      </w:r>
      <w:r w:rsidR="008D20D5">
        <w:rPr>
          <w:rFonts w:asciiTheme="majorHAnsi" w:eastAsiaTheme="minorEastAsia" w:hAnsiTheme="majorHAnsi" w:cstheme="majorHAnsi"/>
          <w:sz w:val="24"/>
          <w:szCs w:val="24"/>
        </w:rPr>
        <w:t>le-</w:t>
      </w:r>
      <w:r w:rsidR="00BF76B2" w:rsidRPr="00BF76B2">
        <w:rPr>
          <w:rFonts w:asciiTheme="majorHAnsi" w:eastAsiaTheme="minorEastAsia" w:hAnsiTheme="majorHAnsi" w:cstheme="majorHAnsi"/>
          <w:sz w:val="24"/>
          <w:szCs w:val="24"/>
        </w:rPr>
        <w:t>a detectat</w:t>
      </w:r>
      <w:r w:rsidR="008D20D5">
        <w:rPr>
          <w:rFonts w:asciiTheme="majorHAnsi" w:eastAsiaTheme="minorEastAsia" w:hAnsiTheme="majorHAnsi" w:cstheme="majorHAnsi"/>
          <w:sz w:val="24"/>
          <w:szCs w:val="24"/>
        </w:rPr>
        <w:t xml:space="preserve">, </w:t>
      </w:r>
      <w:r w:rsidR="003A390A">
        <w:rPr>
          <w:rFonts w:asciiTheme="majorHAnsi" w:eastAsiaTheme="minorEastAsia" w:hAnsiTheme="majorHAnsi" w:cstheme="majorHAnsi"/>
          <w:sz w:val="24"/>
          <w:szCs w:val="24"/>
        </w:rPr>
        <w:t xml:space="preserve">ca </w:t>
      </w:r>
      <w:r w:rsidR="008D20D5">
        <w:rPr>
          <w:rFonts w:asciiTheme="majorHAnsi" w:eastAsiaTheme="minorEastAsia" w:hAnsiTheme="majorHAnsi" w:cstheme="majorHAnsi"/>
          <w:sz w:val="24"/>
          <w:szCs w:val="24"/>
        </w:rPr>
        <w:t xml:space="preserve">urmare </w:t>
      </w:r>
      <w:r w:rsidR="003A390A">
        <w:rPr>
          <w:rFonts w:asciiTheme="majorHAnsi" w:eastAsiaTheme="minorEastAsia" w:hAnsiTheme="majorHAnsi" w:cstheme="majorHAnsi"/>
          <w:sz w:val="24"/>
          <w:szCs w:val="24"/>
        </w:rPr>
        <w:t xml:space="preserve">a </w:t>
      </w:r>
      <w:r w:rsidR="008D20D5" w:rsidRPr="00BF76B2">
        <w:rPr>
          <w:rFonts w:asciiTheme="majorHAnsi" w:eastAsiaTheme="minorEastAsia" w:hAnsiTheme="majorHAnsi" w:cstheme="majorHAnsi"/>
          <w:sz w:val="24"/>
          <w:szCs w:val="24"/>
        </w:rPr>
        <w:t>preluă</w:t>
      </w:r>
      <w:r w:rsidR="008D20D5">
        <w:rPr>
          <w:rFonts w:asciiTheme="majorHAnsi" w:eastAsiaTheme="minorEastAsia" w:hAnsiTheme="majorHAnsi" w:cstheme="majorHAnsi"/>
          <w:sz w:val="24"/>
          <w:szCs w:val="24"/>
        </w:rPr>
        <w:t xml:space="preserve">rii </w:t>
      </w:r>
      <w:r w:rsidR="00BF76B2" w:rsidRPr="00BF76B2">
        <w:rPr>
          <w:rFonts w:asciiTheme="majorHAnsi" w:eastAsiaTheme="minorEastAsia" w:hAnsiTheme="majorHAnsi" w:cstheme="majorHAnsi"/>
          <w:sz w:val="24"/>
          <w:szCs w:val="24"/>
        </w:rPr>
        <w:t>automatizat</w:t>
      </w:r>
      <w:r w:rsidR="003A390A">
        <w:rPr>
          <w:rFonts w:asciiTheme="majorHAnsi" w:eastAsiaTheme="minorEastAsia" w:hAnsiTheme="majorHAnsi" w:cstheme="majorHAnsi"/>
          <w:sz w:val="24"/>
          <w:szCs w:val="24"/>
        </w:rPr>
        <w:t>e</w:t>
      </w:r>
      <w:r w:rsidR="008D20D5">
        <w:rPr>
          <w:rFonts w:asciiTheme="majorHAnsi" w:eastAsiaTheme="minorEastAsia" w:hAnsiTheme="majorHAnsi" w:cstheme="majorHAnsi"/>
          <w:sz w:val="24"/>
          <w:szCs w:val="24"/>
        </w:rPr>
        <w:t xml:space="preserve"> a datelor</w:t>
      </w:r>
      <w:r w:rsidR="00BF76B2" w:rsidRPr="00BF76B2">
        <w:rPr>
          <w:rFonts w:asciiTheme="majorHAnsi" w:eastAsiaTheme="minorEastAsia" w:hAnsiTheme="majorHAnsi" w:cstheme="majorHAnsi"/>
          <w:sz w:val="24"/>
          <w:szCs w:val="24"/>
        </w:rPr>
        <w:t xml:space="preserve"> </w:t>
      </w:r>
      <w:r w:rsidRPr="00BF76B2">
        <w:rPr>
          <w:rFonts w:asciiTheme="majorHAnsi" w:eastAsiaTheme="minorEastAsia" w:hAnsiTheme="majorHAnsi" w:cstheme="majorHAnsi"/>
          <w:sz w:val="24"/>
          <w:szCs w:val="24"/>
        </w:rPr>
        <w:t>din dările de seamă</w:t>
      </w:r>
      <w:r w:rsidR="0067554A" w:rsidRPr="0067554A">
        <w:rPr>
          <w:rFonts w:asciiTheme="majorHAnsi" w:eastAsiaTheme="minorEastAsia" w:hAnsiTheme="majorHAnsi" w:cstheme="majorHAnsi"/>
          <w:sz w:val="24"/>
          <w:szCs w:val="24"/>
        </w:rPr>
        <w:t xml:space="preserve"> </w:t>
      </w:r>
      <w:r w:rsidR="003A390A">
        <w:rPr>
          <w:rFonts w:asciiTheme="majorHAnsi" w:eastAsiaTheme="minorEastAsia" w:hAnsiTheme="majorHAnsi" w:cstheme="majorHAnsi"/>
          <w:sz w:val="24"/>
          <w:szCs w:val="24"/>
        </w:rPr>
        <w:t>(</w:t>
      </w:r>
      <w:r w:rsidR="0067554A" w:rsidRPr="00BF76B2">
        <w:rPr>
          <w:rFonts w:asciiTheme="majorHAnsi" w:eastAsiaTheme="minorEastAsia" w:hAnsiTheme="majorHAnsi" w:cstheme="majorHAnsi"/>
          <w:sz w:val="24"/>
          <w:szCs w:val="24"/>
        </w:rPr>
        <w:t xml:space="preserve">pct. 4.1.3., lit. </w:t>
      </w:r>
      <w:r w:rsidR="0067554A">
        <w:rPr>
          <w:rFonts w:asciiTheme="majorHAnsi" w:eastAsiaTheme="minorEastAsia" w:hAnsiTheme="majorHAnsi" w:cstheme="majorHAnsi"/>
          <w:sz w:val="24"/>
          <w:szCs w:val="24"/>
        </w:rPr>
        <w:t>d</w:t>
      </w:r>
      <w:r w:rsidR="0067554A" w:rsidRPr="00BF76B2">
        <w:rPr>
          <w:rFonts w:asciiTheme="majorHAnsi" w:eastAsiaTheme="minorEastAsia" w:hAnsiTheme="majorHAnsi" w:cstheme="majorHAnsi"/>
          <w:sz w:val="24"/>
          <w:szCs w:val="24"/>
        </w:rPr>
        <w:t>))</w:t>
      </w:r>
      <w:r w:rsidR="00C12882">
        <w:rPr>
          <w:rFonts w:asciiTheme="majorHAnsi" w:eastAsiaTheme="minorEastAsia" w:hAnsiTheme="majorHAnsi" w:cstheme="majorHAnsi"/>
          <w:sz w:val="24"/>
          <w:szCs w:val="24"/>
        </w:rPr>
        <w:t>;</w:t>
      </w:r>
      <w:r w:rsidR="008D20D5">
        <w:rPr>
          <w:rFonts w:asciiTheme="majorHAnsi" w:eastAsiaTheme="minorEastAsia" w:hAnsiTheme="majorHAnsi" w:cstheme="majorHAnsi"/>
          <w:sz w:val="24"/>
          <w:szCs w:val="24"/>
        </w:rPr>
        <w:t xml:space="preserve"> </w:t>
      </w:r>
    </w:p>
    <w:p w:rsidR="00415FB2" w:rsidRPr="00BF76B2" w:rsidRDefault="00415FB2" w:rsidP="00415FB2">
      <w:pPr>
        <w:numPr>
          <w:ilvl w:val="0"/>
          <w:numId w:val="30"/>
        </w:numPr>
        <w:tabs>
          <w:tab w:val="left" w:pos="900"/>
          <w:tab w:val="left" w:pos="1350"/>
        </w:tabs>
        <w:spacing w:after="120" w:line="240" w:lineRule="auto"/>
        <w:ind w:left="270" w:firstLine="270"/>
        <w:jc w:val="both"/>
        <w:rPr>
          <w:rFonts w:asciiTheme="majorHAnsi" w:eastAsiaTheme="minorEastAsia" w:hAnsiTheme="majorHAnsi" w:cstheme="majorHAnsi"/>
          <w:sz w:val="24"/>
          <w:szCs w:val="24"/>
        </w:rPr>
      </w:pPr>
      <w:r w:rsidRPr="00BF76B2">
        <w:rPr>
          <w:rFonts w:asciiTheme="majorHAnsi" w:eastAsiaTheme="minorEastAsia" w:hAnsiTheme="majorHAnsi" w:cstheme="majorHAnsi"/>
          <w:sz w:val="24"/>
          <w:szCs w:val="24"/>
        </w:rPr>
        <w:t xml:space="preserve">Autoritățile statului au avut abordări diferite privind atribuirea ca facilitate fiscală a regimului special de impozitare a rezidenților parcurilor IT. În pofida faptului că atât </w:t>
      </w:r>
      <w:r w:rsidRPr="00BD1BF5">
        <w:rPr>
          <w:rFonts w:asciiTheme="majorHAnsi" w:eastAsiaTheme="minorEastAsia" w:hAnsiTheme="majorHAnsi" w:cstheme="majorHAnsi"/>
          <w:sz w:val="24"/>
          <w:szCs w:val="24"/>
        </w:rPr>
        <w:t>în Registrul unic al facilităților</w:t>
      </w:r>
      <w:r w:rsidR="000B0D94" w:rsidRPr="00BD1BF5">
        <w:rPr>
          <w:rFonts w:asciiTheme="majorHAnsi" w:eastAsiaTheme="minorEastAsia" w:hAnsiTheme="majorHAnsi" w:cstheme="majorHAnsi"/>
          <w:sz w:val="24"/>
          <w:szCs w:val="24"/>
        </w:rPr>
        <w:t xml:space="preserve"> fiscale și vamale</w:t>
      </w:r>
      <w:r w:rsidR="00BD1BF5" w:rsidRPr="00BD1BF5">
        <w:rPr>
          <w:rFonts w:asciiTheme="majorHAnsi" w:eastAsiaTheme="minorEastAsia" w:hAnsiTheme="majorHAnsi" w:cstheme="majorHAnsi"/>
          <w:sz w:val="24"/>
          <w:szCs w:val="24"/>
        </w:rPr>
        <w:t xml:space="preserve">, </w:t>
      </w:r>
      <w:r w:rsidRPr="00BD1BF5">
        <w:rPr>
          <w:rFonts w:asciiTheme="majorHAnsi" w:eastAsiaTheme="minorEastAsia" w:hAnsiTheme="majorHAnsi" w:cstheme="majorHAnsi"/>
          <w:sz w:val="24"/>
          <w:szCs w:val="24"/>
        </w:rPr>
        <w:t>cât și prin</w:t>
      </w:r>
      <w:r w:rsidR="00EC1EAF" w:rsidRPr="00BD1BF5">
        <w:rPr>
          <w:rFonts w:asciiTheme="majorHAnsi" w:eastAsiaTheme="minorEastAsia" w:hAnsiTheme="majorHAnsi" w:cstheme="majorHAnsi"/>
          <w:sz w:val="24"/>
          <w:szCs w:val="24"/>
        </w:rPr>
        <w:t xml:space="preserve"> </w:t>
      </w:r>
      <w:r w:rsidRPr="00BD1BF5">
        <w:rPr>
          <w:rFonts w:asciiTheme="majorHAnsi" w:eastAsiaTheme="minorEastAsia" w:hAnsiTheme="majorHAnsi" w:cstheme="majorHAnsi"/>
          <w:sz w:val="24"/>
          <w:szCs w:val="24"/>
        </w:rPr>
        <w:t>Legea nr. 77/2016, regimului special de impozita</w:t>
      </w:r>
      <w:r w:rsidRPr="00BF76B2">
        <w:rPr>
          <w:rFonts w:asciiTheme="majorHAnsi" w:eastAsiaTheme="minorEastAsia" w:hAnsiTheme="majorHAnsi" w:cstheme="majorHAnsi"/>
          <w:sz w:val="24"/>
          <w:szCs w:val="24"/>
        </w:rPr>
        <w:t>re a rezidenților</w:t>
      </w:r>
      <w:r w:rsidR="00EC1EAF" w:rsidRPr="00BF76B2">
        <w:rPr>
          <w:rFonts w:asciiTheme="majorHAnsi" w:eastAsiaTheme="minorEastAsia" w:hAnsiTheme="majorHAnsi" w:cstheme="majorHAnsi"/>
          <w:sz w:val="24"/>
          <w:szCs w:val="24"/>
        </w:rPr>
        <w:t xml:space="preserve"> </w:t>
      </w:r>
      <w:r w:rsidRPr="00BF76B2">
        <w:rPr>
          <w:rFonts w:asciiTheme="majorHAnsi" w:eastAsiaTheme="minorEastAsia" w:hAnsiTheme="majorHAnsi" w:cstheme="majorHAnsi"/>
          <w:sz w:val="24"/>
          <w:szCs w:val="24"/>
        </w:rPr>
        <w:t>parcurilor IT i s-a</w:t>
      </w:r>
      <w:r w:rsidR="00EC1EAF" w:rsidRPr="00BF76B2">
        <w:rPr>
          <w:rFonts w:asciiTheme="majorHAnsi" w:eastAsiaTheme="minorEastAsia" w:hAnsiTheme="majorHAnsi" w:cstheme="majorHAnsi"/>
          <w:sz w:val="24"/>
          <w:szCs w:val="24"/>
        </w:rPr>
        <w:t xml:space="preserve"> </w:t>
      </w:r>
      <w:r w:rsidRPr="00BF76B2">
        <w:rPr>
          <w:rFonts w:asciiTheme="majorHAnsi" w:eastAsiaTheme="minorEastAsia" w:hAnsiTheme="majorHAnsi" w:cstheme="majorHAnsi"/>
          <w:sz w:val="24"/>
          <w:szCs w:val="24"/>
        </w:rPr>
        <w:t>atribuit statutul de facilitate fiscală, SFS nu a calculat și nu a raportat costul acestei facilități, motivând</w:t>
      </w:r>
      <w:r w:rsidR="00EC1EAF" w:rsidRPr="00BF76B2">
        <w:rPr>
          <w:rFonts w:asciiTheme="majorHAnsi" w:eastAsiaTheme="minorEastAsia" w:hAnsiTheme="majorHAnsi" w:cstheme="majorHAnsi"/>
          <w:sz w:val="24"/>
          <w:szCs w:val="24"/>
        </w:rPr>
        <w:t xml:space="preserve"> </w:t>
      </w:r>
      <w:r w:rsidRPr="00BF76B2">
        <w:rPr>
          <w:rFonts w:asciiTheme="majorHAnsi" w:eastAsiaTheme="minorEastAsia" w:hAnsiTheme="majorHAnsi" w:cstheme="majorHAnsi"/>
          <w:sz w:val="24"/>
          <w:szCs w:val="24"/>
        </w:rPr>
        <w:t>că „regimul special de impozitare nu reprezintă facilitate fiscală de care urmează a se ține cont la estimarea venitului impozabil”</w:t>
      </w:r>
      <w:r w:rsidR="00E931E0" w:rsidRPr="00BF76B2">
        <w:rPr>
          <w:rFonts w:asciiTheme="majorHAnsi" w:eastAsiaTheme="minorEastAsia" w:hAnsiTheme="majorHAnsi" w:cstheme="majorHAnsi"/>
          <w:sz w:val="24"/>
          <w:szCs w:val="24"/>
        </w:rPr>
        <w:t xml:space="preserve"> (pct. 4.1.4.)</w:t>
      </w:r>
      <w:r w:rsidRPr="00BF76B2">
        <w:rPr>
          <w:rFonts w:asciiTheme="majorHAnsi" w:eastAsiaTheme="minorEastAsia" w:hAnsiTheme="majorHAnsi" w:cstheme="majorHAnsi"/>
          <w:sz w:val="24"/>
          <w:szCs w:val="24"/>
        </w:rPr>
        <w:t>.</w:t>
      </w:r>
    </w:p>
    <w:p w:rsidR="00415FB2" w:rsidRPr="00CB5F81" w:rsidRDefault="00415FB2" w:rsidP="00415FB2">
      <w:pPr>
        <w:jc w:val="both"/>
        <w:rPr>
          <w:rFonts w:asciiTheme="majorHAnsi" w:hAnsiTheme="majorHAnsi" w:cstheme="majorHAnsi"/>
          <w:i/>
          <w:color w:val="1F4E79" w:themeColor="accent1" w:themeShade="80"/>
          <w:sz w:val="24"/>
          <w:szCs w:val="24"/>
          <w:lang w:bidi="en-US"/>
        </w:rPr>
      </w:pPr>
      <w:r w:rsidRPr="00CB5F81">
        <w:rPr>
          <w:rFonts w:asciiTheme="majorHAnsi" w:hAnsiTheme="majorHAnsi" w:cstheme="majorHAnsi"/>
          <w:sz w:val="24"/>
          <w:szCs w:val="24"/>
          <w:lang w:bidi="en-US"/>
        </w:rPr>
        <w:t xml:space="preserve"> </w:t>
      </w:r>
      <w:r w:rsidRPr="00CB5F81">
        <w:rPr>
          <w:rFonts w:asciiTheme="majorHAnsi" w:hAnsiTheme="majorHAnsi" w:cstheme="majorHAnsi"/>
          <w:i/>
          <w:color w:val="1F4E79" w:themeColor="accent1" w:themeShade="80"/>
          <w:sz w:val="24"/>
          <w:szCs w:val="24"/>
          <w:lang w:bidi="en-US"/>
        </w:rPr>
        <w:t>Privind</w:t>
      </w:r>
      <w:r w:rsidR="00EC1EAF">
        <w:rPr>
          <w:rFonts w:asciiTheme="majorHAnsi" w:hAnsiTheme="majorHAnsi" w:cstheme="majorHAnsi"/>
          <w:i/>
          <w:color w:val="1F4E79" w:themeColor="accent1" w:themeShade="80"/>
          <w:sz w:val="24"/>
          <w:szCs w:val="24"/>
          <w:lang w:bidi="en-US"/>
        </w:rPr>
        <w:t xml:space="preserve"> </w:t>
      </w:r>
      <w:r w:rsidRPr="00CB5F81">
        <w:rPr>
          <w:rFonts w:asciiTheme="majorHAnsi" w:hAnsiTheme="majorHAnsi" w:cstheme="majorHAnsi"/>
          <w:i/>
          <w:color w:val="1F4E79" w:themeColor="accent1" w:themeShade="80"/>
          <w:sz w:val="24"/>
          <w:szCs w:val="24"/>
          <w:lang w:bidi="en-US"/>
        </w:rPr>
        <w:t>aspectele problematice</w:t>
      </w:r>
      <w:r w:rsidR="00EC1EAF">
        <w:rPr>
          <w:rFonts w:asciiTheme="majorHAnsi" w:hAnsiTheme="majorHAnsi" w:cstheme="majorHAnsi"/>
          <w:i/>
          <w:color w:val="1F4E79" w:themeColor="accent1" w:themeShade="80"/>
          <w:sz w:val="24"/>
          <w:szCs w:val="24"/>
          <w:lang w:bidi="en-US"/>
        </w:rPr>
        <w:t xml:space="preserve"> </w:t>
      </w:r>
      <w:r w:rsidRPr="00CB5F81">
        <w:rPr>
          <w:rFonts w:asciiTheme="majorHAnsi" w:hAnsiTheme="majorHAnsi" w:cstheme="majorHAnsi"/>
          <w:i/>
          <w:color w:val="1F4E79" w:themeColor="accent1" w:themeShade="80"/>
          <w:sz w:val="24"/>
          <w:szCs w:val="24"/>
          <w:lang w:bidi="en-US"/>
        </w:rPr>
        <w:t>identificate în gestiunea</w:t>
      </w:r>
      <w:r w:rsidR="00EC1EAF">
        <w:rPr>
          <w:rFonts w:asciiTheme="majorHAnsi" w:hAnsiTheme="majorHAnsi" w:cstheme="majorHAnsi"/>
          <w:i/>
          <w:color w:val="1F4E79" w:themeColor="accent1" w:themeShade="80"/>
          <w:sz w:val="24"/>
          <w:szCs w:val="24"/>
          <w:lang w:bidi="en-US"/>
        </w:rPr>
        <w:t xml:space="preserve"> </w:t>
      </w:r>
      <w:r w:rsidRPr="00CB5F81">
        <w:rPr>
          <w:rFonts w:asciiTheme="majorHAnsi" w:hAnsiTheme="majorHAnsi" w:cstheme="majorHAnsi"/>
          <w:i/>
          <w:color w:val="1F4E79" w:themeColor="accent1" w:themeShade="80"/>
          <w:sz w:val="24"/>
          <w:szCs w:val="24"/>
          <w:lang w:bidi="en-US"/>
        </w:rPr>
        <w:t>sistemului de</w:t>
      </w:r>
      <w:r w:rsidR="00EC1EAF">
        <w:rPr>
          <w:rFonts w:asciiTheme="majorHAnsi" w:hAnsiTheme="majorHAnsi" w:cstheme="majorHAnsi"/>
          <w:i/>
          <w:color w:val="1F4E79" w:themeColor="accent1" w:themeShade="80"/>
          <w:sz w:val="24"/>
          <w:szCs w:val="24"/>
          <w:lang w:bidi="en-US"/>
        </w:rPr>
        <w:t xml:space="preserve"> </w:t>
      </w:r>
      <w:r w:rsidRPr="00CB5F81">
        <w:rPr>
          <w:rFonts w:asciiTheme="majorHAnsi" w:hAnsiTheme="majorHAnsi" w:cstheme="majorHAnsi"/>
          <w:i/>
          <w:color w:val="1F4E79" w:themeColor="accent1" w:themeShade="80"/>
          <w:sz w:val="24"/>
          <w:szCs w:val="24"/>
          <w:lang w:bidi="en-US"/>
        </w:rPr>
        <w:t xml:space="preserve">facilități fiscale </w:t>
      </w:r>
    </w:p>
    <w:p w:rsidR="00415FB2" w:rsidRPr="00CB5F81" w:rsidRDefault="003A390A" w:rsidP="00415FB2">
      <w:pPr>
        <w:numPr>
          <w:ilvl w:val="0"/>
          <w:numId w:val="28"/>
        </w:numPr>
        <w:tabs>
          <w:tab w:val="left" w:pos="360"/>
        </w:tabs>
        <w:spacing w:after="120" w:line="240" w:lineRule="auto"/>
        <w:jc w:val="both"/>
        <w:rPr>
          <w:rFonts w:asciiTheme="majorHAnsi" w:eastAsia="Times New Roman" w:hAnsiTheme="majorHAnsi" w:cs="Arial"/>
          <w:sz w:val="24"/>
          <w:szCs w:val="24"/>
        </w:rPr>
      </w:pPr>
      <w:r>
        <w:rPr>
          <w:rFonts w:asciiTheme="majorHAnsi" w:eastAsia="Times New Roman" w:hAnsiTheme="majorHAnsi" w:cstheme="majorHAnsi"/>
          <w:sz w:val="24"/>
          <w:szCs w:val="24"/>
        </w:rPr>
        <w:t>P</w:t>
      </w:r>
      <w:r w:rsidR="00415FB2" w:rsidRPr="00CB5F81">
        <w:rPr>
          <w:rFonts w:asciiTheme="majorHAnsi" w:eastAsia="Times New Roman" w:hAnsiTheme="majorHAnsi" w:cstheme="majorHAnsi"/>
          <w:sz w:val="24"/>
          <w:szCs w:val="24"/>
        </w:rPr>
        <w:t>reponderent</w:t>
      </w:r>
      <w:r>
        <w:rPr>
          <w:rFonts w:asciiTheme="majorHAnsi" w:eastAsia="Times New Roman" w:hAnsiTheme="majorHAnsi" w:cstheme="majorHAnsi"/>
          <w:sz w:val="24"/>
          <w:szCs w:val="24"/>
        </w:rPr>
        <w:t>,</w:t>
      </w:r>
      <w:r w:rsidR="00EC1EAF">
        <w:rPr>
          <w:rFonts w:asciiTheme="majorHAnsi" w:eastAsia="Times New Roman" w:hAnsiTheme="majorHAnsi" w:cstheme="majorHAnsi"/>
          <w:sz w:val="24"/>
          <w:szCs w:val="24"/>
        </w:rPr>
        <w:t xml:space="preserve"> </w:t>
      </w:r>
      <w:r w:rsidR="00415FB2" w:rsidRPr="00CB5F81">
        <w:rPr>
          <w:rFonts w:asciiTheme="majorHAnsi" w:eastAsia="Times New Roman" w:hAnsiTheme="majorHAnsi" w:cstheme="majorHAnsi"/>
          <w:sz w:val="24"/>
          <w:szCs w:val="24"/>
        </w:rPr>
        <w:t>facilitățil</w:t>
      </w:r>
      <w:r>
        <w:rPr>
          <w:rFonts w:asciiTheme="majorHAnsi" w:eastAsia="Times New Roman" w:hAnsiTheme="majorHAnsi" w:cstheme="majorHAnsi"/>
          <w:sz w:val="24"/>
          <w:szCs w:val="24"/>
        </w:rPr>
        <w:t>e</w:t>
      </w:r>
      <w:r w:rsidR="00415FB2" w:rsidRPr="00CB5F81">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fiscale </w:t>
      </w:r>
      <w:r w:rsidR="00415FB2" w:rsidRPr="00CB5F81">
        <w:rPr>
          <w:rFonts w:asciiTheme="majorHAnsi" w:eastAsia="Times New Roman" w:hAnsiTheme="majorHAnsi" w:cstheme="majorHAnsi"/>
          <w:sz w:val="24"/>
          <w:szCs w:val="24"/>
        </w:rPr>
        <w:t>s-a</w:t>
      </w:r>
      <w:r>
        <w:rPr>
          <w:rFonts w:asciiTheme="majorHAnsi" w:eastAsia="Times New Roman" w:hAnsiTheme="majorHAnsi" w:cstheme="majorHAnsi"/>
          <w:sz w:val="24"/>
          <w:szCs w:val="24"/>
        </w:rPr>
        <w:t>u acordat</w:t>
      </w:r>
      <w:r w:rsidR="00415FB2" w:rsidRPr="00CB5F81">
        <w:rPr>
          <w:rFonts w:asciiTheme="majorHAnsi" w:eastAsia="Times New Roman" w:hAnsiTheme="majorHAnsi" w:cstheme="majorHAnsi"/>
          <w:sz w:val="24"/>
          <w:szCs w:val="24"/>
        </w:rPr>
        <w:t xml:space="preserve"> în lipsa unor programe </w:t>
      </w:r>
      <w:r w:rsidR="00415FB2" w:rsidRPr="00CB5F81">
        <w:rPr>
          <w:rFonts w:asciiTheme="majorHAnsi" w:eastAsia="Times New Roman" w:hAnsiTheme="majorHAnsi" w:cs="Arial"/>
          <w:sz w:val="24"/>
          <w:szCs w:val="24"/>
        </w:rPr>
        <w:t>sau strategii de dezvoltare economică a unor ramuri sau sectoare ale economiei naționale, care să conțină indicatori de impact/rezultat și să</w:t>
      </w:r>
      <w:r w:rsidR="00EC1EAF">
        <w:rPr>
          <w:rFonts w:asciiTheme="majorHAnsi" w:eastAsia="Times New Roman" w:hAnsiTheme="majorHAnsi" w:cs="Arial"/>
          <w:sz w:val="24"/>
          <w:szCs w:val="24"/>
        </w:rPr>
        <w:t xml:space="preserve"> </w:t>
      </w:r>
      <w:r w:rsidR="00415FB2" w:rsidRPr="00CB5F81">
        <w:rPr>
          <w:rFonts w:asciiTheme="majorHAnsi" w:eastAsia="Times New Roman" w:hAnsiTheme="majorHAnsi" w:cs="Arial"/>
          <w:sz w:val="24"/>
          <w:szCs w:val="24"/>
        </w:rPr>
        <w:t>permită evaluarea beneficiilor rezultate din acordarea acestora. Mai mult decât atât,</w:t>
      </w:r>
      <w:r w:rsidR="00EC1EAF">
        <w:rPr>
          <w:rFonts w:asciiTheme="majorHAnsi" w:eastAsia="Times New Roman" w:hAnsiTheme="majorHAnsi" w:cs="Arial"/>
          <w:sz w:val="24"/>
          <w:szCs w:val="24"/>
        </w:rPr>
        <w:t xml:space="preserve"> </w:t>
      </w:r>
      <w:r w:rsidR="00415FB2" w:rsidRPr="00CB5F81">
        <w:rPr>
          <w:rFonts w:asciiTheme="majorHAnsi" w:eastAsia="Times New Roman" w:hAnsiTheme="majorHAnsi" w:cs="Arial"/>
          <w:sz w:val="24"/>
          <w:szCs w:val="24"/>
        </w:rPr>
        <w:t xml:space="preserve">se </w:t>
      </w:r>
      <w:r w:rsidR="00415FB2" w:rsidRPr="008E6CE7">
        <w:rPr>
          <w:rFonts w:asciiTheme="majorHAnsi" w:eastAsia="Times New Roman" w:hAnsiTheme="majorHAnsi" w:cs="Arial"/>
          <w:sz w:val="24"/>
          <w:szCs w:val="24"/>
        </w:rPr>
        <w:t xml:space="preserve">atestă </w:t>
      </w:r>
      <w:r w:rsidR="00724D91" w:rsidRPr="008E6CE7">
        <w:rPr>
          <w:rFonts w:asciiTheme="majorHAnsi" w:eastAsia="Times New Roman" w:hAnsiTheme="majorHAnsi" w:cs="Arial"/>
          <w:sz w:val="24"/>
          <w:szCs w:val="24"/>
        </w:rPr>
        <w:t>cazuri</w:t>
      </w:r>
      <w:r w:rsidR="00724D91">
        <w:rPr>
          <w:rFonts w:asciiTheme="majorHAnsi" w:eastAsia="Times New Roman" w:hAnsiTheme="majorHAnsi" w:cs="Arial"/>
          <w:sz w:val="24"/>
          <w:szCs w:val="24"/>
        </w:rPr>
        <w:t xml:space="preserve"> </w:t>
      </w:r>
      <w:r w:rsidR="00415FB2" w:rsidRPr="00CB5F81">
        <w:rPr>
          <w:rFonts w:asciiTheme="majorHAnsi" w:eastAsia="Times New Roman" w:hAnsiTheme="majorHAnsi" w:cs="Arial"/>
          <w:sz w:val="24"/>
          <w:szCs w:val="24"/>
        </w:rPr>
        <w:t xml:space="preserve"> de instituire de către legiuitor a unor facilități fără o motivare și justificare corespunzătoare a</w:t>
      </w:r>
      <w:r w:rsidR="00EC1EAF">
        <w:rPr>
          <w:rFonts w:asciiTheme="majorHAnsi" w:eastAsia="Times New Roman" w:hAnsiTheme="majorHAnsi" w:cs="Arial"/>
          <w:sz w:val="24"/>
          <w:szCs w:val="24"/>
        </w:rPr>
        <w:t xml:space="preserve"> </w:t>
      </w:r>
      <w:r w:rsidR="00415FB2" w:rsidRPr="00CB5F81">
        <w:rPr>
          <w:rFonts w:asciiTheme="majorHAnsi" w:eastAsia="Times New Roman" w:hAnsiTheme="majorHAnsi" w:cs="Arial"/>
          <w:sz w:val="24"/>
          <w:szCs w:val="24"/>
        </w:rPr>
        <w:t xml:space="preserve">necesității acestora, situație constatată la acordarea scutirii de </w:t>
      </w:r>
      <w:r w:rsidR="00415FB2" w:rsidRPr="0088356E">
        <w:rPr>
          <w:rFonts w:asciiTheme="majorHAnsi" w:eastAsia="Times New Roman" w:hAnsiTheme="majorHAnsi" w:cs="Arial"/>
          <w:sz w:val="24"/>
          <w:szCs w:val="24"/>
        </w:rPr>
        <w:t>acciz</w:t>
      </w:r>
      <w:r w:rsidR="0083455F">
        <w:rPr>
          <w:rFonts w:asciiTheme="majorHAnsi" w:eastAsia="Times New Roman" w:hAnsiTheme="majorHAnsi" w:cs="Arial"/>
          <w:sz w:val="24"/>
          <w:szCs w:val="24"/>
        </w:rPr>
        <w:t>e</w:t>
      </w:r>
      <w:r w:rsidR="00415FB2" w:rsidRPr="0088356E">
        <w:rPr>
          <w:rFonts w:asciiTheme="majorHAnsi" w:eastAsia="Times New Roman" w:hAnsiTheme="majorHAnsi" w:cs="Arial"/>
          <w:sz w:val="24"/>
          <w:szCs w:val="24"/>
        </w:rPr>
        <w:t xml:space="preserve"> </w:t>
      </w:r>
      <w:r w:rsidR="0088356E" w:rsidRPr="009F5847">
        <w:rPr>
          <w:rFonts w:asciiTheme="majorHAnsi" w:eastAsia="Times New Roman" w:hAnsiTheme="majorHAnsi" w:cs="Arial"/>
          <w:sz w:val="24"/>
          <w:szCs w:val="24"/>
        </w:rPr>
        <w:t>pentru</w:t>
      </w:r>
      <w:r w:rsidR="00415FB2" w:rsidRPr="0088356E">
        <w:rPr>
          <w:rFonts w:asciiTheme="majorHAnsi" w:eastAsia="Times New Roman" w:hAnsiTheme="majorHAnsi" w:cs="Arial"/>
          <w:sz w:val="24"/>
          <w:szCs w:val="24"/>
        </w:rPr>
        <w:t xml:space="preserve"> azotul</w:t>
      </w:r>
      <w:r w:rsidR="00CA0484">
        <w:rPr>
          <w:rFonts w:asciiTheme="majorHAnsi" w:eastAsia="Times New Roman" w:hAnsiTheme="majorHAnsi" w:cs="Arial"/>
          <w:sz w:val="24"/>
          <w:szCs w:val="24"/>
        </w:rPr>
        <w:t xml:space="preserve"> și oxigenul </w:t>
      </w:r>
      <w:r w:rsidR="00415FB2" w:rsidRPr="00CB5F81">
        <w:rPr>
          <w:rFonts w:asciiTheme="majorHAnsi" w:eastAsia="Times New Roman" w:hAnsiTheme="majorHAnsi" w:cs="Arial"/>
          <w:sz w:val="24"/>
          <w:szCs w:val="24"/>
        </w:rPr>
        <w:t xml:space="preserve"> produ</w:t>
      </w:r>
      <w:r w:rsidR="0088356E">
        <w:rPr>
          <w:rFonts w:asciiTheme="majorHAnsi" w:eastAsia="Times New Roman" w:hAnsiTheme="majorHAnsi" w:cs="Arial"/>
          <w:sz w:val="24"/>
          <w:szCs w:val="24"/>
        </w:rPr>
        <w:t>și</w:t>
      </w:r>
      <w:r w:rsidR="00415FB2" w:rsidRPr="00CB5F81">
        <w:rPr>
          <w:rFonts w:asciiTheme="majorHAnsi" w:eastAsia="Times New Roman" w:hAnsiTheme="majorHAnsi" w:cs="Arial"/>
          <w:sz w:val="24"/>
          <w:szCs w:val="24"/>
        </w:rPr>
        <w:t xml:space="preserve"> pe teritoriul țării</w:t>
      </w:r>
      <w:r w:rsidR="00B10FF2">
        <w:rPr>
          <w:rFonts w:asciiTheme="majorHAnsi" w:eastAsia="Times New Roman" w:hAnsiTheme="majorHAnsi" w:cs="Arial"/>
          <w:sz w:val="24"/>
          <w:szCs w:val="24"/>
        </w:rPr>
        <w:t xml:space="preserve"> (pct. 4.2.2.);</w:t>
      </w:r>
      <w:r w:rsidR="00EC1EAF">
        <w:rPr>
          <w:rFonts w:asciiTheme="majorHAnsi" w:eastAsia="Times New Roman" w:hAnsiTheme="majorHAnsi" w:cs="Arial"/>
          <w:sz w:val="24"/>
          <w:szCs w:val="24"/>
        </w:rPr>
        <w:t xml:space="preserve"> </w:t>
      </w:r>
      <w:r w:rsidR="00415FB2" w:rsidRPr="00CB5F81">
        <w:rPr>
          <w:rFonts w:asciiTheme="majorHAnsi" w:eastAsia="Times New Roman" w:hAnsiTheme="majorHAnsi" w:cs="Arial"/>
          <w:sz w:val="24"/>
          <w:szCs w:val="24"/>
        </w:rPr>
        <w:t xml:space="preserve"> </w:t>
      </w:r>
    </w:p>
    <w:p w:rsidR="00415FB2" w:rsidRPr="00CB5F81" w:rsidRDefault="00415FB2" w:rsidP="00415FB2">
      <w:pPr>
        <w:numPr>
          <w:ilvl w:val="0"/>
          <w:numId w:val="28"/>
        </w:numPr>
        <w:tabs>
          <w:tab w:val="left" w:pos="360"/>
        </w:tabs>
        <w:spacing w:after="120" w:line="240" w:lineRule="auto"/>
        <w:jc w:val="both"/>
        <w:rPr>
          <w:rFonts w:asciiTheme="majorHAnsi" w:eastAsia="Times New Roman" w:hAnsiTheme="majorHAnsi" w:cs="Arial"/>
          <w:sz w:val="24"/>
          <w:szCs w:val="24"/>
        </w:rPr>
      </w:pPr>
      <w:r w:rsidRPr="00CB5F81">
        <w:rPr>
          <w:rFonts w:asciiTheme="majorHAnsi" w:eastAsia="Times New Roman" w:hAnsiTheme="majorHAnsi" w:cs="Arial"/>
          <w:sz w:val="24"/>
          <w:szCs w:val="24"/>
        </w:rPr>
        <w:t xml:space="preserve">În pofida faptului că un număr </w:t>
      </w:r>
      <w:r w:rsidRPr="00CB5F81">
        <w:rPr>
          <w:rFonts w:asciiTheme="majorHAnsi" w:eastAsia="Times New Roman" w:hAnsiTheme="majorHAnsi" w:cstheme="majorHAnsi"/>
          <w:sz w:val="24"/>
          <w:szCs w:val="24"/>
        </w:rPr>
        <w:t xml:space="preserve">preponderent de facilități fiscale se aplică </w:t>
      </w:r>
      <w:r w:rsidRPr="00CB5F81">
        <w:rPr>
          <w:rFonts w:asciiTheme="majorHAnsi" w:eastAsiaTheme="minorEastAsia" w:hAnsiTheme="majorHAnsi" w:cstheme="majorHAnsi"/>
          <w:bCs/>
          <w:sz w:val="24"/>
          <w:szCs w:val="24"/>
        </w:rPr>
        <w:t xml:space="preserve">timp îndelungat, nu au fost efectuate studii </w:t>
      </w:r>
      <w:r w:rsidRPr="00CB5F81">
        <w:rPr>
          <w:rFonts w:asciiTheme="majorHAnsi" w:eastAsiaTheme="minorEastAsia" w:hAnsiTheme="majorHAnsi" w:cstheme="majorHAnsi"/>
          <w:sz w:val="24"/>
          <w:szCs w:val="24"/>
        </w:rPr>
        <w:t xml:space="preserve">de impact asupra înlesnirilor acordate, și nici </w:t>
      </w:r>
      <w:r w:rsidRPr="00CB5F81">
        <w:rPr>
          <w:rFonts w:asciiTheme="majorHAnsi" w:eastAsia="Times New Roman" w:hAnsiTheme="majorHAnsi" w:cstheme="majorHAnsi"/>
          <w:sz w:val="24"/>
          <w:szCs w:val="24"/>
        </w:rPr>
        <w:t>evaluat</w:t>
      </w:r>
      <w:r w:rsidR="003E4163">
        <w:rPr>
          <w:rFonts w:asciiTheme="majorHAnsi" w:eastAsia="Times New Roman" w:hAnsiTheme="majorHAnsi" w:cstheme="majorHAnsi"/>
          <w:sz w:val="24"/>
          <w:szCs w:val="24"/>
        </w:rPr>
        <w:t>e</w:t>
      </w:r>
      <w:r w:rsidRPr="00CB5F81">
        <w:rPr>
          <w:rFonts w:asciiTheme="majorHAnsi" w:eastAsia="Times New Roman" w:hAnsiTheme="majorHAnsi" w:cstheme="majorHAnsi"/>
          <w:sz w:val="24"/>
          <w:szCs w:val="24"/>
        </w:rPr>
        <w:t xml:space="preserve"> eficacitatea și eficiența acordării acestora, prin ce nu s-a realizat pe deplin și obiectivul stabilit în Planul de acțiuni al Guvernului pentru anii 2020-2023 privind „evaluarea eficacității facilităților existente și introducerea noilor tipuri de subvenții pentru stimularea dezvoltării sustenabile a economiei și creșterea veniturilor la buget”</w:t>
      </w:r>
      <w:r w:rsidR="00A02B56">
        <w:rPr>
          <w:rFonts w:asciiTheme="majorHAnsi" w:eastAsia="Times New Roman" w:hAnsiTheme="majorHAnsi" w:cstheme="majorHAnsi"/>
          <w:sz w:val="24"/>
          <w:szCs w:val="24"/>
        </w:rPr>
        <w:t xml:space="preserve"> (pct. 4</w:t>
      </w:r>
      <w:r w:rsidRPr="00CB5F81">
        <w:rPr>
          <w:rFonts w:asciiTheme="majorHAnsi" w:eastAsia="Times New Roman" w:hAnsiTheme="majorHAnsi" w:cstheme="majorHAnsi"/>
          <w:sz w:val="24"/>
          <w:szCs w:val="24"/>
        </w:rPr>
        <w:t>.</w:t>
      </w:r>
      <w:r w:rsidR="00A02B56">
        <w:rPr>
          <w:rFonts w:asciiTheme="majorHAnsi" w:eastAsia="Times New Roman" w:hAnsiTheme="majorHAnsi" w:cstheme="majorHAnsi"/>
          <w:sz w:val="24"/>
          <w:szCs w:val="24"/>
        </w:rPr>
        <w:t>2.1.)</w:t>
      </w:r>
      <w:r w:rsidR="00FE74F3">
        <w:rPr>
          <w:rFonts w:asciiTheme="majorHAnsi" w:eastAsia="Times New Roman" w:hAnsiTheme="majorHAnsi" w:cstheme="majorHAnsi"/>
          <w:sz w:val="24"/>
          <w:szCs w:val="24"/>
        </w:rPr>
        <w:t>;</w:t>
      </w:r>
    </w:p>
    <w:p w:rsidR="00415FB2" w:rsidRPr="00CB5F81" w:rsidRDefault="00415FB2" w:rsidP="00415FB2">
      <w:pPr>
        <w:numPr>
          <w:ilvl w:val="0"/>
          <w:numId w:val="28"/>
        </w:numPr>
        <w:tabs>
          <w:tab w:val="left" w:pos="360"/>
        </w:tabs>
        <w:spacing w:after="120" w:line="240" w:lineRule="auto"/>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Se atestă acțiuni tardive și din partea Consiliului Concurenței în ce privește </w:t>
      </w:r>
      <w:r w:rsidRPr="00CB5F81">
        <w:rPr>
          <w:rFonts w:asciiTheme="majorHAnsi" w:eastAsiaTheme="minorEastAsia" w:hAnsiTheme="majorHAnsi" w:cs="Times New Roman"/>
          <w:sz w:val="24"/>
          <w:szCs w:val="24"/>
        </w:rPr>
        <w:t>verificarea</w:t>
      </w:r>
      <w:r w:rsidR="00EC1EAF">
        <w:rPr>
          <w:rFonts w:asciiTheme="majorHAnsi" w:eastAsiaTheme="minorEastAsia" w:hAnsiTheme="majorHAnsi" w:cs="Times New Roman"/>
          <w:sz w:val="24"/>
          <w:szCs w:val="24"/>
        </w:rPr>
        <w:t xml:space="preserve"> </w:t>
      </w:r>
      <w:r w:rsidRPr="00CB5F81">
        <w:rPr>
          <w:rFonts w:asciiTheme="majorHAnsi" w:eastAsiaTheme="minorEastAsia" w:hAnsiTheme="majorHAnsi" w:cs="Times New Roman"/>
          <w:sz w:val="24"/>
          <w:szCs w:val="24"/>
        </w:rPr>
        <w:t>respectării prevederilor actelor juridice în baza cărora au fost acordate</w:t>
      </w:r>
      <w:r w:rsidR="0077734B">
        <w:rPr>
          <w:rFonts w:asciiTheme="majorHAnsi" w:eastAsiaTheme="minorEastAsia" w:hAnsiTheme="majorHAnsi" w:cs="Times New Roman"/>
          <w:sz w:val="24"/>
          <w:szCs w:val="24"/>
        </w:rPr>
        <w:t xml:space="preserve"> unele facilități</w:t>
      </w:r>
      <w:r w:rsidRPr="00CB5F81">
        <w:rPr>
          <w:rFonts w:asciiTheme="majorHAnsi" w:eastAsiaTheme="minorEastAsia" w:hAnsiTheme="majorHAnsi" w:cs="Times New Roman"/>
          <w:sz w:val="24"/>
          <w:szCs w:val="24"/>
        </w:rPr>
        <w:t xml:space="preserve"> fiscale</w:t>
      </w:r>
      <w:r w:rsidR="003E4163">
        <w:rPr>
          <w:rFonts w:asciiTheme="majorHAnsi" w:eastAsiaTheme="minorEastAsia" w:hAnsiTheme="majorHAnsi" w:cs="Times New Roman"/>
          <w:sz w:val="24"/>
          <w:szCs w:val="24"/>
        </w:rPr>
        <w:t xml:space="preserve"> </w:t>
      </w:r>
      <w:r w:rsidR="0077734B">
        <w:rPr>
          <w:rFonts w:asciiTheme="majorHAnsi" w:eastAsiaTheme="minorEastAsia" w:hAnsiTheme="majorHAnsi" w:cs="Times New Roman"/>
          <w:sz w:val="24"/>
          <w:szCs w:val="24"/>
        </w:rPr>
        <w:t xml:space="preserve">și </w:t>
      </w:r>
      <w:r w:rsidR="003E4163">
        <w:rPr>
          <w:rFonts w:asciiTheme="majorHAnsi" w:eastAsiaTheme="minorEastAsia" w:hAnsiTheme="majorHAnsi" w:cs="Times New Roman"/>
          <w:sz w:val="24"/>
          <w:szCs w:val="24"/>
        </w:rPr>
        <w:t xml:space="preserve">a faptului </w:t>
      </w:r>
      <w:r w:rsidR="0077734B">
        <w:rPr>
          <w:rFonts w:asciiTheme="majorHAnsi" w:eastAsiaTheme="minorEastAsia" w:hAnsiTheme="majorHAnsi" w:cs="Times New Roman"/>
          <w:sz w:val="24"/>
          <w:szCs w:val="24"/>
        </w:rPr>
        <w:t xml:space="preserve">dacă acestea se </w:t>
      </w:r>
      <w:r w:rsidRPr="00CB5F81">
        <w:rPr>
          <w:rFonts w:asciiTheme="majorHAnsi" w:eastAsiaTheme="minorEastAsia" w:hAnsiTheme="majorHAnsi" w:cs="Times New Roman"/>
          <w:sz w:val="24"/>
          <w:szCs w:val="24"/>
        </w:rPr>
        <w:t xml:space="preserve">încadrează în </w:t>
      </w:r>
      <w:r w:rsidRPr="008E6CE7">
        <w:rPr>
          <w:rFonts w:asciiTheme="majorHAnsi" w:eastAsiaTheme="minorEastAsia" w:hAnsiTheme="majorHAnsi" w:cs="Times New Roman"/>
          <w:sz w:val="24"/>
          <w:szCs w:val="24"/>
        </w:rPr>
        <w:t>categoria</w:t>
      </w:r>
      <w:r w:rsidR="009C4B94" w:rsidRPr="008E6CE7">
        <w:rPr>
          <w:rFonts w:asciiTheme="majorHAnsi" w:eastAsiaTheme="minorEastAsia" w:hAnsiTheme="majorHAnsi" w:cs="Times New Roman"/>
          <w:sz w:val="24"/>
          <w:szCs w:val="24"/>
        </w:rPr>
        <w:t xml:space="preserve"> de</w:t>
      </w:r>
      <w:r w:rsidRPr="00CB5F81">
        <w:rPr>
          <w:rFonts w:asciiTheme="majorHAnsi" w:eastAsiaTheme="minorEastAsia" w:hAnsiTheme="majorHAnsi" w:cs="Times New Roman"/>
          <w:sz w:val="24"/>
          <w:szCs w:val="24"/>
        </w:rPr>
        <w:t xml:space="preserve"> ajutor de stat, precum </w:t>
      </w:r>
      <w:r w:rsidRPr="00903DE6">
        <w:rPr>
          <w:rFonts w:asciiTheme="majorHAnsi" w:eastAsiaTheme="minorEastAsia" w:hAnsiTheme="majorHAnsi" w:cs="Times New Roman"/>
          <w:sz w:val="24"/>
          <w:szCs w:val="24"/>
        </w:rPr>
        <w:t xml:space="preserve">și </w:t>
      </w:r>
      <w:r w:rsidR="00260325" w:rsidRPr="00903DE6">
        <w:rPr>
          <w:rFonts w:asciiTheme="majorHAnsi" w:eastAsiaTheme="minorEastAsia" w:hAnsiTheme="majorHAnsi" w:cs="Times New Roman"/>
          <w:sz w:val="24"/>
          <w:szCs w:val="24"/>
        </w:rPr>
        <w:t xml:space="preserve">a </w:t>
      </w:r>
      <w:r w:rsidRPr="00903DE6">
        <w:rPr>
          <w:rFonts w:asciiTheme="majorHAnsi" w:eastAsiaTheme="minorEastAsia" w:hAnsiTheme="majorHAnsi" w:cs="Times New Roman"/>
          <w:sz w:val="24"/>
          <w:szCs w:val="24"/>
        </w:rPr>
        <w:t>alinier</w:t>
      </w:r>
      <w:r w:rsidR="00260325" w:rsidRPr="00903DE6">
        <w:rPr>
          <w:rFonts w:asciiTheme="majorHAnsi" w:eastAsiaTheme="minorEastAsia" w:hAnsiTheme="majorHAnsi" w:cs="Times New Roman"/>
          <w:sz w:val="24"/>
          <w:szCs w:val="24"/>
        </w:rPr>
        <w:t xml:space="preserve">ii </w:t>
      </w:r>
      <w:r w:rsidRPr="00CB5F81">
        <w:rPr>
          <w:rFonts w:asciiTheme="majorHAnsi" w:eastAsiaTheme="minorEastAsia" w:hAnsiTheme="majorHAnsi" w:cs="Times New Roman"/>
          <w:sz w:val="24"/>
          <w:szCs w:val="24"/>
        </w:rPr>
        <w:t xml:space="preserve"> acestora</w:t>
      </w:r>
      <w:r w:rsidR="0077734B">
        <w:rPr>
          <w:rFonts w:asciiTheme="majorHAnsi" w:eastAsiaTheme="minorEastAsia" w:hAnsiTheme="majorHAnsi" w:cs="Times New Roman"/>
          <w:sz w:val="24"/>
          <w:szCs w:val="24"/>
        </w:rPr>
        <w:t xml:space="preserve"> de către autorități </w:t>
      </w:r>
      <w:r w:rsidRPr="00CB5F81">
        <w:rPr>
          <w:rFonts w:asciiTheme="majorHAnsi" w:eastAsiaTheme="minorEastAsia" w:hAnsiTheme="majorHAnsi" w:cs="Times New Roman"/>
          <w:sz w:val="24"/>
          <w:szCs w:val="24"/>
        </w:rPr>
        <w:t xml:space="preserve">la practicile internaționale, potrivit angajamentelor asumate </w:t>
      </w:r>
      <w:r w:rsidRPr="00CB5F81">
        <w:rPr>
          <w:rFonts w:asciiTheme="majorHAnsi" w:eastAsiaTheme="minorEastAsia" w:hAnsiTheme="majorHAnsi" w:cs="Times New Roman"/>
          <w:sz w:val="24"/>
          <w:szCs w:val="24"/>
        </w:rPr>
        <w:lastRenderedPageBreak/>
        <w:t xml:space="preserve">conform Acordului de asociere încheiat </w:t>
      </w:r>
      <w:r w:rsidRPr="005E3BE8">
        <w:rPr>
          <w:rFonts w:asciiTheme="majorHAnsi" w:eastAsiaTheme="minorEastAsia" w:hAnsiTheme="majorHAnsi" w:cs="Times New Roman"/>
          <w:sz w:val="24"/>
          <w:szCs w:val="24"/>
        </w:rPr>
        <w:t>între R</w:t>
      </w:r>
      <w:r w:rsidR="00E04E1E" w:rsidRPr="009F5847">
        <w:rPr>
          <w:rFonts w:asciiTheme="majorHAnsi" w:eastAsiaTheme="minorEastAsia" w:hAnsiTheme="majorHAnsi" w:cs="Times New Roman"/>
          <w:sz w:val="24"/>
          <w:szCs w:val="24"/>
        </w:rPr>
        <w:t xml:space="preserve">epublica </w:t>
      </w:r>
      <w:r w:rsidRPr="005E3BE8">
        <w:rPr>
          <w:rFonts w:asciiTheme="majorHAnsi" w:eastAsiaTheme="minorEastAsia" w:hAnsiTheme="majorHAnsi" w:cs="Times New Roman"/>
          <w:sz w:val="24"/>
          <w:szCs w:val="24"/>
        </w:rPr>
        <w:t>M</w:t>
      </w:r>
      <w:r w:rsidR="00E04E1E" w:rsidRPr="009F5847">
        <w:rPr>
          <w:rFonts w:asciiTheme="majorHAnsi" w:eastAsiaTheme="minorEastAsia" w:hAnsiTheme="majorHAnsi" w:cs="Times New Roman"/>
          <w:sz w:val="24"/>
          <w:szCs w:val="24"/>
        </w:rPr>
        <w:t>oldova</w:t>
      </w:r>
      <w:r w:rsidRPr="005E3BE8">
        <w:rPr>
          <w:rFonts w:asciiTheme="majorHAnsi" w:eastAsiaTheme="minorEastAsia" w:hAnsiTheme="majorHAnsi" w:cs="Times New Roman"/>
          <w:sz w:val="24"/>
          <w:szCs w:val="24"/>
        </w:rPr>
        <w:t xml:space="preserve"> și U</w:t>
      </w:r>
      <w:r w:rsidR="00E04E1E" w:rsidRPr="009F5847">
        <w:rPr>
          <w:rFonts w:asciiTheme="majorHAnsi" w:eastAsiaTheme="minorEastAsia" w:hAnsiTheme="majorHAnsi" w:cs="Times New Roman"/>
          <w:sz w:val="24"/>
          <w:szCs w:val="24"/>
        </w:rPr>
        <w:t xml:space="preserve">niunea </w:t>
      </w:r>
      <w:r w:rsidRPr="005E3BE8">
        <w:rPr>
          <w:rFonts w:asciiTheme="majorHAnsi" w:eastAsiaTheme="minorEastAsia" w:hAnsiTheme="majorHAnsi" w:cs="Times New Roman"/>
          <w:sz w:val="24"/>
          <w:szCs w:val="24"/>
        </w:rPr>
        <w:t>E</w:t>
      </w:r>
      <w:r w:rsidR="00E04E1E" w:rsidRPr="005E3BE8">
        <w:rPr>
          <w:rFonts w:asciiTheme="majorHAnsi" w:eastAsiaTheme="minorEastAsia" w:hAnsiTheme="majorHAnsi" w:cs="Times New Roman"/>
          <w:sz w:val="24"/>
          <w:szCs w:val="24"/>
        </w:rPr>
        <w:t>uropeană</w:t>
      </w:r>
      <w:r w:rsidR="00E04E1E">
        <w:rPr>
          <w:rFonts w:asciiTheme="majorHAnsi" w:eastAsiaTheme="minorEastAsia" w:hAnsiTheme="majorHAnsi" w:cs="Times New Roman"/>
          <w:sz w:val="24"/>
          <w:szCs w:val="24"/>
        </w:rPr>
        <w:t xml:space="preserve"> </w:t>
      </w:r>
      <w:r w:rsidR="00FE74F3">
        <w:rPr>
          <w:rFonts w:asciiTheme="majorHAnsi" w:eastAsia="Times New Roman" w:hAnsiTheme="majorHAnsi" w:cstheme="majorHAnsi"/>
          <w:sz w:val="24"/>
          <w:szCs w:val="24"/>
        </w:rPr>
        <w:t>(pct. 4</w:t>
      </w:r>
      <w:r w:rsidR="00FE74F3" w:rsidRPr="00CB5F81">
        <w:rPr>
          <w:rFonts w:asciiTheme="majorHAnsi" w:eastAsia="Times New Roman" w:hAnsiTheme="majorHAnsi" w:cstheme="majorHAnsi"/>
          <w:sz w:val="24"/>
          <w:szCs w:val="24"/>
        </w:rPr>
        <w:t>.</w:t>
      </w:r>
      <w:r w:rsidR="00FE74F3">
        <w:rPr>
          <w:rFonts w:asciiTheme="majorHAnsi" w:eastAsia="Times New Roman" w:hAnsiTheme="majorHAnsi" w:cstheme="majorHAnsi"/>
          <w:sz w:val="24"/>
          <w:szCs w:val="24"/>
        </w:rPr>
        <w:t>2.6.)</w:t>
      </w:r>
      <w:r w:rsidRPr="00CB5F81">
        <w:rPr>
          <w:rFonts w:asciiTheme="majorHAnsi" w:eastAsiaTheme="minorEastAsia" w:hAnsiTheme="majorHAnsi" w:cs="Times New Roman"/>
          <w:sz w:val="24"/>
          <w:szCs w:val="24"/>
        </w:rPr>
        <w:t>.</w:t>
      </w:r>
      <w:r w:rsidR="00EC1EAF">
        <w:rPr>
          <w:rFonts w:asciiTheme="majorHAnsi" w:eastAsiaTheme="minorEastAsia" w:hAnsiTheme="majorHAnsi" w:cs="Times New Roman"/>
          <w:sz w:val="24"/>
          <w:szCs w:val="24"/>
        </w:rPr>
        <w:t xml:space="preserve"> </w:t>
      </w:r>
    </w:p>
    <w:p w:rsidR="00415FB2" w:rsidRPr="00CB5F81" w:rsidRDefault="00415FB2" w:rsidP="00415FB2">
      <w:pPr>
        <w:jc w:val="both"/>
        <w:rPr>
          <w:rFonts w:asciiTheme="majorHAnsi" w:eastAsia="Times New Roman" w:hAnsiTheme="majorHAnsi" w:cstheme="majorHAnsi"/>
          <w:i/>
          <w:color w:val="1F4E79" w:themeColor="accent1" w:themeShade="80"/>
          <w:sz w:val="24"/>
          <w:szCs w:val="24"/>
        </w:rPr>
      </w:pPr>
      <w:r w:rsidRPr="00CB5F81">
        <w:rPr>
          <w:rFonts w:asciiTheme="majorHAnsi" w:eastAsia="Times New Roman" w:hAnsiTheme="majorHAnsi" w:cstheme="majorHAnsi"/>
          <w:i/>
          <w:color w:val="1F4E79" w:themeColor="accent1" w:themeShade="80"/>
          <w:sz w:val="24"/>
          <w:szCs w:val="24"/>
        </w:rPr>
        <w:t>Privind neregulile constatate la scutirea</w:t>
      </w:r>
      <w:r w:rsidR="00EC1EAF">
        <w:rPr>
          <w:rFonts w:asciiTheme="majorHAnsi" w:eastAsia="Times New Roman" w:hAnsiTheme="majorHAnsi" w:cstheme="majorHAnsi"/>
          <w:i/>
          <w:color w:val="1F4E79" w:themeColor="accent1" w:themeShade="80"/>
          <w:sz w:val="24"/>
          <w:szCs w:val="24"/>
        </w:rPr>
        <w:t xml:space="preserve"> </w:t>
      </w:r>
      <w:r w:rsidRPr="00CB5F81">
        <w:rPr>
          <w:rFonts w:asciiTheme="majorHAnsi" w:eastAsia="Times New Roman" w:hAnsiTheme="majorHAnsi" w:cstheme="majorHAnsi"/>
          <w:i/>
          <w:color w:val="1F4E79" w:themeColor="accent1" w:themeShade="80"/>
          <w:sz w:val="24"/>
          <w:szCs w:val="24"/>
        </w:rPr>
        <w:t>de</w:t>
      </w:r>
      <w:r w:rsidR="00EC1EAF">
        <w:rPr>
          <w:rFonts w:asciiTheme="majorHAnsi" w:eastAsia="Times New Roman" w:hAnsiTheme="majorHAnsi" w:cstheme="majorHAnsi"/>
          <w:i/>
          <w:color w:val="1F4E79" w:themeColor="accent1" w:themeShade="80"/>
          <w:sz w:val="24"/>
          <w:szCs w:val="24"/>
        </w:rPr>
        <w:t xml:space="preserve"> </w:t>
      </w:r>
      <w:r w:rsidRPr="00CB5F81">
        <w:rPr>
          <w:rFonts w:asciiTheme="majorHAnsi" w:eastAsia="Times New Roman" w:hAnsiTheme="majorHAnsi" w:cstheme="majorHAnsi"/>
          <w:i/>
          <w:color w:val="1F4E79" w:themeColor="accent1" w:themeShade="80"/>
          <w:sz w:val="24"/>
          <w:szCs w:val="24"/>
        </w:rPr>
        <w:t>plata accizelor la alcoolul etilic nedenaturat</w:t>
      </w:r>
      <w:r w:rsidR="00EC2A98">
        <w:rPr>
          <w:rFonts w:asciiTheme="majorHAnsi" w:eastAsia="Times New Roman" w:hAnsiTheme="majorHAnsi" w:cstheme="majorHAnsi"/>
          <w:i/>
          <w:color w:val="1F4E79" w:themeColor="accent1" w:themeShade="80"/>
          <w:sz w:val="24"/>
          <w:szCs w:val="24"/>
        </w:rPr>
        <w:t xml:space="preserve"> </w:t>
      </w:r>
      <w:r w:rsidR="00FE74F3">
        <w:rPr>
          <w:rFonts w:asciiTheme="majorHAnsi" w:eastAsia="Times New Roman" w:hAnsiTheme="majorHAnsi" w:cstheme="majorHAnsi"/>
          <w:i/>
          <w:color w:val="1F4E79" w:themeColor="accent1" w:themeShade="80"/>
          <w:sz w:val="24"/>
          <w:szCs w:val="24"/>
        </w:rPr>
        <w:t xml:space="preserve"> </w:t>
      </w:r>
      <w:r w:rsidR="00EC1EAF">
        <w:rPr>
          <w:rFonts w:asciiTheme="majorHAnsi" w:eastAsia="Times New Roman" w:hAnsiTheme="majorHAnsi" w:cstheme="majorHAnsi"/>
          <w:i/>
          <w:color w:val="1F4E79" w:themeColor="accent1" w:themeShade="80"/>
          <w:sz w:val="24"/>
          <w:szCs w:val="24"/>
        </w:rPr>
        <w:t xml:space="preserve"> </w:t>
      </w:r>
    </w:p>
    <w:p w:rsidR="00415FB2" w:rsidRPr="00CB5F81" w:rsidRDefault="00260325" w:rsidP="00415FB2">
      <w:pPr>
        <w:numPr>
          <w:ilvl w:val="0"/>
          <w:numId w:val="28"/>
        </w:numPr>
        <w:tabs>
          <w:tab w:val="left" w:pos="360"/>
        </w:tabs>
        <w:spacing w:after="12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MF</w:t>
      </w:r>
      <w:r>
        <w:rPr>
          <w:rFonts w:asciiTheme="majorHAnsi" w:eastAsia="Times New Roman" w:hAnsiTheme="majorHAnsi" w:cstheme="majorHAnsi"/>
          <w:sz w:val="24"/>
          <w:szCs w:val="24"/>
        </w:rPr>
        <w:t>, d</w:t>
      </w:r>
      <w:r w:rsidR="00415FB2" w:rsidRPr="00CB5F81">
        <w:rPr>
          <w:rFonts w:asciiTheme="majorHAnsi" w:eastAsia="Times New Roman" w:hAnsiTheme="majorHAnsi" w:cstheme="majorHAnsi"/>
          <w:sz w:val="24"/>
          <w:szCs w:val="24"/>
        </w:rPr>
        <w:t xml:space="preserve">eși a fost informat de către MAIA despre ineficiența scutirii de plata accizelor la alcoolul etilic nedenaturat, utilizat de agenții economici la fabricarea </w:t>
      </w:r>
      <w:r w:rsidR="00415FB2" w:rsidRPr="00CB5F81">
        <w:rPr>
          <w:rFonts w:asciiTheme="majorHAnsi" w:hAnsiTheme="majorHAnsi" w:cstheme="majorHAnsi"/>
          <w:sz w:val="24"/>
          <w:szCs w:val="24"/>
          <w:lang w:eastAsia="ro-RO" w:bidi="ro-RO"/>
        </w:rPr>
        <w:t>produselor de parfumerie și cosmetică</w:t>
      </w:r>
      <w:r w:rsidR="00415FB2" w:rsidRPr="00CB5F81">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r w:rsidR="00415FB2" w:rsidRPr="00CB5F81">
        <w:rPr>
          <w:rFonts w:asciiTheme="majorHAnsi" w:eastAsia="Times New Roman" w:hAnsiTheme="majorHAnsi" w:cstheme="majorHAnsi"/>
          <w:sz w:val="24"/>
          <w:szCs w:val="24"/>
        </w:rPr>
        <w:t>nu a intervenit și nu a analizat aspectele acordării acestei facilități,</w:t>
      </w:r>
      <w:r w:rsidR="00EC1EAF">
        <w:rPr>
          <w:rFonts w:asciiTheme="majorHAnsi" w:eastAsia="Times New Roman" w:hAnsiTheme="majorHAnsi" w:cstheme="majorHAnsi"/>
          <w:sz w:val="24"/>
          <w:szCs w:val="24"/>
        </w:rPr>
        <w:t xml:space="preserve"> </w:t>
      </w:r>
      <w:r w:rsidR="00415FB2" w:rsidRPr="00CB5F81">
        <w:rPr>
          <w:rFonts w:asciiTheme="majorHAnsi" w:eastAsia="Times New Roman" w:hAnsiTheme="majorHAnsi" w:cstheme="majorHAnsi"/>
          <w:sz w:val="24"/>
          <w:szCs w:val="24"/>
        </w:rPr>
        <w:t>instituită încă în anul 2002. De fapt, această scutire se aplică pe parcursul a douăzeci de ani în lipsa unui document de politici/strategi</w:t>
      </w:r>
      <w:r>
        <w:rPr>
          <w:rFonts w:asciiTheme="majorHAnsi" w:eastAsia="Times New Roman" w:hAnsiTheme="majorHAnsi" w:cstheme="majorHAnsi"/>
          <w:sz w:val="24"/>
          <w:szCs w:val="24"/>
        </w:rPr>
        <w:t>i</w:t>
      </w:r>
      <w:r w:rsidR="00415FB2" w:rsidRPr="00CB5F81">
        <w:rPr>
          <w:rFonts w:asciiTheme="majorHAnsi" w:eastAsia="Times New Roman" w:hAnsiTheme="majorHAnsi" w:cstheme="majorHAnsi"/>
          <w:sz w:val="24"/>
          <w:szCs w:val="24"/>
        </w:rPr>
        <w:t xml:space="preserve"> care să prevadă dezvoltarea industriei de parfumerie și cosmetică din țară și impactul facilității asupra procesului de r</w:t>
      </w:r>
      <w:r w:rsidR="00FE74F3">
        <w:rPr>
          <w:rFonts w:asciiTheme="majorHAnsi" w:eastAsia="Times New Roman" w:hAnsiTheme="majorHAnsi" w:cstheme="majorHAnsi"/>
          <w:sz w:val="24"/>
          <w:szCs w:val="24"/>
        </w:rPr>
        <w:t>eproducție în ramura respectivă</w:t>
      </w:r>
      <w:r w:rsidR="00EC2A98">
        <w:rPr>
          <w:rFonts w:asciiTheme="majorHAnsi" w:eastAsia="Times New Roman" w:hAnsiTheme="majorHAnsi" w:cstheme="majorHAnsi"/>
          <w:sz w:val="24"/>
          <w:szCs w:val="24"/>
        </w:rPr>
        <w:t xml:space="preserve"> (pct.4.2.3.)</w:t>
      </w:r>
      <w:r w:rsidR="00FE74F3">
        <w:rPr>
          <w:rFonts w:asciiTheme="majorHAnsi" w:eastAsia="Times New Roman" w:hAnsiTheme="majorHAnsi" w:cstheme="majorHAnsi"/>
          <w:sz w:val="24"/>
          <w:szCs w:val="24"/>
        </w:rPr>
        <w:t>;</w:t>
      </w:r>
    </w:p>
    <w:p w:rsidR="00415FB2" w:rsidRPr="00CB5F81" w:rsidRDefault="00415FB2" w:rsidP="00FE74F3">
      <w:pPr>
        <w:numPr>
          <w:ilvl w:val="0"/>
          <w:numId w:val="28"/>
        </w:numPr>
        <w:tabs>
          <w:tab w:val="left" w:pos="360"/>
          <w:tab w:val="left" w:pos="450"/>
        </w:tabs>
        <w:spacing w:after="120" w:line="240" w:lineRule="auto"/>
        <w:jc w:val="both"/>
        <w:rPr>
          <w:rFonts w:asciiTheme="majorHAnsi" w:eastAsiaTheme="minorEastAsia" w:hAnsiTheme="majorHAnsi" w:cstheme="majorHAnsi"/>
          <w:sz w:val="24"/>
          <w:szCs w:val="24"/>
        </w:rPr>
      </w:pPr>
      <w:r w:rsidRPr="00CB5F81">
        <w:rPr>
          <w:rFonts w:asciiTheme="majorHAnsi" w:eastAsia="Times New Roman" w:hAnsiTheme="majorHAnsi" w:cstheme="majorHAnsi"/>
          <w:sz w:val="24"/>
          <w:szCs w:val="24"/>
        </w:rPr>
        <w:t xml:space="preserve">Cunoscând și raportând </w:t>
      </w:r>
      <w:r w:rsidRPr="00CB5F81">
        <w:rPr>
          <w:rFonts w:asciiTheme="majorHAnsi" w:hAnsiTheme="majorHAnsi" w:cstheme="majorHAnsi"/>
          <w:sz w:val="24"/>
          <w:szCs w:val="24"/>
          <w:lang w:eastAsia="ro-RO" w:bidi="ro-RO"/>
        </w:rPr>
        <w:t>vulnerabilitățile procesului de acordare a scutirilor de plata accizelor la alcoolul etilic nedenaturat, MAIA</w:t>
      </w:r>
      <w:r w:rsidR="00EC1EAF">
        <w:rPr>
          <w:rFonts w:asciiTheme="majorHAnsi" w:hAnsiTheme="majorHAnsi" w:cstheme="majorHAnsi"/>
          <w:sz w:val="24"/>
          <w:szCs w:val="24"/>
          <w:lang w:eastAsia="ro-RO" w:bidi="ro-RO"/>
        </w:rPr>
        <w:t xml:space="preserve"> </w:t>
      </w:r>
      <w:r w:rsidRPr="00CB5F81">
        <w:rPr>
          <w:rFonts w:asciiTheme="majorHAnsi" w:hAnsiTheme="majorHAnsi" w:cstheme="majorHAnsi"/>
          <w:sz w:val="24"/>
          <w:szCs w:val="24"/>
          <w:lang w:eastAsia="ro-RO" w:bidi="ro-RO"/>
        </w:rPr>
        <w:t>nu a fost responsabil în aspectul</w:t>
      </w:r>
      <w:r w:rsidR="00EC1EAF">
        <w:rPr>
          <w:rFonts w:asciiTheme="majorHAnsi" w:hAnsiTheme="majorHAnsi" w:cstheme="majorHAnsi"/>
          <w:sz w:val="24"/>
          <w:szCs w:val="24"/>
          <w:lang w:eastAsia="ro-RO" w:bidi="ro-RO"/>
        </w:rPr>
        <w:t xml:space="preserve"> </w:t>
      </w:r>
      <w:r w:rsidRPr="00CB5F81">
        <w:rPr>
          <w:rFonts w:asciiTheme="majorHAnsi" w:hAnsiTheme="majorHAnsi" w:cstheme="majorHAnsi"/>
          <w:sz w:val="24"/>
          <w:szCs w:val="24"/>
          <w:lang w:eastAsia="ro-RO" w:bidi="ro-RO"/>
        </w:rPr>
        <w:t>instituirii unui proces</w:t>
      </w:r>
      <w:r w:rsidR="00EC1EAF">
        <w:rPr>
          <w:rFonts w:asciiTheme="majorHAnsi" w:hAnsiTheme="majorHAnsi" w:cstheme="majorHAnsi"/>
          <w:sz w:val="24"/>
          <w:szCs w:val="24"/>
          <w:lang w:eastAsia="ro-RO" w:bidi="ro-RO"/>
        </w:rPr>
        <w:t xml:space="preserve"> </w:t>
      </w:r>
      <w:r w:rsidRPr="00CB5F81">
        <w:rPr>
          <w:rFonts w:asciiTheme="majorHAnsi" w:hAnsiTheme="majorHAnsi" w:cstheme="majorHAnsi"/>
          <w:sz w:val="24"/>
          <w:szCs w:val="24"/>
          <w:lang w:eastAsia="ro-RO" w:bidi="ro-RO"/>
        </w:rPr>
        <w:t xml:space="preserve">intern și conform </w:t>
      </w:r>
      <w:r w:rsidRPr="00CB5F81">
        <w:rPr>
          <w:rFonts w:asciiTheme="majorHAnsi" w:hAnsiTheme="majorHAnsi" w:cstheme="majorHAnsi"/>
          <w:iCs/>
          <w:sz w:val="24"/>
          <w:szCs w:val="24"/>
          <w:lang w:eastAsia="ro-RO" w:bidi="ro-RO"/>
        </w:rPr>
        <w:t xml:space="preserve">pentru stabilirea volumului anual de alcool etilic nedenaturat, destinat utilizării în industria de parfumerie și cosmetică, pentru a diminua riscul de comitere a diferitor abuzuri din partea agenților economici solicitanți ai scutirilor. În aceste condiții, în anii </w:t>
      </w:r>
      <w:r w:rsidRPr="00CB5F81">
        <w:rPr>
          <w:rFonts w:asciiTheme="majorHAnsi" w:eastAsia="Times New Roman" w:hAnsiTheme="majorHAnsi" w:cstheme="majorHAnsi"/>
          <w:sz w:val="24"/>
          <w:szCs w:val="24"/>
        </w:rPr>
        <w:t>2020-2021, au fost acordate scutiri de plata accizelor</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în valoare de 896,1 mil. lei.</w:t>
      </w:r>
      <w:r w:rsidRPr="00CB5F81">
        <w:rPr>
          <w:rFonts w:asciiTheme="majorHAnsi" w:hAnsiTheme="majorHAnsi" w:cstheme="majorHAnsi"/>
          <w:iCs/>
          <w:sz w:val="24"/>
          <w:szCs w:val="24"/>
          <w:lang w:eastAsia="ro-RO" w:bidi="ro-RO"/>
        </w:rPr>
        <w:t xml:space="preserve"> </w:t>
      </w:r>
      <w:r w:rsidR="00260325">
        <w:rPr>
          <w:rFonts w:asciiTheme="majorHAnsi" w:hAnsiTheme="majorHAnsi" w:cstheme="majorHAnsi"/>
          <w:iCs/>
          <w:sz w:val="24"/>
          <w:szCs w:val="24"/>
          <w:lang w:eastAsia="ro-RO" w:bidi="ro-RO"/>
        </w:rPr>
        <w:t>Abia</w:t>
      </w:r>
      <w:r w:rsidRPr="00CB5F81">
        <w:rPr>
          <w:rFonts w:asciiTheme="majorHAnsi" w:hAnsiTheme="majorHAnsi" w:cstheme="majorHAnsi"/>
          <w:iCs/>
          <w:sz w:val="24"/>
          <w:szCs w:val="24"/>
          <w:lang w:eastAsia="ro-RO" w:bidi="ro-RO"/>
        </w:rPr>
        <w:t xml:space="preserve"> în trimestrul IV al anului 2021, în acest sens a fost elaborat un document intern, care prevede</w:t>
      </w:r>
      <w:r w:rsidR="00EC1EAF">
        <w:rPr>
          <w:rFonts w:asciiTheme="majorHAnsi" w:hAnsiTheme="majorHAnsi" w:cstheme="majorHAnsi"/>
          <w:iCs/>
          <w:sz w:val="24"/>
          <w:szCs w:val="24"/>
          <w:lang w:eastAsia="ro-RO" w:bidi="ro-RO"/>
        </w:rPr>
        <w:t xml:space="preserve"> </w:t>
      </w:r>
      <w:r w:rsidRPr="00CB5F81">
        <w:rPr>
          <w:rFonts w:asciiTheme="majorHAnsi" w:hAnsiTheme="majorHAnsi" w:cstheme="majorHAnsi"/>
          <w:iCs/>
          <w:sz w:val="24"/>
          <w:szCs w:val="24"/>
          <w:lang w:eastAsia="ro-RO" w:bidi="ro-RO"/>
        </w:rPr>
        <w:t>procedura de stabilire a cuantumului de alcool etilic scutit de plata</w:t>
      </w:r>
      <w:r w:rsidR="00EC1EAF">
        <w:rPr>
          <w:rFonts w:asciiTheme="majorHAnsi" w:hAnsiTheme="majorHAnsi" w:cstheme="majorHAnsi"/>
          <w:iCs/>
          <w:sz w:val="24"/>
          <w:szCs w:val="24"/>
          <w:lang w:eastAsia="ro-RO" w:bidi="ro-RO"/>
        </w:rPr>
        <w:t xml:space="preserve"> </w:t>
      </w:r>
      <w:r w:rsidR="00FE74F3">
        <w:rPr>
          <w:rFonts w:asciiTheme="majorHAnsi" w:hAnsiTheme="majorHAnsi" w:cstheme="majorHAnsi"/>
          <w:iCs/>
          <w:sz w:val="24"/>
          <w:szCs w:val="24"/>
          <w:lang w:eastAsia="ro-RO" w:bidi="ro-RO"/>
        </w:rPr>
        <w:t>accizelor</w:t>
      </w:r>
      <w:r w:rsidR="00260325">
        <w:rPr>
          <w:rFonts w:asciiTheme="majorHAnsi" w:hAnsiTheme="majorHAnsi" w:cstheme="majorHAnsi"/>
          <w:iCs/>
          <w:sz w:val="24"/>
          <w:szCs w:val="24"/>
          <w:lang w:eastAsia="ro-RO" w:bidi="ro-RO"/>
        </w:rPr>
        <w:t xml:space="preserve"> </w:t>
      </w:r>
      <w:r w:rsidR="00EC2A98">
        <w:rPr>
          <w:rFonts w:asciiTheme="majorHAnsi" w:eastAsia="Times New Roman" w:hAnsiTheme="majorHAnsi" w:cstheme="majorHAnsi"/>
          <w:sz w:val="24"/>
          <w:szCs w:val="24"/>
        </w:rPr>
        <w:t>(pct. 4.2.3.);</w:t>
      </w:r>
    </w:p>
    <w:p w:rsidR="00415FB2" w:rsidRPr="00CB5F81" w:rsidRDefault="00415FB2" w:rsidP="00415FB2">
      <w:pPr>
        <w:numPr>
          <w:ilvl w:val="0"/>
          <w:numId w:val="28"/>
        </w:numPr>
        <w:tabs>
          <w:tab w:val="left" w:pos="360"/>
          <w:tab w:val="left" w:pos="450"/>
        </w:tabs>
        <w:spacing w:after="120" w:line="240" w:lineRule="auto"/>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Existența slăbiciunilor în procesul gestionat de MAIA și lipsa de prudență din partea resp</w:t>
      </w:r>
      <w:r w:rsidR="008E6CE7">
        <w:rPr>
          <w:rFonts w:asciiTheme="majorHAnsi" w:eastAsia="Times New Roman" w:hAnsiTheme="majorHAnsi" w:cstheme="majorHAnsi"/>
          <w:sz w:val="24"/>
          <w:szCs w:val="24"/>
        </w:rPr>
        <w:t>onsabililor din cadrul Comisiei specializate</w:t>
      </w:r>
      <w:r w:rsidRPr="00CB5F81">
        <w:rPr>
          <w:rFonts w:asciiTheme="majorHAnsi" w:eastAsia="Times New Roman" w:hAnsiTheme="majorHAnsi" w:cstheme="majorHAnsi"/>
          <w:sz w:val="24"/>
          <w:szCs w:val="24"/>
        </w:rPr>
        <w:t xml:space="preserve"> au permis acordarea scutirilor de plata accizelor unor solicitanți care au argumentat necesitatea</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 xml:space="preserve">de alcool </w:t>
      </w:r>
      <w:r w:rsidRPr="00303FD0">
        <w:rPr>
          <w:rFonts w:asciiTheme="majorHAnsi" w:eastAsia="Times New Roman" w:hAnsiTheme="majorHAnsi" w:cstheme="majorHAnsi"/>
          <w:sz w:val="24"/>
          <w:szCs w:val="24"/>
        </w:rPr>
        <w:t xml:space="preserve">etilic </w:t>
      </w:r>
      <w:r w:rsidR="006F6EDF" w:rsidRPr="00303FD0">
        <w:rPr>
          <w:rFonts w:asciiTheme="majorHAnsi" w:eastAsia="Times New Roman" w:hAnsiTheme="majorHAnsi" w:cstheme="majorHAnsi"/>
          <w:sz w:val="24"/>
          <w:szCs w:val="24"/>
        </w:rPr>
        <w:t xml:space="preserve">ca fiind </w:t>
      </w:r>
      <w:r w:rsidRPr="00705DD0">
        <w:rPr>
          <w:rFonts w:asciiTheme="majorHAnsi" w:eastAsia="Times New Roman" w:hAnsiTheme="majorHAnsi" w:cstheme="majorHAnsi"/>
          <w:sz w:val="24"/>
          <w:szCs w:val="24"/>
        </w:rPr>
        <w:t>pentru fabricarea</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 xml:space="preserve">produselor de curățire a geamurilor, ceramicii, aragazelor </w:t>
      </w:r>
      <w:r w:rsidR="006F6EDF">
        <w:rPr>
          <w:rFonts w:asciiTheme="majorHAnsi" w:eastAsia="Times New Roman" w:hAnsiTheme="majorHAnsi" w:cstheme="majorHAnsi"/>
          <w:sz w:val="24"/>
          <w:szCs w:val="24"/>
        </w:rPr>
        <w:t>etc.</w:t>
      </w:r>
      <w:r w:rsidRPr="00CB5F81">
        <w:rPr>
          <w:rFonts w:asciiTheme="majorHAnsi" w:eastAsia="Times New Roman" w:hAnsiTheme="majorHAnsi" w:cstheme="majorHAnsi"/>
          <w:sz w:val="24"/>
          <w:szCs w:val="24"/>
        </w:rPr>
        <w:t xml:space="preserve">, care nicidecum nu fac parte din categoria </w:t>
      </w:r>
      <w:r w:rsidR="006F6EDF">
        <w:rPr>
          <w:rFonts w:asciiTheme="majorHAnsi" w:eastAsia="Times New Roman" w:hAnsiTheme="majorHAnsi" w:cstheme="majorHAnsi"/>
          <w:sz w:val="24"/>
          <w:szCs w:val="24"/>
        </w:rPr>
        <w:t>produselor</w:t>
      </w:r>
      <w:r w:rsidR="00FE74F3">
        <w:rPr>
          <w:rFonts w:asciiTheme="majorHAnsi" w:eastAsia="Times New Roman" w:hAnsiTheme="majorHAnsi" w:cstheme="majorHAnsi"/>
          <w:sz w:val="24"/>
          <w:szCs w:val="24"/>
        </w:rPr>
        <w:t xml:space="preserve"> cosmetice și de parfumerie</w:t>
      </w:r>
      <w:r w:rsidR="00EC2A98">
        <w:rPr>
          <w:rFonts w:asciiTheme="majorHAnsi" w:eastAsia="Times New Roman" w:hAnsiTheme="majorHAnsi" w:cstheme="majorHAnsi"/>
          <w:sz w:val="24"/>
          <w:szCs w:val="24"/>
        </w:rPr>
        <w:t xml:space="preserve"> (pct.4.2.3.)</w:t>
      </w:r>
      <w:r w:rsidR="00FE74F3">
        <w:rPr>
          <w:rFonts w:asciiTheme="majorHAnsi" w:eastAsia="Times New Roman" w:hAnsiTheme="majorHAnsi" w:cstheme="majorHAnsi"/>
          <w:sz w:val="24"/>
          <w:szCs w:val="24"/>
        </w:rPr>
        <w:t>;</w:t>
      </w:r>
    </w:p>
    <w:p w:rsidR="00415FB2" w:rsidRPr="00CB5F81" w:rsidRDefault="00415FB2" w:rsidP="00415FB2">
      <w:pPr>
        <w:numPr>
          <w:ilvl w:val="0"/>
          <w:numId w:val="28"/>
        </w:numPr>
        <w:tabs>
          <w:tab w:val="left" w:pos="360"/>
        </w:tabs>
        <w:spacing w:after="120" w:line="240" w:lineRule="auto"/>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În pofida faptului că Codul fiscal prevede că MAIA</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coordonează cu SFS scutirea de plata accizelor, SFS</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 xml:space="preserve">nu a avut instituit un proces intern vizavi de această responsabilitate , fapt care a permis examinarea superficială a demersurilor MAIA, </w:t>
      </w:r>
      <w:r w:rsidR="006F6EDF">
        <w:rPr>
          <w:rFonts w:asciiTheme="majorHAnsi" w:eastAsia="Times New Roman" w:hAnsiTheme="majorHAnsi" w:cstheme="majorHAnsi"/>
          <w:sz w:val="24"/>
          <w:szCs w:val="24"/>
        </w:rPr>
        <w:t xml:space="preserve">fiind </w:t>
      </w:r>
      <w:r w:rsidRPr="00CB5F81">
        <w:rPr>
          <w:rFonts w:asciiTheme="majorHAnsi" w:eastAsia="Times New Roman" w:hAnsiTheme="majorHAnsi" w:cstheme="majorHAnsi"/>
          <w:sz w:val="24"/>
          <w:szCs w:val="24"/>
        </w:rPr>
        <w:t>afectat</w:t>
      </w:r>
      <w:r w:rsidR="006F6EDF">
        <w:rPr>
          <w:rFonts w:asciiTheme="majorHAnsi" w:eastAsia="Times New Roman" w:hAnsiTheme="majorHAnsi" w:cstheme="majorHAnsi"/>
          <w:sz w:val="24"/>
          <w:szCs w:val="24"/>
        </w:rPr>
        <w:t>ă</w:t>
      </w:r>
      <w:r w:rsidRPr="00CB5F81">
        <w:rPr>
          <w:rFonts w:asciiTheme="majorHAnsi" w:eastAsia="Times New Roman" w:hAnsiTheme="majorHAnsi" w:cstheme="majorHAnsi"/>
          <w:sz w:val="24"/>
          <w:szCs w:val="24"/>
        </w:rPr>
        <w:t xml:space="preserve"> corectitudinea acordării facilității respective. Se accentuează necoordonarea de către SFS a scutirilor în valoare de 466,1 mil.</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lei,</w:t>
      </w:r>
      <w:r w:rsidR="00EC1EAF">
        <w:rPr>
          <w:rFonts w:asciiTheme="majorHAnsi" w:eastAsia="Times New Roman" w:hAnsiTheme="majorHAnsi" w:cstheme="majorHAnsi"/>
          <w:sz w:val="24"/>
          <w:szCs w:val="24"/>
        </w:rPr>
        <w:t xml:space="preserve"> </w:t>
      </w:r>
      <w:r w:rsidR="006F6EDF">
        <w:rPr>
          <w:rFonts w:asciiTheme="majorHAnsi" w:eastAsia="Times New Roman" w:hAnsiTheme="majorHAnsi" w:cstheme="majorHAnsi"/>
          <w:sz w:val="24"/>
          <w:szCs w:val="24"/>
        </w:rPr>
        <w:t xml:space="preserve">ca </w:t>
      </w:r>
      <w:r w:rsidRPr="00CB5F81">
        <w:rPr>
          <w:rFonts w:asciiTheme="majorHAnsi" w:eastAsia="Times New Roman" w:hAnsiTheme="majorHAnsi" w:cstheme="majorHAnsi"/>
          <w:sz w:val="24"/>
          <w:szCs w:val="24"/>
        </w:rPr>
        <w:t xml:space="preserve">urmare a disfuncționalităților </w:t>
      </w:r>
      <w:r w:rsidR="00FE74F3">
        <w:rPr>
          <w:rFonts w:asciiTheme="majorHAnsi" w:eastAsia="Times New Roman" w:hAnsiTheme="majorHAnsi" w:cstheme="majorHAnsi"/>
          <w:sz w:val="24"/>
          <w:szCs w:val="24"/>
        </w:rPr>
        <w:t xml:space="preserve">de comunicare între MAIA </w:t>
      </w:r>
      <w:r w:rsidR="006F6EDF">
        <w:rPr>
          <w:rFonts w:asciiTheme="majorHAnsi" w:eastAsia="Times New Roman" w:hAnsiTheme="majorHAnsi" w:cstheme="majorHAnsi"/>
          <w:sz w:val="24"/>
          <w:szCs w:val="24"/>
        </w:rPr>
        <w:t>și</w:t>
      </w:r>
      <w:r w:rsidR="00FE74F3">
        <w:rPr>
          <w:rFonts w:asciiTheme="majorHAnsi" w:eastAsia="Times New Roman" w:hAnsiTheme="majorHAnsi" w:cstheme="majorHAnsi"/>
          <w:sz w:val="24"/>
          <w:szCs w:val="24"/>
        </w:rPr>
        <w:t xml:space="preserve"> SFS</w:t>
      </w:r>
      <w:r w:rsidR="00EC2A98">
        <w:rPr>
          <w:rFonts w:asciiTheme="majorHAnsi" w:eastAsia="Times New Roman" w:hAnsiTheme="majorHAnsi" w:cstheme="majorHAnsi"/>
          <w:sz w:val="24"/>
          <w:szCs w:val="24"/>
        </w:rPr>
        <w:t xml:space="preserve"> (pct.4.2.3.)</w:t>
      </w:r>
      <w:r w:rsidR="00FE74F3">
        <w:rPr>
          <w:rFonts w:asciiTheme="majorHAnsi" w:eastAsia="Times New Roman" w:hAnsiTheme="majorHAnsi" w:cstheme="majorHAnsi"/>
          <w:sz w:val="24"/>
          <w:szCs w:val="24"/>
        </w:rPr>
        <w:t>;</w:t>
      </w:r>
    </w:p>
    <w:p w:rsidR="00415FB2" w:rsidRPr="00CB5F81" w:rsidRDefault="00415FB2" w:rsidP="00415FB2">
      <w:pPr>
        <w:numPr>
          <w:ilvl w:val="0"/>
          <w:numId w:val="28"/>
        </w:numPr>
        <w:tabs>
          <w:tab w:val="left" w:pos="360"/>
        </w:tabs>
        <w:spacing w:after="120" w:line="240" w:lineRule="auto"/>
        <w:jc w:val="both"/>
        <w:rPr>
          <w:rFonts w:asciiTheme="majorHAnsi" w:eastAsia="Times New Roman" w:hAnsiTheme="majorHAnsi" w:cstheme="majorHAnsi"/>
          <w:color w:val="000000"/>
          <w:sz w:val="24"/>
          <w:szCs w:val="24"/>
        </w:rPr>
      </w:pPr>
      <w:r w:rsidRPr="00CB5F81">
        <w:rPr>
          <w:rFonts w:asciiTheme="majorHAnsi" w:eastAsia="Times New Roman" w:hAnsiTheme="majorHAnsi" w:cstheme="majorHAnsi"/>
          <w:sz w:val="24"/>
          <w:szCs w:val="24"/>
        </w:rPr>
        <w:t xml:space="preserve">Lipsa unor procese funcționale în cadrul MAIA și SFS, dar și comunicarea defectuoasă între aceste autorități ale statului au permis scutirea nelegitimă de plata accizelor la alcoolul etilic pentru unii agenți, în </w:t>
      </w:r>
      <w:r w:rsidR="00072885">
        <w:rPr>
          <w:rFonts w:asciiTheme="majorHAnsi" w:eastAsia="Times New Roman" w:hAnsiTheme="majorHAnsi" w:cstheme="majorHAnsi"/>
          <w:sz w:val="24"/>
          <w:szCs w:val="24"/>
        </w:rPr>
        <w:t>sumă</w:t>
      </w:r>
      <w:r w:rsidRPr="00CB5F81">
        <w:rPr>
          <w:rFonts w:asciiTheme="majorHAnsi" w:eastAsia="Times New Roman" w:hAnsiTheme="majorHAnsi" w:cstheme="majorHAnsi"/>
          <w:sz w:val="24"/>
          <w:szCs w:val="24"/>
        </w:rPr>
        <w:t xml:space="preserve"> de 2,1 mil.lei.</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 xml:space="preserve">Urmează de evidențiat faptul că </w:t>
      </w:r>
      <w:r w:rsidRPr="00CB5F81">
        <w:rPr>
          <w:rFonts w:asciiTheme="majorHAnsi" w:eastAsia="Times New Roman" w:hAnsiTheme="majorHAnsi" w:cstheme="majorHAnsi"/>
          <w:color w:val="000000"/>
          <w:sz w:val="24"/>
          <w:szCs w:val="24"/>
        </w:rPr>
        <w:t>Codul fiscal</w:t>
      </w:r>
      <w:r w:rsidR="009C4B94">
        <w:rPr>
          <w:rFonts w:asciiTheme="majorHAnsi" w:eastAsia="Times New Roman" w:hAnsiTheme="majorHAnsi" w:cstheme="majorHAnsi"/>
          <w:color w:val="000000"/>
          <w:sz w:val="24"/>
          <w:szCs w:val="24"/>
        </w:rPr>
        <w:t xml:space="preserve">, </w:t>
      </w:r>
      <w:r w:rsidR="009C4B94" w:rsidRPr="008E6CE7">
        <w:rPr>
          <w:rFonts w:asciiTheme="majorHAnsi" w:eastAsia="Times New Roman" w:hAnsiTheme="majorHAnsi" w:cstheme="majorHAnsi"/>
          <w:color w:val="000000"/>
          <w:sz w:val="24"/>
          <w:szCs w:val="24"/>
        </w:rPr>
        <w:t>inclusiv cadrul normativ conex</w:t>
      </w:r>
      <w:r w:rsidR="00216A7D" w:rsidRPr="008E6CE7">
        <w:rPr>
          <w:rFonts w:asciiTheme="majorHAnsi" w:eastAsia="Times New Roman" w:hAnsiTheme="majorHAnsi" w:cstheme="majorHAnsi"/>
          <w:color w:val="000000"/>
          <w:sz w:val="24"/>
          <w:szCs w:val="24"/>
        </w:rPr>
        <w:t>,</w:t>
      </w:r>
      <w:r w:rsidR="00EC1EAF" w:rsidRPr="008E6CE7">
        <w:rPr>
          <w:rFonts w:asciiTheme="majorHAnsi" w:eastAsia="Times New Roman" w:hAnsiTheme="majorHAnsi" w:cstheme="majorHAnsi"/>
          <w:color w:val="000000"/>
          <w:sz w:val="24"/>
          <w:szCs w:val="24"/>
        </w:rPr>
        <w:t xml:space="preserve"> </w:t>
      </w:r>
      <w:r w:rsidRPr="008E6CE7">
        <w:rPr>
          <w:rFonts w:asciiTheme="majorHAnsi" w:eastAsia="Times New Roman" w:hAnsiTheme="majorHAnsi" w:cstheme="majorHAnsi"/>
          <w:color w:val="000000"/>
          <w:sz w:val="24"/>
          <w:szCs w:val="24"/>
        </w:rPr>
        <w:t xml:space="preserve">nu </w:t>
      </w:r>
      <w:r w:rsidR="00216A7D" w:rsidRPr="008E6CE7">
        <w:rPr>
          <w:rFonts w:asciiTheme="majorHAnsi" w:eastAsia="Times New Roman" w:hAnsiTheme="majorHAnsi" w:cstheme="majorHAnsi"/>
          <w:color w:val="000000"/>
          <w:sz w:val="24"/>
          <w:szCs w:val="24"/>
        </w:rPr>
        <w:t>conțin</w:t>
      </w:r>
      <w:r w:rsidR="008E6CE7">
        <w:rPr>
          <w:rFonts w:asciiTheme="majorHAnsi" w:eastAsia="Times New Roman" w:hAnsiTheme="majorHAnsi" w:cstheme="majorHAnsi"/>
          <w:color w:val="000000"/>
          <w:sz w:val="24"/>
          <w:szCs w:val="24"/>
        </w:rPr>
        <w:t xml:space="preserve"> </w:t>
      </w:r>
      <w:r w:rsidRPr="00CB5F81">
        <w:rPr>
          <w:rFonts w:asciiTheme="majorHAnsi" w:eastAsia="Times New Roman" w:hAnsiTheme="majorHAnsi" w:cstheme="majorHAnsi"/>
          <w:color w:val="000000"/>
          <w:sz w:val="24"/>
          <w:szCs w:val="24"/>
        </w:rPr>
        <w:t>reglementări aferente responsabilității pentru utilizarea incorectă și contrar destinației a facilității fiscale. Deși exista în acest sens un vid legislativ, SFS nu s-a adresat MF cu propuneri de completare a Codului fiscal, permițându-le unor agenți economici să abuzeze</w:t>
      </w:r>
      <w:r w:rsidR="00FE74F3">
        <w:rPr>
          <w:rFonts w:asciiTheme="majorHAnsi" w:eastAsia="Times New Roman" w:hAnsiTheme="majorHAnsi" w:cstheme="majorHAnsi"/>
          <w:color w:val="000000"/>
          <w:sz w:val="24"/>
          <w:szCs w:val="24"/>
        </w:rPr>
        <w:t xml:space="preserve"> de această facilitate fiscală</w:t>
      </w:r>
      <w:r w:rsidR="00EC2A98">
        <w:rPr>
          <w:rFonts w:asciiTheme="majorHAnsi" w:eastAsia="Times New Roman" w:hAnsiTheme="majorHAnsi" w:cstheme="majorHAnsi"/>
          <w:color w:val="000000"/>
          <w:sz w:val="24"/>
          <w:szCs w:val="24"/>
        </w:rPr>
        <w:t xml:space="preserve"> </w:t>
      </w:r>
      <w:r w:rsidR="00EC2A98">
        <w:rPr>
          <w:rFonts w:asciiTheme="majorHAnsi" w:eastAsia="Times New Roman" w:hAnsiTheme="majorHAnsi" w:cstheme="majorHAnsi"/>
          <w:sz w:val="24"/>
          <w:szCs w:val="24"/>
        </w:rPr>
        <w:t>(pct.4.2.3.)</w:t>
      </w:r>
      <w:r w:rsidR="00FE74F3">
        <w:rPr>
          <w:rFonts w:asciiTheme="majorHAnsi" w:eastAsia="Times New Roman" w:hAnsiTheme="majorHAnsi" w:cstheme="majorHAnsi"/>
          <w:color w:val="000000"/>
          <w:sz w:val="24"/>
          <w:szCs w:val="24"/>
        </w:rPr>
        <w:t>;</w:t>
      </w:r>
    </w:p>
    <w:p w:rsidR="00415FB2" w:rsidRPr="00CB5F81" w:rsidRDefault="00415FB2" w:rsidP="00415FB2">
      <w:pPr>
        <w:numPr>
          <w:ilvl w:val="0"/>
          <w:numId w:val="28"/>
        </w:numPr>
        <w:tabs>
          <w:tab w:val="left" w:pos="360"/>
        </w:tabs>
        <w:spacing w:after="120" w:line="240" w:lineRule="auto"/>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 Se menționează și faptul că autoritățile statului, prin nestabilirea unor reguli rigide la acordarea</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scutirii de plata accizelor, au admis</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situații dezavantajoase pentru bugetul statului, fiind acceptate pentru unii contribuabili scutiri la plata accizelor în sumă de</w:t>
      </w:r>
      <w:r w:rsidR="00903DE6">
        <w:rPr>
          <w:rFonts w:asciiTheme="majorHAnsi" w:eastAsia="Times New Roman" w:hAnsiTheme="majorHAnsi" w:cstheme="majorHAnsi"/>
          <w:sz w:val="24"/>
          <w:szCs w:val="24"/>
        </w:rPr>
        <w:t xml:space="preserve"> </w:t>
      </w:r>
      <w:r w:rsidR="00903DE6" w:rsidRPr="00903DE6">
        <w:rPr>
          <w:rFonts w:asciiTheme="majorHAnsi" w:eastAsia="Times New Roman" w:hAnsiTheme="majorHAnsi" w:cstheme="majorHAnsi"/>
          <w:sz w:val="24"/>
          <w:szCs w:val="24"/>
        </w:rPr>
        <w:t>la</w:t>
      </w:r>
      <w:r w:rsidRPr="00903DE6">
        <w:rPr>
          <w:rFonts w:asciiTheme="majorHAnsi" w:eastAsia="Times New Roman" w:hAnsiTheme="majorHAnsi" w:cstheme="majorHAnsi"/>
          <w:sz w:val="24"/>
          <w:szCs w:val="24"/>
        </w:rPr>
        <w:t xml:space="preserve"> 5,0 mil. lei </w:t>
      </w:r>
      <w:r w:rsidR="00903DE6" w:rsidRPr="009F5847">
        <w:rPr>
          <w:rFonts w:asciiTheme="majorHAnsi" w:eastAsia="Times New Roman" w:hAnsiTheme="majorHAnsi" w:cstheme="majorHAnsi"/>
          <w:sz w:val="24"/>
          <w:szCs w:val="24"/>
        </w:rPr>
        <w:t>până la</w:t>
      </w:r>
      <w:r w:rsidRPr="00903DE6">
        <w:rPr>
          <w:rFonts w:asciiTheme="majorHAnsi" w:eastAsia="Times New Roman" w:hAnsiTheme="majorHAnsi" w:cstheme="majorHAnsi"/>
          <w:sz w:val="24"/>
          <w:szCs w:val="24"/>
        </w:rPr>
        <w:t xml:space="preserve"> 10,0 mil. lei, </w:t>
      </w:r>
      <w:r w:rsidR="00903DE6" w:rsidRPr="00903DE6">
        <w:rPr>
          <w:rFonts w:asciiTheme="majorHAnsi" w:eastAsia="Times New Roman" w:hAnsiTheme="majorHAnsi" w:cstheme="majorHAnsi"/>
          <w:sz w:val="24"/>
          <w:szCs w:val="24"/>
        </w:rPr>
        <w:t>deși</w:t>
      </w:r>
      <w:r w:rsidRPr="00903DE6">
        <w:rPr>
          <w:rFonts w:asciiTheme="majorHAnsi" w:eastAsia="Times New Roman" w:hAnsiTheme="majorHAnsi" w:cstheme="majorHAnsi"/>
          <w:sz w:val="24"/>
          <w:szCs w:val="24"/>
        </w:rPr>
        <w:t xml:space="preserve"> aceștia </w:t>
      </w:r>
      <w:r w:rsidR="00903DE6">
        <w:rPr>
          <w:rFonts w:asciiTheme="majorHAnsi" w:eastAsia="Times New Roman" w:hAnsiTheme="majorHAnsi" w:cstheme="majorHAnsi"/>
          <w:sz w:val="24"/>
          <w:szCs w:val="24"/>
        </w:rPr>
        <w:t xml:space="preserve">au </w:t>
      </w:r>
      <w:r w:rsidRPr="00903DE6">
        <w:rPr>
          <w:rFonts w:asciiTheme="majorHAnsi" w:eastAsia="Times New Roman" w:hAnsiTheme="majorHAnsi" w:cstheme="majorHAnsi"/>
          <w:sz w:val="24"/>
          <w:szCs w:val="24"/>
        </w:rPr>
        <w:t>contribui</w:t>
      </w:r>
      <w:r w:rsidR="00903DE6">
        <w:rPr>
          <w:rFonts w:asciiTheme="majorHAnsi" w:eastAsia="Times New Roman" w:hAnsiTheme="majorHAnsi" w:cstheme="majorHAnsi"/>
          <w:sz w:val="24"/>
          <w:szCs w:val="24"/>
        </w:rPr>
        <w:t>t</w:t>
      </w:r>
      <w:r w:rsidRPr="00903DE6">
        <w:rPr>
          <w:rFonts w:asciiTheme="majorHAnsi" w:eastAsia="Times New Roman" w:hAnsiTheme="majorHAnsi" w:cstheme="majorHAnsi"/>
          <w:sz w:val="24"/>
          <w:szCs w:val="24"/>
        </w:rPr>
        <w:t xml:space="preserve"> la buget cu sume mici,</w:t>
      </w:r>
      <w:r w:rsidR="00EC1EAF" w:rsidRPr="00903DE6">
        <w:rPr>
          <w:rFonts w:asciiTheme="majorHAnsi" w:eastAsia="Times New Roman" w:hAnsiTheme="majorHAnsi" w:cstheme="majorHAnsi"/>
          <w:sz w:val="24"/>
          <w:szCs w:val="24"/>
        </w:rPr>
        <w:t xml:space="preserve"> </w:t>
      </w:r>
      <w:r w:rsidRPr="00903DE6">
        <w:rPr>
          <w:rFonts w:asciiTheme="majorHAnsi" w:eastAsia="Times New Roman" w:hAnsiTheme="majorHAnsi" w:cstheme="majorHAnsi"/>
          <w:sz w:val="24"/>
          <w:szCs w:val="24"/>
        </w:rPr>
        <w:t>cuprinse între 0,01</w:t>
      </w:r>
      <w:r w:rsidRPr="00CB5F81">
        <w:rPr>
          <w:rFonts w:asciiTheme="majorHAnsi" w:eastAsia="Times New Roman" w:hAnsiTheme="majorHAnsi" w:cstheme="majorHAnsi"/>
          <w:sz w:val="24"/>
          <w:szCs w:val="24"/>
        </w:rPr>
        <w:t xml:space="preserve"> mil.</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lei – 0,05 mil. lei. Mai mult decât atât, un agent economic</w:t>
      </w:r>
      <w:r w:rsidR="00072885">
        <w:rPr>
          <w:rFonts w:asciiTheme="majorHAnsi" w:eastAsia="Times New Roman" w:hAnsiTheme="majorHAnsi" w:cstheme="majorHAnsi"/>
          <w:sz w:val="24"/>
          <w:szCs w:val="24"/>
        </w:rPr>
        <w:t>,</w:t>
      </w:r>
      <w:r w:rsidRPr="00CB5F81">
        <w:rPr>
          <w:rFonts w:asciiTheme="majorHAnsi" w:eastAsia="Times New Roman" w:hAnsiTheme="majorHAnsi" w:cstheme="majorHAnsi"/>
          <w:sz w:val="24"/>
          <w:szCs w:val="24"/>
        </w:rPr>
        <w:t xml:space="preserve"> beneficiind de scutiri la plata de acciz în</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 xml:space="preserve">valoare de 18,0 mil. lei, în anul 2020 </w:t>
      </w:r>
      <w:r w:rsidR="00216A7D" w:rsidRPr="008E6CE7">
        <w:rPr>
          <w:rFonts w:asciiTheme="majorHAnsi" w:eastAsia="Times New Roman" w:hAnsiTheme="majorHAnsi" w:cstheme="majorHAnsi"/>
          <w:sz w:val="24"/>
          <w:szCs w:val="24"/>
        </w:rPr>
        <w:t>n</w:t>
      </w:r>
      <w:r w:rsidR="00072885">
        <w:rPr>
          <w:rFonts w:asciiTheme="majorHAnsi" w:eastAsia="Times New Roman" w:hAnsiTheme="majorHAnsi" w:cstheme="majorHAnsi"/>
          <w:sz w:val="24"/>
          <w:szCs w:val="24"/>
        </w:rPr>
        <w:t xml:space="preserve">u a </w:t>
      </w:r>
      <w:r w:rsidR="00216A7D" w:rsidRPr="008E6CE7">
        <w:rPr>
          <w:rFonts w:asciiTheme="majorHAnsi" w:eastAsia="Times New Roman" w:hAnsiTheme="majorHAnsi" w:cstheme="majorHAnsi"/>
          <w:sz w:val="24"/>
          <w:szCs w:val="24"/>
        </w:rPr>
        <w:t>declar</w:t>
      </w:r>
      <w:r w:rsidR="00072885">
        <w:rPr>
          <w:rFonts w:asciiTheme="majorHAnsi" w:eastAsia="Times New Roman" w:hAnsiTheme="majorHAnsi" w:cstheme="majorHAnsi"/>
          <w:sz w:val="24"/>
          <w:szCs w:val="24"/>
        </w:rPr>
        <w:t>at</w:t>
      </w:r>
      <w:r w:rsidR="00216A7D" w:rsidRPr="008E6CE7">
        <w:rPr>
          <w:rFonts w:asciiTheme="majorHAnsi" w:eastAsia="Times New Roman" w:hAnsiTheme="majorHAnsi" w:cstheme="majorHAnsi"/>
          <w:sz w:val="24"/>
          <w:szCs w:val="24"/>
        </w:rPr>
        <w:t xml:space="preserve"> </w:t>
      </w:r>
      <w:r w:rsidRPr="008E6CE7">
        <w:rPr>
          <w:rFonts w:asciiTheme="majorHAnsi" w:eastAsia="Times New Roman" w:hAnsiTheme="majorHAnsi" w:cstheme="majorHAnsi"/>
          <w:sz w:val="24"/>
          <w:szCs w:val="24"/>
        </w:rPr>
        <w:t xml:space="preserve"> nici</w:t>
      </w:r>
      <w:r w:rsidR="0083455F">
        <w:rPr>
          <w:rFonts w:asciiTheme="majorHAnsi" w:eastAsia="Times New Roman" w:hAnsiTheme="majorHAnsi" w:cstheme="majorHAnsi"/>
          <w:sz w:val="24"/>
          <w:szCs w:val="24"/>
        </w:rPr>
        <w:t xml:space="preserve"> </w:t>
      </w:r>
      <w:r w:rsidRPr="008E6CE7">
        <w:rPr>
          <w:rFonts w:asciiTheme="majorHAnsi" w:eastAsia="Times New Roman" w:hAnsiTheme="majorHAnsi" w:cstheme="majorHAnsi"/>
          <w:sz w:val="24"/>
          <w:szCs w:val="24"/>
        </w:rPr>
        <w:t>un</w:t>
      </w:r>
      <w:r w:rsidRPr="00CB5F81">
        <w:rPr>
          <w:rFonts w:asciiTheme="majorHAnsi" w:eastAsia="Times New Roman" w:hAnsiTheme="majorHAnsi" w:cstheme="majorHAnsi"/>
          <w:sz w:val="24"/>
          <w:szCs w:val="24"/>
        </w:rPr>
        <w:t xml:space="preserve"> angajat, iar în anul 2021</w:t>
      </w:r>
      <w:r w:rsidR="00FE74F3">
        <w:rPr>
          <w:rFonts w:asciiTheme="majorHAnsi" w:eastAsia="Times New Roman" w:hAnsiTheme="majorHAnsi" w:cstheme="majorHAnsi"/>
          <w:sz w:val="24"/>
          <w:szCs w:val="24"/>
        </w:rPr>
        <w:t xml:space="preserve"> a declarat un singur angajat</w:t>
      </w:r>
      <w:r w:rsidR="00EC2A98">
        <w:rPr>
          <w:rFonts w:asciiTheme="majorHAnsi" w:eastAsia="Times New Roman" w:hAnsiTheme="majorHAnsi" w:cstheme="majorHAnsi"/>
          <w:sz w:val="24"/>
          <w:szCs w:val="24"/>
        </w:rPr>
        <w:t xml:space="preserve"> (pct.4.2.3.)</w:t>
      </w:r>
      <w:r w:rsidR="00FE74F3">
        <w:rPr>
          <w:rFonts w:asciiTheme="majorHAnsi" w:eastAsia="Times New Roman" w:hAnsiTheme="majorHAnsi" w:cstheme="majorHAnsi"/>
          <w:sz w:val="24"/>
          <w:szCs w:val="24"/>
        </w:rPr>
        <w:t>;</w:t>
      </w:r>
    </w:p>
    <w:p w:rsidR="00415FB2" w:rsidRPr="00CB5F81" w:rsidRDefault="00E66ECF" w:rsidP="00E66ECF">
      <w:pPr>
        <w:numPr>
          <w:ilvl w:val="0"/>
          <w:numId w:val="28"/>
        </w:numPr>
        <w:tabs>
          <w:tab w:val="left" w:pos="450"/>
        </w:tabs>
        <w:spacing w:after="120" w:line="240" w:lineRule="auto"/>
        <w:jc w:val="both"/>
        <w:rPr>
          <w:rFonts w:asciiTheme="majorHAnsi" w:eastAsia="Times New Roman" w:hAnsiTheme="majorHAnsi" w:cstheme="majorHAnsi"/>
          <w:color w:val="000000"/>
          <w:sz w:val="24"/>
          <w:szCs w:val="24"/>
        </w:rPr>
      </w:pPr>
      <w:r w:rsidRPr="00CB5F81">
        <w:rPr>
          <w:rFonts w:asciiTheme="majorHAnsi" w:eastAsia="Times New Roman" w:hAnsiTheme="majorHAnsi" w:cstheme="majorHAnsi"/>
          <w:color w:val="000000"/>
          <w:sz w:val="24"/>
          <w:szCs w:val="24"/>
        </w:rPr>
        <w:t>Deși SFS lunar extrage și raportează datele privind consumul de alcool etilic prin contoare de eviden</w:t>
      </w:r>
      <w:r w:rsidR="00883348">
        <w:rPr>
          <w:rFonts w:asciiTheme="majorHAnsi" w:eastAsia="Times New Roman" w:hAnsiTheme="majorHAnsi" w:cstheme="majorHAnsi"/>
          <w:color w:val="000000"/>
          <w:sz w:val="24"/>
          <w:szCs w:val="24"/>
        </w:rPr>
        <w:t>ț</w:t>
      </w:r>
      <w:r w:rsidRPr="00CB5F81">
        <w:rPr>
          <w:rFonts w:asciiTheme="majorHAnsi" w:eastAsia="Times New Roman" w:hAnsiTheme="majorHAnsi" w:cstheme="majorHAnsi"/>
          <w:color w:val="000000"/>
          <w:sz w:val="24"/>
          <w:szCs w:val="24"/>
        </w:rPr>
        <w:t>ă cu memorie fiscală,</w:t>
      </w:r>
      <w:r w:rsidR="00EC1EAF">
        <w:rPr>
          <w:rFonts w:asciiTheme="majorHAnsi" w:eastAsia="Times New Roman" w:hAnsiTheme="majorHAnsi" w:cstheme="majorHAnsi"/>
          <w:color w:val="000000"/>
          <w:sz w:val="24"/>
          <w:szCs w:val="24"/>
        </w:rPr>
        <w:t xml:space="preserve"> </w:t>
      </w:r>
      <w:r w:rsidRPr="00CB5F81">
        <w:rPr>
          <w:rFonts w:asciiTheme="majorHAnsi" w:eastAsia="Times New Roman" w:hAnsiTheme="majorHAnsi" w:cstheme="majorHAnsi"/>
          <w:color w:val="000000"/>
          <w:sz w:val="24"/>
          <w:szCs w:val="24"/>
        </w:rPr>
        <w:t>în mare parte</w:t>
      </w:r>
      <w:r w:rsidR="00072885">
        <w:rPr>
          <w:rFonts w:asciiTheme="majorHAnsi" w:eastAsia="Times New Roman" w:hAnsiTheme="majorHAnsi" w:cstheme="majorHAnsi"/>
          <w:color w:val="000000"/>
          <w:sz w:val="24"/>
          <w:szCs w:val="24"/>
        </w:rPr>
        <w:t>,</w:t>
      </w:r>
      <w:r w:rsidRPr="00CB5F81">
        <w:rPr>
          <w:rFonts w:asciiTheme="majorHAnsi" w:eastAsia="Times New Roman" w:hAnsiTheme="majorHAnsi" w:cstheme="majorHAnsi"/>
          <w:color w:val="000000"/>
          <w:sz w:val="24"/>
          <w:szCs w:val="24"/>
        </w:rPr>
        <w:t xml:space="preserve"> aceste date sunt incomplete</w:t>
      </w:r>
      <w:r w:rsidR="00EC1EAF">
        <w:rPr>
          <w:rFonts w:asciiTheme="majorHAnsi" w:eastAsia="Times New Roman" w:hAnsiTheme="majorHAnsi" w:cstheme="majorHAnsi"/>
          <w:color w:val="000000"/>
          <w:sz w:val="24"/>
          <w:szCs w:val="24"/>
        </w:rPr>
        <w:t xml:space="preserve"> </w:t>
      </w:r>
      <w:r w:rsidRPr="00CB5F81">
        <w:rPr>
          <w:rFonts w:asciiTheme="majorHAnsi" w:eastAsia="Times New Roman" w:hAnsiTheme="majorHAnsi" w:cstheme="majorHAnsi"/>
          <w:color w:val="000000"/>
          <w:sz w:val="24"/>
          <w:szCs w:val="24"/>
        </w:rPr>
        <w:t>și nu asigură o monitorizare</w:t>
      </w:r>
      <w:r w:rsidR="00EC1EAF">
        <w:rPr>
          <w:rFonts w:asciiTheme="majorHAnsi" w:eastAsia="Times New Roman" w:hAnsiTheme="majorHAnsi" w:cstheme="majorHAnsi"/>
          <w:color w:val="000000"/>
          <w:sz w:val="24"/>
          <w:szCs w:val="24"/>
        </w:rPr>
        <w:t xml:space="preserve"> </w:t>
      </w:r>
      <w:r w:rsidRPr="00CB5F81">
        <w:rPr>
          <w:rFonts w:asciiTheme="majorHAnsi" w:eastAsia="Times New Roman" w:hAnsiTheme="majorHAnsi" w:cstheme="majorHAnsi"/>
          <w:color w:val="000000"/>
          <w:sz w:val="24"/>
          <w:szCs w:val="24"/>
        </w:rPr>
        <w:t xml:space="preserve">consecventă a agenților economici implicați în fabricarea și </w:t>
      </w:r>
      <w:r w:rsidRPr="00303FD0">
        <w:rPr>
          <w:rFonts w:asciiTheme="majorHAnsi" w:eastAsia="Times New Roman" w:hAnsiTheme="majorHAnsi" w:cstheme="majorHAnsi"/>
          <w:color w:val="000000"/>
          <w:sz w:val="24"/>
          <w:szCs w:val="24"/>
        </w:rPr>
        <w:t>circularea alcoolului</w:t>
      </w:r>
      <w:r w:rsidRPr="00CB5F81">
        <w:rPr>
          <w:rFonts w:asciiTheme="majorHAnsi" w:eastAsia="Times New Roman" w:hAnsiTheme="majorHAnsi" w:cstheme="majorHAnsi"/>
          <w:color w:val="000000"/>
          <w:sz w:val="24"/>
          <w:szCs w:val="24"/>
        </w:rPr>
        <w:t xml:space="preserve"> </w:t>
      </w:r>
      <w:r w:rsidRPr="00CB5F81">
        <w:rPr>
          <w:rFonts w:asciiTheme="majorHAnsi" w:eastAsia="Times New Roman" w:hAnsiTheme="majorHAnsi" w:cstheme="majorHAnsi"/>
          <w:color w:val="000000"/>
          <w:sz w:val="24"/>
          <w:szCs w:val="24"/>
        </w:rPr>
        <w:lastRenderedPageBreak/>
        <w:t>etilic</w:t>
      </w:r>
      <w:r w:rsidR="00072885">
        <w:rPr>
          <w:rFonts w:asciiTheme="majorHAnsi" w:eastAsia="Times New Roman" w:hAnsiTheme="majorHAnsi" w:cstheme="majorHAnsi"/>
          <w:color w:val="000000"/>
          <w:sz w:val="24"/>
          <w:szCs w:val="24"/>
        </w:rPr>
        <w:t>,</w:t>
      </w:r>
      <w:r w:rsidRPr="00CB5F81">
        <w:rPr>
          <w:rFonts w:asciiTheme="majorHAnsi" w:eastAsia="Times New Roman" w:hAnsiTheme="majorHAnsi" w:cstheme="majorHAnsi"/>
          <w:color w:val="000000"/>
          <w:sz w:val="24"/>
          <w:szCs w:val="24"/>
        </w:rPr>
        <w:t xml:space="preserve"> precum și deținerea unei informații veridice privind valorificarea acest</w:t>
      </w:r>
      <w:r w:rsidR="00883348">
        <w:rPr>
          <w:rFonts w:asciiTheme="majorHAnsi" w:eastAsia="Times New Roman" w:hAnsiTheme="majorHAnsi" w:cstheme="majorHAnsi"/>
          <w:color w:val="000000"/>
          <w:sz w:val="24"/>
          <w:szCs w:val="24"/>
        </w:rPr>
        <w:t>ei</w:t>
      </w:r>
      <w:r w:rsidRPr="00CB5F81">
        <w:rPr>
          <w:rFonts w:asciiTheme="majorHAnsi" w:eastAsia="Times New Roman" w:hAnsiTheme="majorHAnsi" w:cstheme="majorHAnsi"/>
          <w:color w:val="000000"/>
          <w:sz w:val="24"/>
          <w:szCs w:val="24"/>
        </w:rPr>
        <w:t xml:space="preserve"> facilit</w:t>
      </w:r>
      <w:r w:rsidR="00883348">
        <w:rPr>
          <w:rFonts w:asciiTheme="majorHAnsi" w:eastAsia="Times New Roman" w:hAnsiTheme="majorHAnsi" w:cstheme="majorHAnsi"/>
          <w:color w:val="000000"/>
          <w:sz w:val="24"/>
          <w:szCs w:val="24"/>
        </w:rPr>
        <w:t xml:space="preserve">ăți, </w:t>
      </w:r>
      <w:r w:rsidRPr="00CB5F81">
        <w:rPr>
          <w:rFonts w:asciiTheme="majorHAnsi" w:eastAsia="Times New Roman" w:hAnsiTheme="majorHAnsi" w:cstheme="majorHAnsi"/>
          <w:color w:val="000000"/>
          <w:sz w:val="24"/>
          <w:szCs w:val="24"/>
        </w:rPr>
        <w:t>fapt</w:t>
      </w:r>
      <w:r w:rsidR="00883348">
        <w:rPr>
          <w:rFonts w:asciiTheme="majorHAnsi" w:eastAsia="Times New Roman" w:hAnsiTheme="majorHAnsi" w:cstheme="majorHAnsi"/>
          <w:color w:val="000000"/>
          <w:sz w:val="24"/>
          <w:szCs w:val="24"/>
        </w:rPr>
        <w:t xml:space="preserve"> </w:t>
      </w:r>
      <w:r w:rsidRPr="00CB5F81">
        <w:rPr>
          <w:rFonts w:asciiTheme="majorHAnsi" w:eastAsia="Times New Roman" w:hAnsiTheme="majorHAnsi" w:cstheme="majorHAnsi"/>
          <w:color w:val="000000"/>
          <w:sz w:val="24"/>
          <w:szCs w:val="24"/>
        </w:rPr>
        <w:t xml:space="preserve">determinat de lipsa unor norme interne care să </w:t>
      </w:r>
      <w:r w:rsidR="00FE74F3">
        <w:rPr>
          <w:rFonts w:asciiTheme="majorHAnsi" w:eastAsia="Times New Roman" w:hAnsiTheme="majorHAnsi" w:cstheme="majorHAnsi"/>
          <w:color w:val="000000"/>
          <w:sz w:val="24"/>
          <w:szCs w:val="24"/>
        </w:rPr>
        <w:t>reglementeze procesul respectiv</w:t>
      </w:r>
      <w:r w:rsidR="00EC2A98">
        <w:rPr>
          <w:rFonts w:asciiTheme="majorHAnsi" w:eastAsia="Times New Roman" w:hAnsiTheme="majorHAnsi" w:cstheme="majorHAnsi"/>
          <w:color w:val="000000"/>
          <w:sz w:val="24"/>
          <w:szCs w:val="24"/>
        </w:rPr>
        <w:t xml:space="preserve"> (pct.4.2.3</w:t>
      </w:r>
      <w:r w:rsidR="00883348">
        <w:rPr>
          <w:rFonts w:asciiTheme="majorHAnsi" w:eastAsia="Times New Roman" w:hAnsiTheme="majorHAnsi" w:cstheme="majorHAnsi"/>
          <w:color w:val="000000"/>
          <w:sz w:val="24"/>
          <w:szCs w:val="24"/>
        </w:rPr>
        <w:t>.</w:t>
      </w:r>
      <w:r w:rsidR="00EC2A98">
        <w:rPr>
          <w:rFonts w:asciiTheme="majorHAnsi" w:eastAsia="Times New Roman" w:hAnsiTheme="majorHAnsi" w:cstheme="majorHAnsi"/>
          <w:color w:val="000000"/>
          <w:sz w:val="24"/>
          <w:szCs w:val="24"/>
        </w:rPr>
        <w:t>)</w:t>
      </w:r>
      <w:r w:rsidR="00FE74F3">
        <w:rPr>
          <w:rFonts w:asciiTheme="majorHAnsi" w:eastAsia="Times New Roman" w:hAnsiTheme="majorHAnsi" w:cstheme="majorHAnsi"/>
          <w:color w:val="000000"/>
          <w:sz w:val="24"/>
          <w:szCs w:val="24"/>
        </w:rPr>
        <w:t>;</w:t>
      </w:r>
    </w:p>
    <w:p w:rsidR="00415FB2" w:rsidRDefault="00572166" w:rsidP="00040BCB">
      <w:pPr>
        <w:numPr>
          <w:ilvl w:val="0"/>
          <w:numId w:val="28"/>
        </w:numPr>
        <w:tabs>
          <w:tab w:val="left" w:pos="450"/>
        </w:tabs>
        <w:spacing w:after="24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w:t>
      </w:r>
      <w:r w:rsidR="00415FB2" w:rsidRPr="00CB5F81">
        <w:rPr>
          <w:rFonts w:asciiTheme="majorHAnsi" w:eastAsia="Times New Roman" w:hAnsiTheme="majorHAnsi" w:cstheme="majorHAnsi"/>
          <w:sz w:val="24"/>
          <w:szCs w:val="24"/>
        </w:rPr>
        <w:t xml:space="preserve">ctuala modalitate de scutire de acciz pentru alcoolul etilic utilizat în </w:t>
      </w:r>
      <w:r w:rsidRPr="00CB5F81">
        <w:rPr>
          <w:rFonts w:asciiTheme="majorHAnsi" w:eastAsia="Times New Roman" w:hAnsiTheme="majorHAnsi" w:cstheme="majorHAnsi"/>
          <w:sz w:val="24"/>
          <w:szCs w:val="24"/>
        </w:rPr>
        <w:t>scopuri medicinale și farmaceutice</w:t>
      </w:r>
      <w:r>
        <w:rPr>
          <w:rFonts w:asciiTheme="majorHAnsi" w:eastAsia="Times New Roman" w:hAnsiTheme="majorHAnsi" w:cstheme="majorHAnsi"/>
          <w:sz w:val="24"/>
          <w:szCs w:val="24"/>
        </w:rPr>
        <w:t xml:space="preserve"> </w:t>
      </w:r>
      <w:r w:rsidR="005C74BF">
        <w:rPr>
          <w:rFonts w:asciiTheme="majorHAnsi" w:eastAsia="Times New Roman" w:hAnsiTheme="majorHAnsi" w:cstheme="majorHAnsi"/>
          <w:sz w:val="24"/>
          <w:szCs w:val="24"/>
        </w:rPr>
        <w:t xml:space="preserve">necesită </w:t>
      </w:r>
      <w:r w:rsidR="00415FB2" w:rsidRPr="00CB5F81">
        <w:rPr>
          <w:rFonts w:asciiTheme="majorHAnsi" w:eastAsia="Times New Roman" w:hAnsiTheme="majorHAnsi" w:cstheme="majorHAnsi"/>
          <w:sz w:val="24"/>
          <w:szCs w:val="24"/>
        </w:rPr>
        <w:t xml:space="preserve">a fi modificată, prin instituirea mecanismului de rambursare a accizului plătit, la solicitarea beneficiarului, </w:t>
      </w:r>
      <w:r>
        <w:rPr>
          <w:rFonts w:asciiTheme="majorHAnsi" w:eastAsia="Times New Roman" w:hAnsiTheme="majorHAnsi" w:cstheme="majorHAnsi"/>
          <w:sz w:val="24"/>
          <w:szCs w:val="24"/>
        </w:rPr>
        <w:t xml:space="preserve"> </w:t>
      </w:r>
      <w:r w:rsidR="00415FB2" w:rsidRPr="00CB5F81">
        <w:rPr>
          <w:rFonts w:asciiTheme="majorHAnsi" w:eastAsia="Times New Roman" w:hAnsiTheme="majorHAnsi" w:cstheme="majorHAnsi"/>
          <w:sz w:val="24"/>
          <w:szCs w:val="24"/>
        </w:rPr>
        <w:t>ceea</w:t>
      </w:r>
      <w:r w:rsidR="00EC1EAF">
        <w:rPr>
          <w:rFonts w:asciiTheme="majorHAnsi" w:eastAsia="Times New Roman" w:hAnsiTheme="majorHAnsi" w:cstheme="majorHAnsi"/>
          <w:sz w:val="24"/>
          <w:szCs w:val="24"/>
        </w:rPr>
        <w:t xml:space="preserve"> </w:t>
      </w:r>
      <w:r w:rsidR="00415FB2" w:rsidRPr="00CB5F81">
        <w:rPr>
          <w:rFonts w:asciiTheme="majorHAnsi" w:eastAsia="Times New Roman" w:hAnsiTheme="majorHAnsi" w:cstheme="majorHAnsi"/>
          <w:sz w:val="24"/>
          <w:szCs w:val="24"/>
        </w:rPr>
        <w:t>ce</w:t>
      </w:r>
      <w:r>
        <w:rPr>
          <w:rFonts w:asciiTheme="majorHAnsi" w:eastAsia="Times New Roman" w:hAnsiTheme="majorHAnsi" w:cstheme="majorHAnsi"/>
          <w:sz w:val="24"/>
          <w:szCs w:val="24"/>
        </w:rPr>
        <w:t xml:space="preserve"> ar duce la  fortificarea pârghiilor </w:t>
      </w:r>
      <w:r w:rsidR="00415FB2" w:rsidRPr="00CB5F81">
        <w:rPr>
          <w:rFonts w:asciiTheme="majorHAnsi" w:eastAsia="Times New Roman" w:hAnsiTheme="majorHAnsi" w:cstheme="majorHAnsi"/>
          <w:sz w:val="24"/>
          <w:szCs w:val="24"/>
        </w:rPr>
        <w:t xml:space="preserve">de monitorizare </w:t>
      </w:r>
      <w:r w:rsidR="00415FB2" w:rsidRPr="00303FD0">
        <w:rPr>
          <w:rFonts w:asciiTheme="majorHAnsi" w:eastAsia="Times New Roman" w:hAnsiTheme="majorHAnsi" w:cstheme="majorHAnsi"/>
          <w:sz w:val="24"/>
          <w:szCs w:val="24"/>
        </w:rPr>
        <w:t>din partea SFS</w:t>
      </w:r>
      <w:r w:rsidR="00415FB2" w:rsidRPr="00CB5F81">
        <w:rPr>
          <w:rFonts w:asciiTheme="majorHAnsi" w:eastAsia="Times New Roman" w:hAnsiTheme="majorHAnsi" w:cstheme="majorHAnsi"/>
          <w:sz w:val="24"/>
          <w:szCs w:val="24"/>
        </w:rPr>
        <w:t xml:space="preserve"> a corectitudinii și transparenței acordării facilității respective</w:t>
      </w:r>
      <w:r w:rsidR="00FE74F3">
        <w:rPr>
          <w:rFonts w:asciiTheme="majorHAnsi" w:eastAsia="Times New Roman" w:hAnsiTheme="majorHAnsi" w:cstheme="majorHAnsi"/>
          <w:sz w:val="24"/>
          <w:szCs w:val="24"/>
        </w:rPr>
        <w:t xml:space="preserve"> (pct. 4.2.4.)</w:t>
      </w:r>
      <w:r w:rsidR="00415FB2" w:rsidRPr="00CB5F81">
        <w:rPr>
          <w:rFonts w:asciiTheme="majorHAnsi" w:eastAsia="Times New Roman" w:hAnsiTheme="majorHAnsi" w:cstheme="majorHAnsi"/>
          <w:sz w:val="24"/>
          <w:szCs w:val="24"/>
        </w:rPr>
        <w:t xml:space="preserve">. </w:t>
      </w:r>
    </w:p>
    <w:p w:rsidR="008A45AD" w:rsidRPr="00CB5F81" w:rsidRDefault="008A45AD" w:rsidP="00724B8E">
      <w:pPr>
        <w:pStyle w:val="Heading1"/>
        <w:numPr>
          <w:ilvl w:val="0"/>
          <w:numId w:val="1"/>
        </w:numPr>
        <w:tabs>
          <w:tab w:val="left" w:pos="270"/>
          <w:tab w:val="left" w:pos="3600"/>
        </w:tabs>
        <w:spacing w:before="0" w:after="160" w:line="240" w:lineRule="auto"/>
        <w:ind w:left="180" w:hanging="180"/>
        <w:rPr>
          <w:rFonts w:eastAsiaTheme="minorHAnsi" w:cstheme="majorHAnsi"/>
          <w:b/>
          <w:color w:val="1F4E79" w:themeColor="accent1" w:themeShade="80"/>
          <w:sz w:val="28"/>
          <w:szCs w:val="28"/>
          <w:shd w:val="clear" w:color="auto" w:fill="FFFFFF"/>
          <w:lang w:val="ro-MD"/>
        </w:rPr>
      </w:pPr>
      <w:bookmarkStart w:id="10" w:name="_Toc76371128"/>
      <w:bookmarkStart w:id="11" w:name="_Toc111467859"/>
      <w:bookmarkStart w:id="12" w:name="_Toc48732716"/>
      <w:r w:rsidRPr="00CB5F81">
        <w:rPr>
          <w:rFonts w:eastAsiaTheme="minorHAnsi" w:cstheme="majorHAnsi"/>
          <w:b/>
          <w:color w:val="1F4E79" w:themeColor="accent1" w:themeShade="80"/>
          <w:sz w:val="28"/>
          <w:szCs w:val="28"/>
          <w:shd w:val="clear" w:color="auto" w:fill="FFFFFF"/>
          <w:lang w:val="ro-MD"/>
        </w:rPr>
        <w:t>PREZENTARE GENERALĂ</w:t>
      </w:r>
      <w:bookmarkEnd w:id="10"/>
      <w:bookmarkEnd w:id="11"/>
      <w:r w:rsidRPr="00CB5F81">
        <w:rPr>
          <w:rFonts w:eastAsiaTheme="minorHAnsi" w:cstheme="majorHAnsi"/>
          <w:b/>
          <w:color w:val="1F4E79" w:themeColor="accent1" w:themeShade="80"/>
          <w:sz w:val="28"/>
          <w:szCs w:val="28"/>
          <w:shd w:val="clear" w:color="auto" w:fill="FFFFFF"/>
          <w:lang w:val="ro-MD"/>
        </w:rPr>
        <w:t xml:space="preserve"> </w:t>
      </w:r>
      <w:bookmarkEnd w:id="12"/>
    </w:p>
    <w:p w:rsidR="008E4511" w:rsidRPr="00CB5F81" w:rsidRDefault="00F20042" w:rsidP="00724B8E">
      <w:pPr>
        <w:pStyle w:val="Heading3"/>
        <w:spacing w:after="120"/>
        <w:rPr>
          <w:rFonts w:eastAsiaTheme="minorEastAsia"/>
          <w:b/>
          <w:color w:val="2E74B5" w:themeColor="accent1" w:themeShade="BF"/>
          <w:lang w:eastAsia="ru-RU"/>
        </w:rPr>
      </w:pPr>
      <w:bookmarkStart w:id="13" w:name="_Toc111467860"/>
      <w:r w:rsidRPr="00CB5F81">
        <w:rPr>
          <w:rFonts w:eastAsiaTheme="minorEastAsia"/>
          <w:b/>
          <w:color w:val="2E74B5" w:themeColor="accent1" w:themeShade="BF"/>
          <w:lang w:eastAsia="ru-RU"/>
        </w:rPr>
        <w:t xml:space="preserve">2.1. </w:t>
      </w:r>
      <w:r w:rsidR="008E4511" w:rsidRPr="00CB5F81">
        <w:rPr>
          <w:rFonts w:eastAsiaTheme="minorEastAsia"/>
          <w:b/>
          <w:color w:val="2E74B5" w:themeColor="accent1" w:themeShade="BF"/>
          <w:lang w:eastAsia="ru-RU"/>
        </w:rPr>
        <w:t>Organizarea sistemului de facilități fiscale</w:t>
      </w:r>
      <w:bookmarkEnd w:id="13"/>
    </w:p>
    <w:p w:rsidR="007240DA" w:rsidRPr="00CB5F81" w:rsidRDefault="007240DA" w:rsidP="007240DA">
      <w:pPr>
        <w:ind w:right="-187"/>
        <w:jc w:val="both"/>
        <w:rPr>
          <w:rFonts w:asciiTheme="majorHAnsi" w:eastAsiaTheme="minorEastAsia" w:hAnsiTheme="majorHAnsi" w:cstheme="majorHAnsi"/>
          <w:sz w:val="24"/>
          <w:szCs w:val="24"/>
          <w:lang w:eastAsia="ru-RU"/>
        </w:rPr>
      </w:pPr>
      <w:r w:rsidRPr="00CB5F81">
        <w:rPr>
          <w:rFonts w:asciiTheme="majorHAnsi" w:hAnsiTheme="majorHAnsi"/>
          <w:sz w:val="24"/>
          <w:szCs w:val="24"/>
        </w:rPr>
        <w:t>O formă importantă de intervenție a statului în economie reprezintă facilitățile fiscale</w:t>
      </w:r>
      <w:r w:rsidR="00C01075" w:rsidRPr="00CB5F81">
        <w:rPr>
          <w:rFonts w:asciiTheme="majorHAnsi" w:hAnsiTheme="majorHAnsi"/>
          <w:sz w:val="24"/>
          <w:szCs w:val="24"/>
        </w:rPr>
        <w:t>,</w:t>
      </w:r>
      <w:r w:rsidRPr="00CB5F81">
        <w:rPr>
          <w:rFonts w:asciiTheme="majorHAnsi" w:hAnsiTheme="majorHAnsi"/>
          <w:sz w:val="24"/>
          <w:szCs w:val="24"/>
        </w:rPr>
        <w:t xml:space="preserve"> </w:t>
      </w:r>
      <w:r w:rsidRPr="00CB5F81">
        <w:rPr>
          <w:rFonts w:asciiTheme="majorHAnsi" w:hAnsiTheme="majorHAnsi" w:cstheme="majorHAnsi"/>
          <w:sz w:val="24"/>
          <w:szCs w:val="24"/>
        </w:rPr>
        <w:t>prin intermediul căr</w:t>
      </w:r>
      <w:r w:rsidR="00845344" w:rsidRPr="00CB5F81">
        <w:rPr>
          <w:rFonts w:asciiTheme="majorHAnsi" w:hAnsiTheme="majorHAnsi" w:cstheme="majorHAnsi"/>
          <w:sz w:val="24"/>
          <w:szCs w:val="24"/>
        </w:rPr>
        <w:t xml:space="preserve">ora </w:t>
      </w:r>
      <w:r w:rsidRPr="00CB5F81">
        <w:rPr>
          <w:rFonts w:asciiTheme="majorHAnsi" w:hAnsiTheme="majorHAnsi" w:cstheme="majorHAnsi"/>
          <w:sz w:val="24"/>
          <w:szCs w:val="24"/>
        </w:rPr>
        <w:t>se dimensionează impozitele/taxele cuvenite bugetului pentru a ajuta la stabilizarea economică</w:t>
      </w:r>
      <w:r w:rsidR="0063389C" w:rsidRPr="00CB5F81">
        <w:rPr>
          <w:rFonts w:asciiTheme="majorHAnsi" w:hAnsiTheme="majorHAnsi" w:cstheme="majorHAnsi"/>
          <w:sz w:val="24"/>
          <w:szCs w:val="24"/>
        </w:rPr>
        <w:t>, inclusiv</w:t>
      </w:r>
      <w:r w:rsidR="00EC1EAF">
        <w:rPr>
          <w:rFonts w:asciiTheme="majorHAnsi" w:hAnsiTheme="majorHAnsi" w:cstheme="majorHAnsi"/>
          <w:sz w:val="24"/>
          <w:szCs w:val="24"/>
        </w:rPr>
        <w:t xml:space="preserve"> </w:t>
      </w:r>
      <w:r w:rsidRPr="00CB5F81">
        <w:rPr>
          <w:rFonts w:asciiTheme="majorHAnsi" w:hAnsiTheme="majorHAnsi" w:cstheme="majorHAnsi"/>
          <w:sz w:val="24"/>
          <w:szCs w:val="24"/>
        </w:rPr>
        <w:t xml:space="preserve">în perioadele de criză, dar și </w:t>
      </w:r>
      <w:r w:rsidR="00845344" w:rsidRPr="00CB5F81">
        <w:rPr>
          <w:rFonts w:asciiTheme="majorHAnsi" w:hAnsiTheme="majorHAnsi" w:cstheme="majorHAnsi"/>
          <w:sz w:val="24"/>
          <w:szCs w:val="24"/>
        </w:rPr>
        <w:t xml:space="preserve"> </w:t>
      </w:r>
      <w:r w:rsidR="00594C49">
        <w:rPr>
          <w:rFonts w:asciiTheme="majorHAnsi" w:hAnsiTheme="majorHAnsi" w:cstheme="majorHAnsi"/>
          <w:sz w:val="24"/>
          <w:szCs w:val="24"/>
        </w:rPr>
        <w:t xml:space="preserve">la </w:t>
      </w:r>
      <w:r w:rsidRPr="00CB5F81">
        <w:rPr>
          <w:rFonts w:asciiTheme="majorHAnsi" w:hAnsiTheme="majorHAnsi" w:cstheme="majorHAnsi"/>
          <w:sz w:val="24"/>
          <w:szCs w:val="24"/>
        </w:rPr>
        <w:t>impulsion</w:t>
      </w:r>
      <w:r w:rsidR="00845344" w:rsidRPr="00CB5F81">
        <w:rPr>
          <w:rFonts w:asciiTheme="majorHAnsi" w:hAnsiTheme="majorHAnsi" w:cstheme="majorHAnsi"/>
          <w:sz w:val="24"/>
          <w:szCs w:val="24"/>
        </w:rPr>
        <w:t xml:space="preserve">area </w:t>
      </w:r>
      <w:r w:rsidRPr="00CB5F81">
        <w:rPr>
          <w:rFonts w:asciiTheme="majorHAnsi" w:hAnsiTheme="majorHAnsi" w:cstheme="majorHAnsi"/>
          <w:sz w:val="24"/>
          <w:szCs w:val="24"/>
        </w:rPr>
        <w:t>dezvolt</w:t>
      </w:r>
      <w:r w:rsidR="00845344" w:rsidRPr="00CB5F81">
        <w:rPr>
          <w:rFonts w:asciiTheme="majorHAnsi" w:hAnsiTheme="majorHAnsi" w:cstheme="majorHAnsi"/>
          <w:sz w:val="24"/>
          <w:szCs w:val="24"/>
        </w:rPr>
        <w:t>ării u</w:t>
      </w:r>
      <w:r w:rsidRPr="00CB5F81">
        <w:rPr>
          <w:rFonts w:asciiTheme="majorHAnsi" w:hAnsiTheme="majorHAnsi" w:cstheme="majorHAnsi"/>
          <w:sz w:val="24"/>
          <w:szCs w:val="24"/>
        </w:rPr>
        <w:t>nor sectoare și ramuri economice cu potențial de creștere,</w:t>
      </w:r>
      <w:r w:rsidR="00C01075" w:rsidRPr="00CB5F81">
        <w:rPr>
          <w:rFonts w:asciiTheme="majorHAnsi" w:hAnsiTheme="majorHAnsi" w:cstheme="majorHAnsi"/>
          <w:sz w:val="24"/>
          <w:szCs w:val="24"/>
        </w:rPr>
        <w:t xml:space="preserve"> precum și</w:t>
      </w:r>
      <w:r w:rsidR="00EC1EAF">
        <w:rPr>
          <w:rFonts w:asciiTheme="majorHAnsi" w:hAnsiTheme="majorHAnsi" w:cstheme="majorHAnsi"/>
          <w:sz w:val="24"/>
          <w:szCs w:val="24"/>
        </w:rPr>
        <w:t xml:space="preserve"> </w:t>
      </w:r>
      <w:r w:rsidRPr="00CB5F81">
        <w:rPr>
          <w:rFonts w:asciiTheme="majorHAnsi" w:hAnsiTheme="majorHAnsi" w:cstheme="majorHAnsi"/>
          <w:sz w:val="24"/>
          <w:szCs w:val="24"/>
        </w:rPr>
        <w:t>în scopul atragerii investițiilor și</w:t>
      </w:r>
      <w:r w:rsidR="00EC1EAF">
        <w:rPr>
          <w:rFonts w:asciiTheme="majorHAnsi" w:hAnsiTheme="majorHAnsi" w:cstheme="majorHAnsi"/>
          <w:sz w:val="24"/>
          <w:szCs w:val="24"/>
        </w:rPr>
        <w:t xml:space="preserve"> </w:t>
      </w:r>
      <w:r w:rsidRPr="00CB5F81">
        <w:rPr>
          <w:rFonts w:asciiTheme="majorHAnsi" w:hAnsiTheme="majorHAnsi" w:cstheme="majorHAnsi"/>
          <w:sz w:val="24"/>
          <w:szCs w:val="24"/>
        </w:rPr>
        <w:t>dezvoltării economiei naționale.</w:t>
      </w:r>
      <w:r w:rsidRPr="00CB5F81">
        <w:rPr>
          <w:rFonts w:asciiTheme="majorHAnsi" w:eastAsiaTheme="minorEastAsia" w:hAnsiTheme="majorHAnsi" w:cstheme="majorHAnsi"/>
          <w:sz w:val="24"/>
          <w:szCs w:val="24"/>
          <w:lang w:eastAsia="ru-RU"/>
        </w:rPr>
        <w:t xml:space="preserve"> </w:t>
      </w:r>
    </w:p>
    <w:p w:rsidR="00CF4B89" w:rsidRPr="00CB5F81" w:rsidRDefault="00AD2921" w:rsidP="0090504E">
      <w:pPr>
        <w:pStyle w:val="NormalWeb"/>
        <w:spacing w:after="120"/>
        <w:ind w:firstLine="0"/>
        <w:rPr>
          <w:rFonts w:asciiTheme="majorHAnsi" w:hAnsiTheme="majorHAnsi" w:cstheme="majorHAnsi"/>
          <w:lang w:val="ro-MD"/>
        </w:rPr>
      </w:pPr>
      <w:r w:rsidRPr="00CB5F81">
        <w:rPr>
          <w:rFonts w:asciiTheme="majorHAnsi" w:eastAsia="Times New Roman" w:hAnsiTheme="majorHAnsi" w:cstheme="majorHAnsi"/>
          <w:lang w:val="ro-MD"/>
        </w:rPr>
        <w:t>F</w:t>
      </w:r>
      <w:r w:rsidR="003220F5" w:rsidRPr="00CB5F81">
        <w:rPr>
          <w:rFonts w:asciiTheme="majorHAnsi" w:eastAsia="Times New Roman" w:hAnsiTheme="majorHAnsi" w:cstheme="majorHAnsi"/>
          <w:lang w:val="ro-MD"/>
        </w:rPr>
        <w:t>acilitățile</w:t>
      </w:r>
      <w:r w:rsidR="004034EF" w:rsidRPr="00CB5F81">
        <w:rPr>
          <w:rFonts w:asciiTheme="majorHAnsi" w:eastAsia="Times New Roman" w:hAnsiTheme="majorHAnsi" w:cstheme="majorHAnsi"/>
          <w:lang w:val="ro-MD"/>
        </w:rPr>
        <w:t xml:space="preserve"> fiscale </w:t>
      </w:r>
      <w:r w:rsidR="00F1190A" w:rsidRPr="00CB5F81">
        <w:rPr>
          <w:rFonts w:asciiTheme="majorHAnsi" w:eastAsia="Times New Roman" w:hAnsiTheme="majorHAnsi" w:cstheme="majorHAnsi"/>
          <w:lang w:val="ro-MD"/>
        </w:rPr>
        <w:t xml:space="preserve">sunt stabilite/anulate prin </w:t>
      </w:r>
      <w:r w:rsidR="004034EF" w:rsidRPr="00CB5F81">
        <w:rPr>
          <w:rFonts w:asciiTheme="majorHAnsi" w:eastAsia="Times New Roman" w:hAnsiTheme="majorHAnsi" w:cstheme="majorHAnsi"/>
          <w:lang w:val="ro-MD"/>
        </w:rPr>
        <w:t>politic</w:t>
      </w:r>
      <w:r w:rsidR="00F1190A" w:rsidRPr="00CB5F81">
        <w:rPr>
          <w:rFonts w:asciiTheme="majorHAnsi" w:eastAsia="Times New Roman" w:hAnsiTheme="majorHAnsi" w:cstheme="majorHAnsi"/>
          <w:lang w:val="ro-MD"/>
        </w:rPr>
        <w:t>a</w:t>
      </w:r>
      <w:r w:rsidR="004034EF" w:rsidRPr="00CB5F81">
        <w:rPr>
          <w:rFonts w:asciiTheme="majorHAnsi" w:eastAsia="Times New Roman" w:hAnsiTheme="majorHAnsi" w:cstheme="majorHAnsi"/>
          <w:lang w:val="ro-MD"/>
        </w:rPr>
        <w:t xml:space="preserve"> </w:t>
      </w:r>
      <w:r w:rsidR="003220F5" w:rsidRPr="00CB5F81">
        <w:rPr>
          <w:rFonts w:asciiTheme="majorHAnsi" w:hAnsiTheme="majorHAnsi" w:cstheme="majorHAnsi"/>
          <w:iCs/>
          <w:lang w:val="ro-MD"/>
        </w:rPr>
        <w:t>bugetar-fiscal</w:t>
      </w:r>
      <w:r w:rsidR="00F1190A" w:rsidRPr="00CB5F81">
        <w:rPr>
          <w:rFonts w:asciiTheme="majorHAnsi" w:hAnsiTheme="majorHAnsi" w:cstheme="majorHAnsi"/>
          <w:iCs/>
          <w:lang w:val="ro-MD"/>
        </w:rPr>
        <w:t>ă</w:t>
      </w:r>
      <w:r w:rsidR="00715C7C" w:rsidRPr="00CB5F81">
        <w:rPr>
          <w:rFonts w:asciiTheme="majorHAnsi" w:hAnsiTheme="majorHAnsi" w:cstheme="majorHAnsi"/>
          <w:iCs/>
          <w:lang w:val="ro-MD"/>
        </w:rPr>
        <w:t xml:space="preserve"> anual</w:t>
      </w:r>
      <w:r w:rsidR="00F1190A" w:rsidRPr="00CB5F81">
        <w:rPr>
          <w:rFonts w:asciiTheme="majorHAnsi" w:hAnsiTheme="majorHAnsi" w:cstheme="majorHAnsi"/>
          <w:iCs/>
          <w:lang w:val="ro-MD"/>
        </w:rPr>
        <w:t>ă,</w:t>
      </w:r>
      <w:r w:rsidR="00F829A2" w:rsidRPr="00CB5F81">
        <w:rPr>
          <w:rFonts w:asciiTheme="majorHAnsi" w:hAnsiTheme="majorHAnsi" w:cstheme="majorHAnsi"/>
          <w:iCs/>
          <w:lang w:val="ro-MD"/>
        </w:rPr>
        <w:t xml:space="preserve"> de elaborarea și implementarea căreia</w:t>
      </w:r>
      <w:r w:rsidR="0090504E" w:rsidRPr="00CB5F81">
        <w:rPr>
          <w:rFonts w:asciiTheme="majorHAnsi" w:hAnsiTheme="majorHAnsi" w:cstheme="majorHAnsi"/>
          <w:iCs/>
          <w:lang w:val="ro-MD"/>
        </w:rPr>
        <w:t xml:space="preserve"> </w:t>
      </w:r>
      <w:r w:rsidR="00F829A2" w:rsidRPr="00CB5F81">
        <w:rPr>
          <w:rFonts w:asciiTheme="majorHAnsi" w:hAnsiTheme="majorHAnsi" w:cstheme="majorHAnsi"/>
          <w:iCs/>
          <w:lang w:val="ro-MD"/>
        </w:rPr>
        <w:t xml:space="preserve">este responsabil </w:t>
      </w:r>
      <w:r w:rsidR="006D56E5" w:rsidRPr="00CB5F81">
        <w:rPr>
          <w:rFonts w:asciiTheme="majorHAnsi" w:hAnsiTheme="majorHAnsi" w:cstheme="majorHAnsi"/>
          <w:lang w:val="ro-MD"/>
        </w:rPr>
        <w:t>Ministerul Finanțelor</w:t>
      </w:r>
      <w:r w:rsidRPr="00CB5F81">
        <w:rPr>
          <w:rFonts w:asciiTheme="majorHAnsi" w:hAnsiTheme="majorHAnsi" w:cstheme="majorHAnsi"/>
          <w:lang w:val="ro-MD"/>
        </w:rPr>
        <w:t xml:space="preserve">, în calitate de autoritate publică centrală în domeniul </w:t>
      </w:r>
      <w:r w:rsidR="0090504E" w:rsidRPr="00CB5F81">
        <w:rPr>
          <w:rFonts w:asciiTheme="majorHAnsi" w:hAnsiTheme="majorHAnsi" w:cstheme="majorHAnsi"/>
          <w:lang w:val="ro-MD"/>
        </w:rPr>
        <w:t>finanțel</w:t>
      </w:r>
      <w:r w:rsidRPr="00CB5F81">
        <w:rPr>
          <w:rFonts w:asciiTheme="majorHAnsi" w:hAnsiTheme="majorHAnsi" w:cstheme="majorHAnsi"/>
          <w:lang w:val="ro-MD"/>
        </w:rPr>
        <w:t>or publice</w:t>
      </w:r>
      <w:r w:rsidR="000E5AF2" w:rsidRPr="00CB5F81">
        <w:rPr>
          <w:rFonts w:asciiTheme="majorHAnsi" w:hAnsiTheme="majorHAnsi" w:cstheme="majorHAnsi"/>
          <w:lang w:val="ro-MD"/>
        </w:rPr>
        <w:t xml:space="preserve">, în conlucrare cu alte </w:t>
      </w:r>
      <w:r w:rsidR="001D7B0A" w:rsidRPr="00CB5F81">
        <w:rPr>
          <w:rFonts w:asciiTheme="majorHAnsi" w:hAnsiTheme="majorHAnsi" w:cstheme="majorHAnsi"/>
          <w:lang w:val="ro-MD"/>
        </w:rPr>
        <w:t>autorități responsabile</w:t>
      </w:r>
      <w:r w:rsidR="00297BB4">
        <w:rPr>
          <w:rFonts w:asciiTheme="majorHAnsi" w:hAnsiTheme="majorHAnsi" w:cstheme="majorHAnsi"/>
          <w:lang w:val="ro-MD"/>
        </w:rPr>
        <w:t xml:space="preserve"> (</w:t>
      </w:r>
      <w:r w:rsidR="00A35625" w:rsidRPr="00CB5F81">
        <w:rPr>
          <w:rFonts w:asciiTheme="majorHAnsi" w:hAnsiTheme="majorHAnsi" w:cstheme="majorHAnsi"/>
          <w:lang w:val="ro-MD"/>
        </w:rPr>
        <w:t>SFS și SV</w:t>
      </w:r>
      <w:r w:rsidR="00297BB4">
        <w:rPr>
          <w:rFonts w:asciiTheme="majorHAnsi" w:hAnsiTheme="majorHAnsi" w:cstheme="majorHAnsi"/>
          <w:lang w:val="ro-MD"/>
        </w:rPr>
        <w:t>)</w:t>
      </w:r>
      <w:r w:rsidR="00A35625" w:rsidRPr="00CB5F81">
        <w:rPr>
          <w:rFonts w:asciiTheme="majorHAnsi" w:hAnsiTheme="majorHAnsi" w:cstheme="majorHAnsi"/>
          <w:lang w:val="ro-MD"/>
        </w:rPr>
        <w:t>.</w:t>
      </w:r>
    </w:p>
    <w:p w:rsidR="0004540E" w:rsidRPr="00CB5F81" w:rsidRDefault="0004540E" w:rsidP="0004540E">
      <w:pPr>
        <w:pStyle w:val="NormalWeb"/>
        <w:spacing w:after="120"/>
        <w:ind w:firstLine="0"/>
        <w:rPr>
          <w:rFonts w:asciiTheme="majorHAnsi" w:eastAsia="Times New Roman" w:hAnsiTheme="majorHAnsi" w:cstheme="majorHAnsi"/>
          <w:lang w:val="ro-MD"/>
        </w:rPr>
      </w:pPr>
      <w:r w:rsidRPr="00CB5F81">
        <w:rPr>
          <w:rFonts w:asciiTheme="majorHAnsi" w:eastAsia="Times New Roman" w:hAnsiTheme="majorHAnsi" w:cstheme="majorHAnsi"/>
          <w:lang w:val="ro-MD"/>
        </w:rPr>
        <w:t>Noțiunea de facilitate fiscală este statuată în art. 5 alin.(33)</w:t>
      </w:r>
      <w:r w:rsidR="00EC1EAF">
        <w:rPr>
          <w:rFonts w:asciiTheme="majorHAnsi" w:eastAsia="Times New Roman" w:hAnsiTheme="majorHAnsi" w:cstheme="majorHAnsi"/>
          <w:lang w:val="ro-MD"/>
        </w:rPr>
        <w:t xml:space="preserve"> </w:t>
      </w:r>
      <w:r w:rsidRPr="00CB5F81">
        <w:rPr>
          <w:rFonts w:asciiTheme="majorHAnsi" w:eastAsia="Times New Roman" w:hAnsiTheme="majorHAnsi" w:cstheme="majorHAnsi"/>
          <w:lang w:val="ro-MD"/>
        </w:rPr>
        <w:t>din</w:t>
      </w:r>
      <w:r w:rsidR="00EC1EAF">
        <w:rPr>
          <w:rFonts w:asciiTheme="majorHAnsi" w:eastAsia="Times New Roman" w:hAnsiTheme="majorHAnsi" w:cstheme="majorHAnsi"/>
          <w:lang w:val="ro-MD"/>
        </w:rPr>
        <w:t xml:space="preserve"> </w:t>
      </w:r>
      <w:r w:rsidRPr="00CB5F81">
        <w:rPr>
          <w:rFonts w:asciiTheme="majorHAnsi" w:eastAsia="Times New Roman" w:hAnsiTheme="majorHAnsi" w:cstheme="majorHAnsi"/>
          <w:lang w:val="ro-MD"/>
        </w:rPr>
        <w:t>Codul</w:t>
      </w:r>
      <w:r w:rsidR="00EC1EAF">
        <w:rPr>
          <w:rFonts w:asciiTheme="majorHAnsi" w:eastAsia="Times New Roman" w:hAnsiTheme="majorHAnsi" w:cstheme="majorHAnsi"/>
          <w:lang w:val="ro-MD"/>
        </w:rPr>
        <w:t xml:space="preserve"> </w:t>
      </w:r>
      <w:r w:rsidRPr="00CB5F81">
        <w:rPr>
          <w:rFonts w:asciiTheme="majorHAnsi" w:eastAsia="Times New Roman" w:hAnsiTheme="majorHAnsi" w:cstheme="majorHAnsi"/>
          <w:lang w:val="ro-MD"/>
        </w:rPr>
        <w:t>fiscal</w:t>
      </w:r>
      <w:r w:rsidR="00297BB4">
        <w:rPr>
          <w:rFonts w:asciiTheme="majorHAnsi" w:eastAsia="Times New Roman" w:hAnsiTheme="majorHAnsi" w:cstheme="majorHAnsi"/>
          <w:lang w:val="ro-MD"/>
        </w:rPr>
        <w:t>,</w:t>
      </w:r>
      <w:r w:rsidRPr="00CB5F81">
        <w:rPr>
          <w:rFonts w:asciiTheme="majorHAnsi" w:eastAsia="Times New Roman" w:hAnsiTheme="majorHAnsi" w:cstheme="majorHAnsi"/>
          <w:lang w:val="ro-MD"/>
        </w:rPr>
        <w:t xml:space="preserve"> fiind stabilită ca </w:t>
      </w:r>
      <w:r w:rsidRPr="00CB5F81">
        <w:rPr>
          <w:rFonts w:asciiTheme="majorHAnsi" w:hAnsiTheme="majorHAnsi" w:cstheme="majorHAnsi"/>
          <w:iCs/>
          <w:lang w:val="ro-MD"/>
        </w:rPr>
        <w:t xml:space="preserve">„suma impozitului sau taxei </w:t>
      </w:r>
      <w:r w:rsidR="00B60175" w:rsidRPr="00CB5F81">
        <w:rPr>
          <w:rFonts w:asciiTheme="majorHAnsi" w:hAnsiTheme="majorHAnsi" w:cstheme="majorHAnsi"/>
          <w:iCs/>
          <w:lang w:val="ro-MD"/>
        </w:rPr>
        <w:t>nevărsată</w:t>
      </w:r>
      <w:r w:rsidR="0063389C" w:rsidRPr="00CB5F81">
        <w:rPr>
          <w:rFonts w:asciiTheme="majorHAnsi" w:hAnsiTheme="majorHAnsi" w:cstheme="majorHAnsi"/>
          <w:iCs/>
          <w:lang w:val="ro-MD"/>
        </w:rPr>
        <w:t xml:space="preserve"> </w:t>
      </w:r>
      <w:r w:rsidRPr="00CB5F81">
        <w:rPr>
          <w:rFonts w:asciiTheme="majorHAnsi" w:hAnsiTheme="majorHAnsi" w:cstheme="majorHAnsi"/>
          <w:iCs/>
          <w:lang w:val="ro-MD"/>
        </w:rPr>
        <w:t>la buget”.</w:t>
      </w:r>
      <w:r w:rsidR="002B2DB9">
        <w:rPr>
          <w:rFonts w:asciiTheme="majorHAnsi" w:eastAsia="Times New Roman" w:hAnsiTheme="majorHAnsi" w:cstheme="majorHAnsi"/>
          <w:lang w:val="ro-MD"/>
        </w:rPr>
        <w:t xml:space="preserve"> Concomitent, </w:t>
      </w:r>
      <w:r w:rsidR="00297BB4">
        <w:rPr>
          <w:rFonts w:asciiTheme="majorHAnsi" w:eastAsia="Times New Roman" w:hAnsiTheme="majorHAnsi" w:cstheme="majorHAnsi"/>
          <w:lang w:val="ro-MD"/>
        </w:rPr>
        <w:t xml:space="preserve">potrivit </w:t>
      </w:r>
      <w:r w:rsidR="002B2DB9" w:rsidRPr="008E6CE7">
        <w:rPr>
          <w:rFonts w:asciiTheme="majorHAnsi" w:eastAsia="Times New Roman" w:hAnsiTheme="majorHAnsi" w:cstheme="majorHAnsi"/>
          <w:lang w:val="ro-MD"/>
        </w:rPr>
        <w:t>art. 6 alin.</w:t>
      </w:r>
      <w:r w:rsidRPr="008E6CE7">
        <w:rPr>
          <w:rFonts w:asciiTheme="majorHAnsi" w:eastAsia="Times New Roman" w:hAnsiTheme="majorHAnsi" w:cstheme="majorHAnsi"/>
          <w:lang w:val="ro-MD"/>
        </w:rPr>
        <w:t xml:space="preserve"> (9) lit</w:t>
      </w:r>
      <w:r w:rsidRPr="00CB5F81">
        <w:rPr>
          <w:rFonts w:asciiTheme="majorHAnsi" w:eastAsia="Times New Roman" w:hAnsiTheme="majorHAnsi" w:cstheme="majorHAnsi"/>
          <w:lang w:val="ro-MD"/>
        </w:rPr>
        <w:t>. g)</w:t>
      </w:r>
      <w:r w:rsidRPr="00CB5F81">
        <w:rPr>
          <w:rStyle w:val="FootnoteReference"/>
          <w:rFonts w:asciiTheme="majorHAnsi" w:hAnsiTheme="majorHAnsi" w:cstheme="majorHAnsi"/>
          <w:iCs/>
          <w:lang w:val="ro-MD"/>
        </w:rPr>
        <w:t xml:space="preserve"> </w:t>
      </w:r>
      <w:r w:rsidRPr="00CB5F81">
        <w:rPr>
          <w:rStyle w:val="FootnoteReference"/>
          <w:rFonts w:asciiTheme="majorHAnsi" w:hAnsiTheme="majorHAnsi" w:cstheme="majorHAnsi"/>
          <w:iCs/>
          <w:lang w:val="ro-MD"/>
        </w:rPr>
        <w:footnoteReference w:id="3"/>
      </w:r>
      <w:r w:rsidRPr="00CB5F81">
        <w:rPr>
          <w:rFonts w:asciiTheme="majorHAnsi" w:eastAsia="Times New Roman" w:hAnsiTheme="majorHAnsi" w:cstheme="majorHAnsi"/>
          <w:lang w:val="ro-MD"/>
        </w:rPr>
        <w:t xml:space="preserve"> din Codul fiscal</w:t>
      </w:r>
      <w:r w:rsidR="00297BB4">
        <w:rPr>
          <w:rFonts w:asciiTheme="majorHAnsi" w:eastAsia="Times New Roman" w:hAnsiTheme="majorHAnsi" w:cstheme="majorHAnsi"/>
          <w:lang w:val="ro-MD"/>
        </w:rPr>
        <w:t>,</w:t>
      </w:r>
      <w:r w:rsidRPr="00CB5F81">
        <w:rPr>
          <w:rFonts w:asciiTheme="majorHAnsi" w:eastAsia="Times New Roman" w:hAnsiTheme="majorHAnsi" w:cstheme="majorHAnsi"/>
          <w:lang w:val="ro-MD"/>
        </w:rPr>
        <w:t xml:space="preserve"> facilitățile (înlesnirile) fiscale constituie „elemente</w:t>
      </w:r>
      <w:r w:rsidR="00297BB4">
        <w:rPr>
          <w:rFonts w:asciiTheme="majorHAnsi" w:eastAsia="Times New Roman" w:hAnsiTheme="majorHAnsi" w:cstheme="majorHAnsi"/>
          <w:lang w:val="ro-MD"/>
        </w:rPr>
        <w:t>le</w:t>
      </w:r>
      <w:r w:rsidRPr="00CB5F81">
        <w:rPr>
          <w:rFonts w:asciiTheme="majorHAnsi" w:eastAsia="Times New Roman" w:hAnsiTheme="majorHAnsi" w:cstheme="majorHAnsi"/>
          <w:lang w:val="ro-MD"/>
        </w:rPr>
        <w:t xml:space="preserve"> de care se ține seama la estimarea obiectului impozabil, la determinarea cuantumului impozitului sau taxei, precum şi la încasarea acestuia, sub formă de: </w:t>
      </w:r>
    </w:p>
    <w:p w:rsidR="0004540E" w:rsidRPr="00CB5F81" w:rsidRDefault="0004540E" w:rsidP="0004540E">
      <w:pPr>
        <w:spacing w:after="0" w:line="240" w:lineRule="auto"/>
        <w:ind w:firstLine="567"/>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 scutire parțială sau totală de impozit sau taxă; </w:t>
      </w:r>
    </w:p>
    <w:p w:rsidR="0004540E" w:rsidRPr="00CB5F81" w:rsidRDefault="0004540E" w:rsidP="0004540E">
      <w:pPr>
        <w:spacing w:after="0" w:line="240" w:lineRule="auto"/>
        <w:ind w:firstLine="567"/>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 scutire parțială sau totală de plata impozitelor sau taxelor; </w:t>
      </w:r>
    </w:p>
    <w:p w:rsidR="0004540E" w:rsidRPr="00CB5F81" w:rsidRDefault="0004540E" w:rsidP="0004540E">
      <w:pPr>
        <w:spacing w:after="0" w:line="240" w:lineRule="auto"/>
        <w:ind w:firstLine="567"/>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 cote reduse ale impozitelor sau taxelor; </w:t>
      </w:r>
    </w:p>
    <w:p w:rsidR="0004540E" w:rsidRPr="00CB5F81" w:rsidRDefault="0004540E" w:rsidP="0004540E">
      <w:pPr>
        <w:spacing w:after="0" w:line="240" w:lineRule="auto"/>
        <w:ind w:firstLine="567"/>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 reducerea obiectului impozabil; </w:t>
      </w:r>
    </w:p>
    <w:p w:rsidR="0004540E" w:rsidRPr="00CB5F81" w:rsidRDefault="0004540E" w:rsidP="0004540E">
      <w:pPr>
        <w:spacing w:after="0" w:line="240" w:lineRule="auto"/>
        <w:ind w:firstLine="567"/>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 amânări ale termenului de achitare a impozitelor sau taxelor; </w:t>
      </w:r>
    </w:p>
    <w:p w:rsidR="00074205" w:rsidRPr="00CB5F81" w:rsidRDefault="0004540E" w:rsidP="00CA50E5">
      <w:pPr>
        <w:spacing w:after="120" w:line="240" w:lineRule="auto"/>
        <w:ind w:firstLine="562"/>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eșalonări ale obligației fiscale.</w:t>
      </w:r>
    </w:p>
    <w:p w:rsidR="00CA50E5" w:rsidRPr="00CB5F81" w:rsidRDefault="00CA50E5" w:rsidP="00901578">
      <w:pPr>
        <w:spacing w:after="120" w:line="240" w:lineRule="auto"/>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Potrivit modificărilor operate î</w:t>
      </w:r>
      <w:r w:rsidR="00F42B13" w:rsidRPr="00CB5F81">
        <w:rPr>
          <w:rFonts w:asciiTheme="majorHAnsi" w:eastAsia="Times New Roman" w:hAnsiTheme="majorHAnsi" w:cstheme="majorHAnsi"/>
          <w:sz w:val="24"/>
          <w:szCs w:val="24"/>
        </w:rPr>
        <w:t>n</w:t>
      </w:r>
      <w:r w:rsidRPr="00CB5F81">
        <w:rPr>
          <w:rFonts w:asciiTheme="majorHAnsi" w:eastAsia="Times New Roman" w:hAnsiTheme="majorHAnsi" w:cstheme="majorHAnsi"/>
          <w:sz w:val="24"/>
          <w:szCs w:val="24"/>
        </w:rPr>
        <w:t xml:space="preserve"> Codul fiscal prin Legea nr. 288</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din</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15.12.2017</w:t>
      </w:r>
      <w:r w:rsidRPr="00CB5F81">
        <w:rPr>
          <w:rStyle w:val="FootnoteReference"/>
          <w:rFonts w:asciiTheme="majorHAnsi" w:eastAsia="Times New Roman" w:hAnsiTheme="majorHAnsi" w:cstheme="majorHAnsi"/>
          <w:sz w:val="24"/>
          <w:szCs w:val="24"/>
        </w:rPr>
        <w:footnoteReference w:id="4"/>
      </w:r>
      <w:r w:rsidR="00F42B13" w:rsidRPr="00CB5F81">
        <w:rPr>
          <w:rFonts w:asciiTheme="majorHAnsi" w:eastAsia="Times New Roman" w:hAnsiTheme="majorHAnsi" w:cstheme="majorHAnsi"/>
          <w:sz w:val="24"/>
          <w:szCs w:val="24"/>
        </w:rPr>
        <w:t>,</w:t>
      </w:r>
      <w:r w:rsidR="00297BB4">
        <w:rPr>
          <w:rFonts w:asciiTheme="majorHAnsi" w:eastAsia="Times New Roman" w:hAnsiTheme="majorHAnsi" w:cstheme="majorHAnsi"/>
          <w:sz w:val="24"/>
          <w:szCs w:val="24"/>
        </w:rPr>
        <w:t xml:space="preserve"> </w:t>
      </w:r>
      <w:r w:rsidR="00F42B13" w:rsidRPr="00CB5F81">
        <w:rPr>
          <w:rFonts w:asciiTheme="majorHAnsi" w:eastAsia="Times New Roman" w:hAnsiTheme="majorHAnsi" w:cstheme="majorHAnsi"/>
          <w:sz w:val="24"/>
          <w:szCs w:val="24"/>
        </w:rPr>
        <w:t>scutirile personale</w:t>
      </w:r>
      <w:r w:rsidR="00901578" w:rsidRPr="00CB5F81">
        <w:rPr>
          <w:rFonts w:asciiTheme="majorHAnsi" w:eastAsia="Times New Roman" w:hAnsiTheme="majorHAnsi" w:cstheme="majorHAnsi"/>
          <w:sz w:val="24"/>
          <w:szCs w:val="24"/>
        </w:rPr>
        <w:t>, a</w:t>
      </w:r>
      <w:r w:rsidR="00297BB4">
        <w:rPr>
          <w:rFonts w:asciiTheme="majorHAnsi" w:eastAsia="Times New Roman" w:hAnsiTheme="majorHAnsi" w:cstheme="majorHAnsi"/>
          <w:sz w:val="24"/>
          <w:szCs w:val="24"/>
        </w:rPr>
        <w:t>le</w:t>
      </w:r>
      <w:r w:rsidR="00901578" w:rsidRPr="00CB5F81">
        <w:rPr>
          <w:rFonts w:asciiTheme="majorHAnsi" w:eastAsia="Times New Roman" w:hAnsiTheme="majorHAnsi" w:cstheme="majorHAnsi"/>
          <w:sz w:val="24"/>
          <w:szCs w:val="24"/>
        </w:rPr>
        <w:t xml:space="preserve"> soțului/soției</w:t>
      </w:r>
      <w:r w:rsidR="00F42B13" w:rsidRPr="00CB5F81">
        <w:rPr>
          <w:rFonts w:asciiTheme="majorHAnsi" w:eastAsia="Times New Roman" w:hAnsiTheme="majorHAnsi" w:cstheme="majorHAnsi"/>
          <w:sz w:val="24"/>
          <w:szCs w:val="24"/>
        </w:rPr>
        <w:t xml:space="preserve"> și</w:t>
      </w:r>
      <w:r w:rsidR="00297BB4">
        <w:rPr>
          <w:rFonts w:asciiTheme="majorHAnsi" w:eastAsia="Times New Roman" w:hAnsiTheme="majorHAnsi" w:cstheme="majorHAnsi"/>
          <w:sz w:val="24"/>
          <w:szCs w:val="24"/>
        </w:rPr>
        <w:t xml:space="preserve"> ale</w:t>
      </w:r>
      <w:r w:rsidR="00F42B13" w:rsidRPr="00CB5F81">
        <w:rPr>
          <w:rFonts w:asciiTheme="majorHAnsi" w:eastAsia="Times New Roman" w:hAnsiTheme="majorHAnsi" w:cstheme="majorHAnsi"/>
          <w:sz w:val="24"/>
          <w:szCs w:val="24"/>
        </w:rPr>
        <w:t xml:space="preserve"> </w:t>
      </w:r>
      <w:r w:rsidR="00901578" w:rsidRPr="00CB5F81">
        <w:rPr>
          <w:rFonts w:asciiTheme="majorHAnsi" w:eastAsia="Times New Roman" w:hAnsiTheme="majorHAnsi" w:cstheme="majorHAnsi"/>
          <w:sz w:val="24"/>
          <w:szCs w:val="24"/>
        </w:rPr>
        <w:t>persoanelor întreținute</w:t>
      </w:r>
      <w:r w:rsidR="00F42B13" w:rsidRPr="00CB5F81">
        <w:rPr>
          <w:rStyle w:val="FootnoteReference"/>
          <w:rFonts w:asciiTheme="majorHAnsi" w:eastAsia="Times New Roman" w:hAnsiTheme="majorHAnsi" w:cstheme="majorHAnsi"/>
          <w:sz w:val="24"/>
          <w:szCs w:val="24"/>
        </w:rPr>
        <w:footnoteReference w:id="5"/>
      </w:r>
      <w:r w:rsidR="00901578" w:rsidRPr="00CB5F81">
        <w:rPr>
          <w:rFonts w:asciiTheme="majorHAnsi" w:eastAsia="Times New Roman" w:hAnsiTheme="majorHAnsi" w:cstheme="majorHAnsi"/>
          <w:sz w:val="24"/>
          <w:szCs w:val="24"/>
        </w:rPr>
        <w:t>,</w:t>
      </w:r>
      <w:r w:rsidR="00F42B13" w:rsidRPr="00CB5F81">
        <w:rPr>
          <w:rFonts w:asciiTheme="majorHAnsi" w:eastAsia="Times New Roman" w:hAnsiTheme="majorHAnsi" w:cstheme="majorHAnsi"/>
          <w:sz w:val="24"/>
          <w:szCs w:val="24"/>
        </w:rPr>
        <w:t xml:space="preserve">cota redusă a TVA </w:t>
      </w:r>
      <w:r w:rsidR="00966130" w:rsidRPr="00CB5F81">
        <w:rPr>
          <w:rFonts w:asciiTheme="majorHAnsi" w:eastAsia="Times New Roman" w:hAnsiTheme="majorHAnsi" w:cstheme="majorHAnsi"/>
          <w:sz w:val="24"/>
          <w:szCs w:val="24"/>
        </w:rPr>
        <w:t>și</w:t>
      </w:r>
      <w:r w:rsidR="00F42B13" w:rsidRPr="00CB5F81">
        <w:rPr>
          <w:rFonts w:asciiTheme="majorHAnsi" w:eastAsia="Times New Roman" w:hAnsiTheme="majorHAnsi" w:cstheme="majorHAnsi"/>
          <w:sz w:val="24"/>
          <w:szCs w:val="24"/>
        </w:rPr>
        <w:t xml:space="preserve"> scutirea de TVA cu drept de deducere nu se consideră </w:t>
      </w:r>
      <w:r w:rsidR="00901578" w:rsidRPr="00CB5F81">
        <w:rPr>
          <w:rFonts w:asciiTheme="majorHAnsi" w:eastAsia="Times New Roman" w:hAnsiTheme="majorHAnsi" w:cstheme="majorHAnsi"/>
          <w:sz w:val="24"/>
          <w:szCs w:val="24"/>
        </w:rPr>
        <w:t>facilități</w:t>
      </w:r>
      <w:r w:rsidR="00F42B13" w:rsidRPr="00CB5F81">
        <w:rPr>
          <w:rFonts w:asciiTheme="majorHAnsi" w:eastAsia="Times New Roman" w:hAnsiTheme="majorHAnsi" w:cstheme="majorHAnsi"/>
          <w:sz w:val="24"/>
          <w:szCs w:val="24"/>
        </w:rPr>
        <w:t xml:space="preserve"> (înlesniri) fiscale.</w:t>
      </w:r>
    </w:p>
    <w:p w:rsidR="0004540E" w:rsidRPr="00CB5F81" w:rsidRDefault="002B2DB9" w:rsidP="0004540E">
      <w:pPr>
        <w:pStyle w:val="NormalWeb"/>
        <w:spacing w:after="120"/>
        <w:ind w:firstLine="0"/>
        <w:rPr>
          <w:rFonts w:asciiTheme="majorHAnsi" w:eastAsia="Times New Roman" w:hAnsiTheme="majorHAnsi" w:cstheme="majorHAnsi"/>
          <w:lang w:val="ro-MD"/>
        </w:rPr>
      </w:pPr>
      <w:r w:rsidRPr="008E6CE7">
        <w:rPr>
          <w:rFonts w:asciiTheme="majorHAnsi" w:eastAsia="Times New Roman" w:hAnsiTheme="majorHAnsi" w:cstheme="majorHAnsi"/>
          <w:lang w:val="ro-MD"/>
        </w:rPr>
        <w:t>Fiind evaluate</w:t>
      </w:r>
      <w:r>
        <w:rPr>
          <w:rFonts w:asciiTheme="majorHAnsi" w:eastAsia="Times New Roman" w:hAnsiTheme="majorHAnsi" w:cstheme="majorHAnsi"/>
          <w:lang w:val="ro-MD"/>
        </w:rPr>
        <w:t xml:space="preserve"> </w:t>
      </w:r>
      <w:r w:rsidR="0004540E" w:rsidRPr="00CB5F81">
        <w:rPr>
          <w:rFonts w:asciiTheme="majorHAnsi" w:eastAsia="Times New Roman" w:hAnsiTheme="majorHAnsi" w:cstheme="majorHAnsi"/>
          <w:lang w:val="ro-MD"/>
        </w:rPr>
        <w:t xml:space="preserve">prin prisma noțiunii </w:t>
      </w:r>
      <w:r w:rsidR="00EC1EAF">
        <w:rPr>
          <w:rFonts w:asciiTheme="majorHAnsi" w:eastAsia="Times New Roman" w:hAnsiTheme="majorHAnsi" w:cstheme="majorHAnsi"/>
          <w:lang w:val="ro-MD"/>
        </w:rPr>
        <w:t xml:space="preserve"> </w:t>
      </w:r>
      <w:r w:rsidR="00F42B13" w:rsidRPr="00CB5F81">
        <w:rPr>
          <w:rFonts w:asciiTheme="majorHAnsi" w:eastAsia="Times New Roman" w:hAnsiTheme="majorHAnsi" w:cstheme="majorHAnsi"/>
          <w:lang w:val="ro-MD"/>
        </w:rPr>
        <w:t xml:space="preserve">art.2 din </w:t>
      </w:r>
      <w:r w:rsidRPr="008E6CE7">
        <w:rPr>
          <w:rFonts w:asciiTheme="majorHAnsi" w:eastAsia="Times New Roman" w:hAnsiTheme="majorHAnsi" w:cstheme="majorHAnsi"/>
          <w:lang w:val="ro-MD"/>
        </w:rPr>
        <w:t>Codul f</w:t>
      </w:r>
      <w:r w:rsidR="008E6CE7" w:rsidRPr="008E6CE7">
        <w:rPr>
          <w:rFonts w:asciiTheme="majorHAnsi" w:eastAsia="Times New Roman" w:hAnsiTheme="majorHAnsi" w:cstheme="majorHAnsi"/>
          <w:lang w:val="ro-MD"/>
        </w:rPr>
        <w:t>iscal</w:t>
      </w:r>
      <w:r w:rsidR="00297BB4">
        <w:rPr>
          <w:rFonts w:asciiTheme="majorHAnsi" w:eastAsia="Times New Roman" w:hAnsiTheme="majorHAnsi" w:cstheme="majorHAnsi"/>
          <w:lang w:val="ro-MD"/>
        </w:rPr>
        <w:t>,</w:t>
      </w:r>
      <w:r w:rsidR="0004540E" w:rsidRPr="00CB5F81">
        <w:rPr>
          <w:rFonts w:asciiTheme="majorHAnsi" w:eastAsia="Times New Roman" w:hAnsiTheme="majorHAnsi" w:cstheme="majorHAnsi"/>
          <w:lang w:val="ro-MD"/>
        </w:rPr>
        <w:t xml:space="preserve"> care  prevede că </w:t>
      </w:r>
      <w:r w:rsidR="00297BB4">
        <w:rPr>
          <w:rFonts w:asciiTheme="majorHAnsi" w:eastAsia="Times New Roman" w:hAnsiTheme="majorHAnsi" w:cstheme="majorHAnsi"/>
          <w:lang w:val="ro-MD"/>
        </w:rPr>
        <w:t>„</w:t>
      </w:r>
      <w:r w:rsidR="0004540E" w:rsidRPr="00CB5F81">
        <w:rPr>
          <w:rFonts w:asciiTheme="majorHAnsi" w:eastAsia="Times New Roman" w:hAnsiTheme="majorHAnsi" w:cstheme="majorHAnsi"/>
          <w:lang w:val="ro-MD"/>
        </w:rPr>
        <w:t>sistemul fiscal reprezintă totalitatea impozitelor și taxelor, a principiilor, formelor și metodelor de stabilire, modificare şi anulare</w:t>
      </w:r>
      <w:r w:rsidR="003F0973" w:rsidRPr="00CB5F81">
        <w:rPr>
          <w:rFonts w:asciiTheme="majorHAnsi" w:eastAsia="Times New Roman" w:hAnsiTheme="majorHAnsi" w:cstheme="majorHAnsi"/>
          <w:lang w:val="ro-MD"/>
        </w:rPr>
        <w:t xml:space="preserve"> </w:t>
      </w:r>
      <w:r w:rsidR="0004540E" w:rsidRPr="00CB5F81">
        <w:rPr>
          <w:rFonts w:asciiTheme="majorHAnsi" w:eastAsia="Times New Roman" w:hAnsiTheme="majorHAnsi" w:cstheme="majorHAnsi"/>
          <w:lang w:val="ro-MD"/>
        </w:rPr>
        <w:t>a acestora, precum și totalitatea măsurilor ce asigură achitarea lor”, f</w:t>
      </w:r>
      <w:r w:rsidR="0004540E" w:rsidRPr="00CB5F81">
        <w:rPr>
          <w:rFonts w:asciiTheme="majorHAnsi" w:hAnsiTheme="majorHAnsi" w:cstheme="majorHAnsi"/>
          <w:iCs/>
          <w:lang w:val="ro-MD"/>
        </w:rPr>
        <w:t>acilitățile fiscale</w:t>
      </w:r>
      <w:r w:rsidR="00EC1EAF">
        <w:rPr>
          <w:rFonts w:asciiTheme="majorHAnsi" w:hAnsiTheme="majorHAnsi" w:cstheme="majorHAnsi"/>
          <w:iCs/>
          <w:lang w:val="ro-MD"/>
        </w:rPr>
        <w:t xml:space="preserve"> </w:t>
      </w:r>
      <w:r w:rsidR="0004540E" w:rsidRPr="00CB5F81">
        <w:rPr>
          <w:rFonts w:asciiTheme="majorHAnsi" w:hAnsiTheme="majorHAnsi" w:cstheme="majorHAnsi"/>
          <w:iCs/>
          <w:lang w:val="ro-MD"/>
        </w:rPr>
        <w:t xml:space="preserve">se califică </w:t>
      </w:r>
      <w:r w:rsidR="0004540E" w:rsidRPr="00CB5F81">
        <w:rPr>
          <w:rFonts w:asciiTheme="majorHAnsi" w:eastAsia="Times New Roman" w:hAnsiTheme="majorHAnsi" w:cstheme="majorHAnsi"/>
          <w:lang w:val="ro-MD"/>
        </w:rPr>
        <w:t xml:space="preserve">ca componentă a sistemului fiscal. </w:t>
      </w:r>
    </w:p>
    <w:p w:rsidR="00A35625" w:rsidRPr="00CB5F81" w:rsidRDefault="002A14E8" w:rsidP="00C2339C">
      <w:pPr>
        <w:spacing w:after="120" w:line="240" w:lineRule="auto"/>
        <w:jc w:val="both"/>
        <w:rPr>
          <w:rFonts w:asciiTheme="majorHAnsi" w:hAnsiTheme="majorHAnsi" w:cstheme="majorHAnsi"/>
          <w:sz w:val="24"/>
          <w:szCs w:val="24"/>
        </w:rPr>
      </w:pPr>
      <w:r w:rsidRPr="00CB5F81">
        <w:rPr>
          <w:rFonts w:asciiTheme="majorHAnsi" w:hAnsiTheme="majorHAnsi" w:cstheme="majorHAnsi"/>
          <w:sz w:val="24"/>
          <w:szCs w:val="24"/>
        </w:rPr>
        <w:t xml:space="preserve">Semnarea </w:t>
      </w:r>
      <w:r w:rsidR="001B5286" w:rsidRPr="00CB5F81">
        <w:rPr>
          <w:rFonts w:asciiTheme="majorHAnsi" w:hAnsiTheme="majorHAnsi" w:cstheme="majorHAnsi"/>
          <w:sz w:val="24"/>
          <w:szCs w:val="24"/>
        </w:rPr>
        <w:t xml:space="preserve">de către Republica Moldova a </w:t>
      </w:r>
      <w:r w:rsidRPr="00CB5F81">
        <w:rPr>
          <w:rFonts w:asciiTheme="majorHAnsi" w:hAnsiTheme="majorHAnsi" w:cstheme="majorHAnsi"/>
          <w:sz w:val="24"/>
          <w:szCs w:val="24"/>
        </w:rPr>
        <w:t>Acordului de Asociere</w:t>
      </w:r>
      <w:r w:rsidR="001B5286" w:rsidRPr="00CB5F81">
        <w:rPr>
          <w:rFonts w:asciiTheme="majorHAnsi" w:hAnsiTheme="majorHAnsi" w:cstheme="majorHAnsi"/>
          <w:sz w:val="24"/>
          <w:szCs w:val="24"/>
        </w:rPr>
        <w:t xml:space="preserve"> cu Uniunea Europeană</w:t>
      </w:r>
      <w:r w:rsidR="006C6D95">
        <w:rPr>
          <w:rStyle w:val="FootnoteReference"/>
          <w:rFonts w:asciiTheme="majorHAnsi" w:hAnsiTheme="majorHAnsi" w:cstheme="majorHAnsi"/>
          <w:sz w:val="24"/>
          <w:szCs w:val="24"/>
        </w:rPr>
        <w:footnoteReference w:id="6"/>
      </w:r>
      <w:r w:rsidR="00440F46" w:rsidRPr="00CB5F81">
        <w:rPr>
          <w:rFonts w:asciiTheme="majorHAnsi" w:hAnsiTheme="majorHAnsi" w:cstheme="majorHAnsi"/>
          <w:sz w:val="24"/>
          <w:szCs w:val="24"/>
        </w:rPr>
        <w:t xml:space="preserve"> a</w:t>
      </w:r>
      <w:r w:rsidR="00EC1EAF">
        <w:rPr>
          <w:rFonts w:asciiTheme="majorHAnsi" w:hAnsiTheme="majorHAnsi" w:cstheme="majorHAnsi"/>
          <w:sz w:val="24"/>
          <w:szCs w:val="24"/>
        </w:rPr>
        <w:t xml:space="preserve"> </w:t>
      </w:r>
      <w:r w:rsidR="00440F46" w:rsidRPr="00CB5F81">
        <w:rPr>
          <w:rFonts w:asciiTheme="majorHAnsi" w:hAnsiTheme="majorHAnsi" w:cstheme="majorHAnsi"/>
          <w:sz w:val="24"/>
          <w:szCs w:val="24"/>
        </w:rPr>
        <w:t>condiționat alinierea facilităților fiscale acordate sub formă de ajutor de stat la prevederile acquis-ului comunitar.</w:t>
      </w:r>
      <w:r w:rsidR="00A87B8A" w:rsidRPr="00CB5F81">
        <w:rPr>
          <w:rFonts w:asciiTheme="majorHAnsi" w:hAnsiTheme="majorHAnsi" w:cstheme="majorHAnsi"/>
          <w:sz w:val="24"/>
          <w:szCs w:val="24"/>
        </w:rPr>
        <w:t xml:space="preserve"> </w:t>
      </w:r>
      <w:r w:rsidR="00A35625" w:rsidRPr="00CB5F81">
        <w:rPr>
          <w:rFonts w:asciiTheme="majorHAnsi" w:hAnsiTheme="majorHAnsi" w:cstheme="majorHAnsi"/>
          <w:sz w:val="24"/>
          <w:szCs w:val="24"/>
        </w:rPr>
        <w:t xml:space="preserve">Prerogativa de armonizare îi revine </w:t>
      </w:r>
      <w:r w:rsidR="00AA168C" w:rsidRPr="00CB5F81">
        <w:rPr>
          <w:rFonts w:asciiTheme="majorHAnsi" w:hAnsiTheme="majorHAnsi" w:cstheme="majorHAnsi"/>
          <w:sz w:val="24"/>
          <w:szCs w:val="24"/>
        </w:rPr>
        <w:t>Consiliul</w:t>
      </w:r>
      <w:r w:rsidR="00A35625" w:rsidRPr="00CB5F81">
        <w:rPr>
          <w:rFonts w:asciiTheme="majorHAnsi" w:hAnsiTheme="majorHAnsi" w:cstheme="majorHAnsi"/>
          <w:sz w:val="24"/>
          <w:szCs w:val="24"/>
        </w:rPr>
        <w:t>ui</w:t>
      </w:r>
      <w:r w:rsidR="00AA168C" w:rsidRPr="00CB5F81">
        <w:rPr>
          <w:rFonts w:asciiTheme="majorHAnsi" w:hAnsiTheme="majorHAnsi" w:cstheme="majorHAnsi"/>
          <w:sz w:val="24"/>
          <w:szCs w:val="24"/>
        </w:rPr>
        <w:t xml:space="preserve"> Concurenței</w:t>
      </w:r>
      <w:r w:rsidR="00A35625" w:rsidRPr="00CB5F81">
        <w:rPr>
          <w:rFonts w:asciiTheme="majorHAnsi" w:hAnsiTheme="majorHAnsi" w:cstheme="majorHAnsi"/>
          <w:sz w:val="24"/>
          <w:szCs w:val="24"/>
        </w:rPr>
        <w:t>, care</w:t>
      </w:r>
      <w:r w:rsidR="00846680">
        <w:rPr>
          <w:rFonts w:asciiTheme="majorHAnsi" w:hAnsiTheme="majorHAnsi" w:cstheme="majorHAnsi"/>
          <w:sz w:val="24"/>
          <w:szCs w:val="24"/>
        </w:rPr>
        <w:t>,</w:t>
      </w:r>
      <w:r w:rsidR="00EC1EAF">
        <w:rPr>
          <w:rFonts w:asciiTheme="majorHAnsi" w:hAnsiTheme="majorHAnsi" w:cstheme="majorHAnsi"/>
          <w:sz w:val="24"/>
          <w:szCs w:val="24"/>
        </w:rPr>
        <w:t xml:space="preserve"> </w:t>
      </w:r>
      <w:r w:rsidR="00A87B8A" w:rsidRPr="00CB5F81">
        <w:rPr>
          <w:rFonts w:asciiTheme="majorHAnsi" w:hAnsiTheme="majorHAnsi" w:cstheme="majorHAnsi"/>
          <w:sz w:val="24"/>
          <w:szCs w:val="24"/>
        </w:rPr>
        <w:t xml:space="preserve">având atribuția de autorizare, monitorizare și raportare a ajutorului de stat, </w:t>
      </w:r>
      <w:r w:rsidR="00A35625" w:rsidRPr="00CB5F81">
        <w:rPr>
          <w:rFonts w:asciiTheme="majorHAnsi" w:hAnsiTheme="majorHAnsi" w:cstheme="majorHAnsi"/>
          <w:sz w:val="24"/>
          <w:szCs w:val="24"/>
        </w:rPr>
        <w:t>prin prisma potențialului impact</w:t>
      </w:r>
      <w:r w:rsidR="00846680">
        <w:rPr>
          <w:rFonts w:asciiTheme="majorHAnsi" w:hAnsiTheme="majorHAnsi" w:cstheme="majorHAnsi"/>
          <w:sz w:val="24"/>
          <w:szCs w:val="24"/>
        </w:rPr>
        <w:t xml:space="preserve"> pe </w:t>
      </w:r>
      <w:r w:rsidR="00A35625" w:rsidRPr="00CB5F81">
        <w:rPr>
          <w:rFonts w:asciiTheme="majorHAnsi" w:hAnsiTheme="majorHAnsi" w:cstheme="majorHAnsi"/>
          <w:sz w:val="24"/>
          <w:szCs w:val="24"/>
        </w:rPr>
        <w:t xml:space="preserve"> </w:t>
      </w:r>
      <w:r w:rsidR="00A35625" w:rsidRPr="00CB5F81">
        <w:rPr>
          <w:rFonts w:asciiTheme="majorHAnsi" w:hAnsiTheme="majorHAnsi" w:cstheme="majorHAnsi"/>
          <w:sz w:val="24"/>
          <w:szCs w:val="24"/>
        </w:rPr>
        <w:lastRenderedPageBreak/>
        <w:t>care ar putea să-l manifeste acesta asupra mediului concurențial, este autoritate</w:t>
      </w:r>
      <w:r w:rsidR="003F0973" w:rsidRPr="00CB5F81">
        <w:rPr>
          <w:rFonts w:asciiTheme="majorHAnsi" w:hAnsiTheme="majorHAnsi" w:cstheme="majorHAnsi"/>
          <w:sz w:val="24"/>
          <w:szCs w:val="24"/>
        </w:rPr>
        <w:t>a</w:t>
      </w:r>
      <w:r w:rsidR="00A35625" w:rsidRPr="00CB5F81">
        <w:rPr>
          <w:rFonts w:asciiTheme="majorHAnsi" w:hAnsiTheme="majorHAnsi" w:cstheme="majorHAnsi"/>
          <w:sz w:val="24"/>
          <w:szCs w:val="24"/>
        </w:rPr>
        <w:t xml:space="preserve"> c</w:t>
      </w:r>
      <w:r w:rsidR="00846680">
        <w:rPr>
          <w:rFonts w:asciiTheme="majorHAnsi" w:hAnsiTheme="majorHAnsi" w:cstheme="majorHAnsi"/>
          <w:sz w:val="24"/>
          <w:szCs w:val="24"/>
        </w:rPr>
        <w:t>u</w:t>
      </w:r>
      <w:r w:rsidR="00A35625" w:rsidRPr="00CB5F81">
        <w:rPr>
          <w:rFonts w:asciiTheme="majorHAnsi" w:hAnsiTheme="majorHAnsi" w:cstheme="majorHAnsi"/>
          <w:sz w:val="24"/>
          <w:szCs w:val="24"/>
        </w:rPr>
        <w:t xml:space="preserve"> rolul</w:t>
      </w:r>
      <w:r w:rsidR="00EC1EAF">
        <w:rPr>
          <w:rFonts w:asciiTheme="majorHAnsi" w:hAnsiTheme="majorHAnsi" w:cstheme="majorHAnsi"/>
          <w:sz w:val="24"/>
          <w:szCs w:val="24"/>
        </w:rPr>
        <w:t xml:space="preserve"> </w:t>
      </w:r>
      <w:r w:rsidR="00A35625" w:rsidRPr="00CB5F81">
        <w:rPr>
          <w:rFonts w:asciiTheme="majorHAnsi" w:hAnsiTheme="majorHAnsi" w:cstheme="majorHAnsi"/>
          <w:strike/>
          <w:sz w:val="24"/>
          <w:szCs w:val="24"/>
        </w:rPr>
        <w:t xml:space="preserve"> </w:t>
      </w:r>
      <w:r w:rsidR="00A35625" w:rsidRPr="00CB5F81">
        <w:rPr>
          <w:rFonts w:asciiTheme="majorHAnsi" w:hAnsiTheme="majorHAnsi" w:cstheme="majorHAnsi"/>
          <w:sz w:val="24"/>
          <w:szCs w:val="24"/>
        </w:rPr>
        <w:t>participativ în procesul de administrare a facilităților fiscale.</w:t>
      </w:r>
    </w:p>
    <w:p w:rsidR="008A45AD" w:rsidRPr="00CB5F81" w:rsidRDefault="001063D5" w:rsidP="0090504E">
      <w:pPr>
        <w:spacing w:after="0" w:line="240" w:lineRule="auto"/>
        <w:jc w:val="both"/>
        <w:rPr>
          <w:rFonts w:asciiTheme="majorHAnsi" w:hAnsiTheme="majorHAnsi" w:cstheme="majorHAnsi"/>
          <w:sz w:val="24"/>
          <w:szCs w:val="24"/>
        </w:rPr>
      </w:pPr>
      <w:r w:rsidRPr="00CB5F81">
        <w:rPr>
          <w:rFonts w:asciiTheme="majorHAnsi" w:hAnsiTheme="majorHAnsi" w:cstheme="majorHAnsi"/>
          <w:sz w:val="24"/>
          <w:szCs w:val="24"/>
        </w:rPr>
        <w:t xml:space="preserve">Principalele </w:t>
      </w:r>
      <w:r w:rsidR="00606AF0" w:rsidRPr="00CB5F81">
        <w:rPr>
          <w:rFonts w:asciiTheme="majorHAnsi" w:hAnsiTheme="majorHAnsi" w:cstheme="majorHAnsi"/>
          <w:sz w:val="24"/>
          <w:szCs w:val="24"/>
        </w:rPr>
        <w:t>autorități</w:t>
      </w:r>
      <w:r w:rsidRPr="00CB5F81">
        <w:rPr>
          <w:rFonts w:asciiTheme="majorHAnsi" w:hAnsiTheme="majorHAnsi" w:cstheme="majorHAnsi"/>
          <w:sz w:val="24"/>
          <w:szCs w:val="24"/>
        </w:rPr>
        <w:t xml:space="preserve"> ale statului </w:t>
      </w:r>
      <w:r w:rsidR="00606AF0" w:rsidRPr="00CB5F81">
        <w:rPr>
          <w:rFonts w:asciiTheme="majorHAnsi" w:hAnsiTheme="majorHAnsi" w:cstheme="majorHAnsi"/>
          <w:sz w:val="24"/>
          <w:szCs w:val="24"/>
        </w:rPr>
        <w:t>implicate în procesul de administrare a facilităților fiscale</w:t>
      </w:r>
      <w:r w:rsidR="006E056A" w:rsidRPr="00CB5F81">
        <w:rPr>
          <w:rFonts w:asciiTheme="majorHAnsi" w:hAnsiTheme="majorHAnsi" w:cstheme="majorHAnsi"/>
          <w:sz w:val="24"/>
          <w:szCs w:val="24"/>
        </w:rPr>
        <w:t xml:space="preserve"> sunt următoarele:</w:t>
      </w:r>
    </w:p>
    <w:tbl>
      <w:tblPr>
        <w:tblStyle w:val="TableGrid"/>
        <w:tblW w:w="9435" w:type="dxa"/>
        <w:tblLook w:val="04A0" w:firstRow="1" w:lastRow="0" w:firstColumn="1" w:lastColumn="0" w:noHBand="0" w:noVBand="1"/>
      </w:tblPr>
      <w:tblGrid>
        <w:gridCol w:w="2595"/>
        <w:gridCol w:w="2160"/>
        <w:gridCol w:w="1620"/>
        <w:gridCol w:w="3060"/>
      </w:tblGrid>
      <w:tr w:rsidR="00462176" w:rsidRPr="00CB5F81" w:rsidTr="008A6A37">
        <w:trPr>
          <w:trHeight w:val="600"/>
        </w:trPr>
        <w:tc>
          <w:tcPr>
            <w:tcW w:w="9435" w:type="dxa"/>
            <w:gridSpan w:val="4"/>
            <w:tcBorders>
              <w:top w:val="single" w:sz="12" w:space="0" w:color="E7E6E6" w:themeColor="background2"/>
              <w:left w:val="single" w:sz="12" w:space="0" w:color="E7E6E6" w:themeColor="background2"/>
              <w:bottom w:val="single" w:sz="12" w:space="0" w:color="FFFFFF" w:themeColor="background1"/>
              <w:right w:val="single" w:sz="12" w:space="0" w:color="E7E6E6"/>
            </w:tcBorders>
            <w:shd w:val="clear" w:color="auto" w:fill="2E74B5" w:themeFill="accent1" w:themeFillShade="BF"/>
          </w:tcPr>
          <w:p w:rsidR="00462176" w:rsidRPr="00CB5F81" w:rsidRDefault="00462176" w:rsidP="008A6A37">
            <w:pPr>
              <w:jc w:val="center"/>
              <w:rPr>
                <w:rFonts w:asciiTheme="majorHAnsi" w:hAnsiTheme="majorHAnsi" w:cstheme="majorHAnsi"/>
                <w:b/>
                <w:sz w:val="32"/>
                <w:szCs w:val="32"/>
              </w:rPr>
            </w:pPr>
            <w:r w:rsidRPr="00CB5F81">
              <w:rPr>
                <w:rFonts w:asciiTheme="majorHAnsi" w:hAnsiTheme="majorHAnsi" w:cstheme="majorHAnsi"/>
                <w:b/>
                <w:color w:val="FFFFFF" w:themeColor="background1"/>
                <w:sz w:val="32"/>
                <w:szCs w:val="32"/>
              </w:rPr>
              <w:t xml:space="preserve">RESPONSABILITĂȚILE părților implicate în procesul de administrare a facilităților fiscale </w:t>
            </w:r>
          </w:p>
        </w:tc>
      </w:tr>
      <w:tr w:rsidR="00462176" w:rsidRPr="00CB5F81" w:rsidTr="008A6A37">
        <w:trPr>
          <w:trHeight w:val="600"/>
        </w:trPr>
        <w:tc>
          <w:tcPr>
            <w:tcW w:w="2595" w:type="dxa"/>
            <w:tcBorders>
              <w:top w:val="single" w:sz="12" w:space="0" w:color="FFFFFF" w:themeColor="background1"/>
              <w:left w:val="single" w:sz="12" w:space="0" w:color="E7E6E6" w:themeColor="background2"/>
              <w:bottom w:val="single" w:sz="12" w:space="0" w:color="FFFFFF" w:themeColor="background1"/>
              <w:right w:val="single" w:sz="12" w:space="0" w:color="FFFFFF" w:themeColor="background1"/>
            </w:tcBorders>
            <w:shd w:val="clear" w:color="auto" w:fill="F2F2F2" w:themeFill="background1" w:themeFillShade="F2"/>
          </w:tcPr>
          <w:p w:rsidR="00462176" w:rsidRPr="00CB5F81" w:rsidRDefault="00462176" w:rsidP="008A6A37">
            <w:pPr>
              <w:jc w:val="both"/>
              <w:rPr>
                <w:rFonts w:asciiTheme="majorHAnsi" w:hAnsiTheme="majorHAnsi" w:cstheme="majorHAnsi"/>
                <w:sz w:val="20"/>
                <w:szCs w:val="20"/>
              </w:rPr>
            </w:pPr>
            <w:r w:rsidRPr="00CB5F81">
              <w:rPr>
                <w:rFonts w:asciiTheme="majorHAnsi" w:hAnsiTheme="majorHAnsi" w:cstheme="majorHAnsi"/>
              </w:rPr>
              <w:t xml:space="preserve"> </w:t>
            </w:r>
            <w:r w:rsidRPr="00CB5F81">
              <w:rPr>
                <w:rFonts w:asciiTheme="majorHAnsi" w:hAnsiTheme="majorHAnsi" w:cstheme="majorHAnsi"/>
                <w:color w:val="2F5496" w:themeColor="accent5" w:themeShade="BF"/>
              </w:rPr>
              <w:t>Ministerul Finanțelor</w:t>
            </w:r>
            <w:r w:rsidRPr="00CB5F81">
              <w:rPr>
                <w:rFonts w:asciiTheme="majorHAnsi" w:hAnsiTheme="majorHAnsi" w:cstheme="majorHAnsi"/>
              </w:rPr>
              <w:t xml:space="preserve"> – responsabil de elaborarea și</w:t>
            </w:r>
            <w:r w:rsidR="00EC1EAF">
              <w:rPr>
                <w:rFonts w:asciiTheme="majorHAnsi" w:hAnsiTheme="majorHAnsi" w:cstheme="majorHAnsi"/>
              </w:rPr>
              <w:t xml:space="preserve"> </w:t>
            </w:r>
            <w:r w:rsidRPr="00CB5F81">
              <w:rPr>
                <w:rFonts w:asciiTheme="majorHAnsi" w:hAnsiTheme="majorHAnsi" w:cstheme="majorHAnsi"/>
              </w:rPr>
              <w:t>implementarea politicii bugetar-fiscale, exercitând</w:t>
            </w:r>
            <w:r w:rsidR="00EC1EAF">
              <w:rPr>
                <w:rFonts w:asciiTheme="majorHAnsi" w:hAnsiTheme="majorHAnsi" w:cstheme="majorHAnsi"/>
              </w:rPr>
              <w:t xml:space="preserve"> </w:t>
            </w:r>
            <w:r w:rsidRPr="00CB5F81">
              <w:rPr>
                <w:rFonts w:asciiTheme="majorHAnsi" w:hAnsiTheme="majorHAnsi" w:cstheme="majorHAnsi"/>
              </w:rPr>
              <w:t>dirijarea metodologică a activității Serviciului Fiscal de Stat în administrarea facilităților fiscale, fără ingerințe în activitatea desfășurată</w:t>
            </w:r>
            <w:r w:rsidR="003F0973" w:rsidRPr="00CB5F81">
              <w:rPr>
                <w:rFonts w:asciiTheme="majorHAnsi" w:hAnsiTheme="majorHAnsi" w:cstheme="majorHAnsi"/>
              </w:rPr>
              <w:t xml:space="preserve"> de acesta</w:t>
            </w:r>
            <w:r w:rsidRPr="00CB5F81">
              <w:rPr>
                <w:rFonts w:asciiTheme="majorHAnsi" w:hAnsiTheme="majorHAnsi" w:cstheme="majorHAnsi"/>
              </w:rPr>
              <w:t>.</w:t>
            </w:r>
          </w:p>
        </w:tc>
        <w:tc>
          <w:tcPr>
            <w:tcW w:w="21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462176" w:rsidRPr="00CB5F81" w:rsidRDefault="00462176" w:rsidP="008A6A37">
            <w:pPr>
              <w:jc w:val="both"/>
              <w:rPr>
                <w:rFonts w:asciiTheme="majorHAnsi" w:hAnsiTheme="majorHAnsi" w:cstheme="majorHAnsi"/>
                <w:sz w:val="20"/>
                <w:szCs w:val="20"/>
              </w:rPr>
            </w:pPr>
            <w:r w:rsidRPr="00CB5F81">
              <w:rPr>
                <w:rFonts w:asciiTheme="majorHAnsi" w:hAnsiTheme="majorHAnsi" w:cstheme="majorHAnsi"/>
                <w:color w:val="0070C0"/>
              </w:rPr>
              <w:t xml:space="preserve"> </w:t>
            </w:r>
            <w:r w:rsidRPr="000B0D94">
              <w:rPr>
                <w:rFonts w:asciiTheme="majorHAnsi" w:hAnsiTheme="majorHAnsi" w:cstheme="majorHAnsi"/>
                <w:color w:val="2F5496" w:themeColor="accent5" w:themeShade="BF"/>
              </w:rPr>
              <w:t>Ministerul Economiei și Infrastructurii</w:t>
            </w:r>
            <w:r w:rsidRPr="00CB5F81">
              <w:rPr>
                <w:rFonts w:asciiTheme="majorHAnsi" w:hAnsiTheme="majorHAnsi" w:cstheme="majorHAnsi"/>
                <w:color w:val="2F5496" w:themeColor="accent5" w:themeShade="BF"/>
                <w:sz w:val="20"/>
                <w:szCs w:val="20"/>
              </w:rPr>
              <w:t xml:space="preserve"> </w:t>
            </w:r>
            <w:r w:rsidRPr="00CB5F81">
              <w:rPr>
                <w:rFonts w:asciiTheme="majorHAnsi" w:hAnsiTheme="majorHAnsi" w:cstheme="majorHAnsi"/>
                <w:color w:val="0070C0"/>
                <w:sz w:val="20"/>
                <w:szCs w:val="20"/>
              </w:rPr>
              <w:t>-</w:t>
            </w:r>
            <w:r w:rsidR="009D120A" w:rsidRPr="00CB5F81">
              <w:rPr>
                <w:rFonts w:asciiTheme="majorHAnsi" w:hAnsiTheme="majorHAnsi" w:cstheme="majorHAnsi"/>
                <w:sz w:val="20"/>
                <w:szCs w:val="20"/>
              </w:rPr>
              <w:t xml:space="preserve"> </w:t>
            </w:r>
            <w:r w:rsidRPr="00CB5F81">
              <w:rPr>
                <w:rFonts w:asciiTheme="majorHAnsi" w:hAnsiTheme="majorHAnsi" w:cstheme="majorHAnsi"/>
              </w:rPr>
              <w:t>în calitate de autoritate publică centrală, este abilitată</w:t>
            </w:r>
            <w:r w:rsidR="00846680">
              <w:rPr>
                <w:rFonts w:asciiTheme="majorHAnsi" w:hAnsiTheme="majorHAnsi" w:cstheme="majorHAnsi"/>
              </w:rPr>
              <w:t xml:space="preserve"> </w:t>
            </w:r>
            <w:r w:rsidRPr="00CB5F81">
              <w:rPr>
                <w:rFonts w:asciiTheme="majorHAnsi" w:hAnsiTheme="majorHAnsi" w:cstheme="majorHAnsi"/>
              </w:rPr>
              <w:t>să promoveze politica economică a statului</w:t>
            </w:r>
            <w:r w:rsidRPr="00CB5F81">
              <w:rPr>
                <w:rFonts w:asciiTheme="majorHAnsi" w:hAnsiTheme="majorHAnsi" w:cstheme="majorHAnsi"/>
                <w:sz w:val="20"/>
                <w:szCs w:val="20"/>
              </w:rPr>
              <w:t>.</w:t>
            </w:r>
          </w:p>
        </w:tc>
        <w:tc>
          <w:tcPr>
            <w:tcW w:w="16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462176" w:rsidRPr="00CB5F81" w:rsidRDefault="00462176" w:rsidP="008A6A37">
            <w:pPr>
              <w:jc w:val="both"/>
              <w:rPr>
                <w:rFonts w:asciiTheme="majorHAnsi" w:hAnsiTheme="majorHAnsi" w:cstheme="majorHAnsi"/>
                <w:noProof/>
                <w:color w:val="0070C0"/>
              </w:rPr>
            </w:pPr>
            <w:r w:rsidRPr="00CB5F81">
              <w:rPr>
                <w:rFonts w:asciiTheme="majorHAnsi" w:hAnsiTheme="majorHAnsi" w:cstheme="majorHAnsi"/>
                <w:iCs/>
                <w:color w:val="2F5496" w:themeColor="accent5" w:themeShade="BF"/>
              </w:rPr>
              <w:t>Serviciul Fiscal de Stat</w:t>
            </w:r>
            <w:r w:rsidR="00846680">
              <w:rPr>
                <w:rFonts w:asciiTheme="majorHAnsi" w:hAnsiTheme="majorHAnsi" w:cstheme="majorHAnsi"/>
              </w:rPr>
              <w:t xml:space="preserve"> – </w:t>
            </w:r>
            <w:r w:rsidR="00EC1EAF">
              <w:rPr>
                <w:rFonts w:asciiTheme="majorHAnsi" w:hAnsiTheme="majorHAnsi" w:cstheme="majorHAnsi"/>
              </w:rPr>
              <w:t xml:space="preserve"> </w:t>
            </w:r>
            <w:r w:rsidRPr="00CB5F81">
              <w:rPr>
                <w:rFonts w:asciiTheme="majorHAnsi" w:hAnsiTheme="majorHAnsi" w:cstheme="majorHAnsi"/>
              </w:rPr>
              <w:t>realiz</w:t>
            </w:r>
            <w:r w:rsidR="00846680">
              <w:rPr>
                <w:rFonts w:asciiTheme="majorHAnsi" w:hAnsiTheme="majorHAnsi" w:cstheme="majorHAnsi"/>
              </w:rPr>
              <w:t xml:space="preserve">ează </w:t>
            </w:r>
            <w:r w:rsidRPr="00CB5F81">
              <w:rPr>
                <w:rFonts w:asciiTheme="majorHAnsi" w:hAnsiTheme="majorHAnsi" w:cstheme="majorHAnsi"/>
              </w:rPr>
              <w:t xml:space="preserve"> atribuții</w:t>
            </w:r>
            <w:r w:rsidR="00846680">
              <w:rPr>
                <w:rFonts w:asciiTheme="majorHAnsi" w:hAnsiTheme="majorHAnsi" w:cstheme="majorHAnsi"/>
              </w:rPr>
              <w:t xml:space="preserve"> </w:t>
            </w:r>
            <w:r w:rsidRPr="00CB5F81">
              <w:rPr>
                <w:rFonts w:asciiTheme="majorHAnsi" w:hAnsiTheme="majorHAnsi" w:cstheme="majorHAnsi"/>
              </w:rPr>
              <w:t xml:space="preserve"> aferente</w:t>
            </w:r>
            <w:r w:rsidR="00EC1EAF">
              <w:rPr>
                <w:rFonts w:asciiTheme="majorHAnsi" w:hAnsiTheme="majorHAnsi" w:cstheme="majorHAnsi"/>
              </w:rPr>
              <w:t xml:space="preserve"> </w:t>
            </w:r>
            <w:r w:rsidRPr="00CB5F81">
              <w:rPr>
                <w:rFonts w:asciiTheme="majorHAnsi" w:hAnsiTheme="majorHAnsi" w:cstheme="majorHAnsi"/>
              </w:rPr>
              <w:t>administrării fiscale</w:t>
            </w:r>
          </w:p>
        </w:tc>
        <w:tc>
          <w:tcPr>
            <w:tcW w:w="3060" w:type="dxa"/>
            <w:tcBorders>
              <w:top w:val="single" w:sz="12" w:space="0" w:color="FFFFFF" w:themeColor="background1"/>
              <w:left w:val="single" w:sz="12" w:space="0" w:color="FFFFFF" w:themeColor="background1"/>
              <w:bottom w:val="single" w:sz="12" w:space="0" w:color="FFFFFF" w:themeColor="background1"/>
              <w:right w:val="single" w:sz="12" w:space="0" w:color="E7E6E6" w:themeColor="background2"/>
            </w:tcBorders>
            <w:shd w:val="clear" w:color="auto" w:fill="F2F2F2" w:themeFill="background1" w:themeFillShade="F2"/>
          </w:tcPr>
          <w:p w:rsidR="00462176" w:rsidRPr="00CB5F81" w:rsidRDefault="00462176" w:rsidP="0063389C">
            <w:pPr>
              <w:jc w:val="both"/>
              <w:rPr>
                <w:rFonts w:asciiTheme="majorHAnsi" w:hAnsiTheme="majorHAnsi" w:cstheme="majorHAnsi"/>
                <w:sz w:val="20"/>
                <w:szCs w:val="20"/>
              </w:rPr>
            </w:pPr>
            <w:r w:rsidRPr="00CB5F81">
              <w:rPr>
                <w:rFonts w:asciiTheme="majorHAnsi" w:hAnsiTheme="majorHAnsi" w:cstheme="majorHAnsi"/>
              </w:rPr>
              <w:t xml:space="preserve"> </w:t>
            </w:r>
            <w:r w:rsidRPr="00CB5F81">
              <w:rPr>
                <w:rFonts w:asciiTheme="majorHAnsi" w:hAnsiTheme="majorHAnsi" w:cstheme="majorHAnsi"/>
                <w:iCs/>
                <w:color w:val="2F5496" w:themeColor="accent5" w:themeShade="BF"/>
              </w:rPr>
              <w:t>Consiliul Concurenței</w:t>
            </w:r>
            <w:r w:rsidR="00846680">
              <w:rPr>
                <w:rFonts w:asciiTheme="majorHAnsi" w:hAnsiTheme="majorHAnsi" w:cstheme="majorHAnsi"/>
                <w:iCs/>
                <w:color w:val="2F5496" w:themeColor="accent5" w:themeShade="BF"/>
              </w:rPr>
              <w:t xml:space="preserve"> </w:t>
            </w:r>
            <w:r w:rsidR="003F0973" w:rsidRPr="00CB5F81">
              <w:rPr>
                <w:rFonts w:asciiTheme="majorHAnsi" w:hAnsiTheme="majorHAnsi" w:cstheme="majorHAnsi"/>
              </w:rPr>
              <w:t xml:space="preserve">– </w:t>
            </w:r>
            <w:r w:rsidRPr="00CB5F81">
              <w:rPr>
                <w:rFonts w:asciiTheme="majorHAnsi" w:hAnsiTheme="majorHAnsi" w:cstheme="majorHAnsi"/>
              </w:rPr>
              <w:t xml:space="preserve">autoritate de concurență națională, </w:t>
            </w:r>
            <w:r w:rsidR="006D6287" w:rsidRPr="00CB5F81">
              <w:rPr>
                <w:rFonts w:asciiTheme="majorHAnsi" w:hAnsiTheme="majorHAnsi" w:cstheme="majorHAnsi"/>
              </w:rPr>
              <w:t xml:space="preserve">care </w:t>
            </w:r>
            <w:r w:rsidRPr="00CB5F81">
              <w:rPr>
                <w:rFonts w:asciiTheme="majorHAnsi" w:hAnsiTheme="majorHAnsi" w:cstheme="majorHAnsi"/>
              </w:rPr>
              <w:t>este abilitat</w:t>
            </w:r>
            <w:r w:rsidR="006D6287" w:rsidRPr="00CB5F81">
              <w:rPr>
                <w:rFonts w:asciiTheme="majorHAnsi" w:hAnsiTheme="majorHAnsi" w:cstheme="majorHAnsi"/>
              </w:rPr>
              <w:t>ă</w:t>
            </w:r>
            <w:r w:rsidRPr="00CB5F81">
              <w:rPr>
                <w:rFonts w:asciiTheme="majorHAnsi" w:hAnsiTheme="majorHAnsi" w:cstheme="majorHAnsi"/>
              </w:rPr>
              <w:t xml:space="preserve"> cu atribuții de autorizare, monitorizare şi raportare a ajutorului de stat, ca parte componentă a sistemului de facilități fiscale.</w:t>
            </w:r>
          </w:p>
        </w:tc>
      </w:tr>
    </w:tbl>
    <w:p w:rsidR="00462176" w:rsidRPr="00CB5F81" w:rsidRDefault="00462176" w:rsidP="00462176">
      <w:pPr>
        <w:pStyle w:val="NormalWeb"/>
        <w:spacing w:after="120"/>
        <w:ind w:firstLine="0"/>
        <w:rPr>
          <w:lang w:val="ro-MD"/>
        </w:rPr>
      </w:pPr>
    </w:p>
    <w:p w:rsidR="00462176" w:rsidRPr="00CB5F81" w:rsidRDefault="00462176" w:rsidP="00B44F2F">
      <w:pPr>
        <w:pStyle w:val="NormalWeb"/>
        <w:spacing w:after="240"/>
        <w:ind w:firstLine="0"/>
        <w:rPr>
          <w:rFonts w:asciiTheme="majorHAnsi" w:hAnsiTheme="majorHAnsi" w:cstheme="majorHAnsi"/>
          <w:lang w:val="ro-MD"/>
        </w:rPr>
      </w:pPr>
      <w:r w:rsidRPr="00CB5F81">
        <w:rPr>
          <w:rFonts w:asciiTheme="majorHAnsi" w:hAnsiTheme="majorHAnsi" w:cstheme="majorHAnsi"/>
          <w:lang w:val="ro-MD"/>
        </w:rPr>
        <w:t xml:space="preserve">Subsecvent, în calitate de participanți ai sistemului facilităților fiscale și vamale sunt și </w:t>
      </w:r>
      <w:r w:rsidRPr="00CB5F81">
        <w:rPr>
          <w:rFonts w:asciiTheme="majorHAnsi" w:hAnsiTheme="majorHAnsi" w:cstheme="majorHAnsi"/>
          <w:i/>
          <w:iCs/>
          <w:lang w:val="ro-MD"/>
        </w:rPr>
        <w:t>beneficiarii</w:t>
      </w:r>
      <w:r w:rsidR="00846680">
        <w:rPr>
          <w:rFonts w:asciiTheme="majorHAnsi" w:hAnsiTheme="majorHAnsi" w:cstheme="majorHAnsi"/>
          <w:i/>
          <w:iCs/>
          <w:lang w:val="ro-MD"/>
        </w:rPr>
        <w:t xml:space="preserve"> acestora,</w:t>
      </w:r>
      <w:r w:rsidRPr="00CB5F81">
        <w:rPr>
          <w:rFonts w:asciiTheme="majorHAnsi" w:hAnsiTheme="majorHAnsi" w:cstheme="majorHAnsi"/>
          <w:i/>
          <w:iCs/>
          <w:lang w:val="ro-MD"/>
        </w:rPr>
        <w:t xml:space="preserve"> </w:t>
      </w:r>
      <w:r w:rsidRPr="00CB5F81">
        <w:rPr>
          <w:rFonts w:asciiTheme="majorHAnsi" w:hAnsiTheme="majorHAnsi" w:cstheme="majorHAnsi"/>
          <w:lang w:val="ro-MD"/>
        </w:rPr>
        <w:t>care pot fi orice persoană fizică sau juridică independentă</w:t>
      </w:r>
      <w:r w:rsidR="00846680">
        <w:rPr>
          <w:rFonts w:asciiTheme="majorHAnsi" w:hAnsiTheme="majorHAnsi" w:cstheme="majorHAnsi"/>
          <w:lang w:val="ro-MD"/>
        </w:rPr>
        <w:t xml:space="preserve"> c</w:t>
      </w:r>
      <w:r w:rsidRPr="00CB5F81">
        <w:rPr>
          <w:rFonts w:asciiTheme="majorHAnsi" w:hAnsiTheme="majorHAnsi" w:cstheme="majorHAnsi"/>
          <w:lang w:val="ro-MD"/>
        </w:rPr>
        <w:t xml:space="preserve">e beneficiază </w:t>
      </w:r>
      <w:r w:rsidR="00572166">
        <w:rPr>
          <w:rFonts w:asciiTheme="majorHAnsi" w:hAnsiTheme="majorHAnsi" w:cstheme="majorHAnsi"/>
          <w:lang w:val="ro-MD"/>
        </w:rPr>
        <w:t xml:space="preserve"> </w:t>
      </w:r>
      <w:r w:rsidR="00846680">
        <w:rPr>
          <w:rFonts w:asciiTheme="majorHAnsi" w:hAnsiTheme="majorHAnsi" w:cstheme="majorHAnsi"/>
          <w:lang w:val="ro-MD"/>
        </w:rPr>
        <w:t xml:space="preserve">de </w:t>
      </w:r>
      <w:r w:rsidR="00572166">
        <w:rPr>
          <w:rFonts w:asciiTheme="majorHAnsi" w:hAnsiTheme="majorHAnsi" w:cstheme="majorHAnsi"/>
          <w:lang w:val="ro-MD"/>
        </w:rPr>
        <w:t>înlesniri fiscale și vamale</w:t>
      </w:r>
      <w:r w:rsidRPr="00CB5F81">
        <w:rPr>
          <w:rFonts w:asciiTheme="majorHAnsi" w:hAnsiTheme="majorHAnsi" w:cstheme="majorHAnsi"/>
          <w:lang w:val="ro-MD"/>
        </w:rPr>
        <w:t>.</w:t>
      </w:r>
    </w:p>
    <w:p w:rsidR="008E4511" w:rsidRPr="00CB5F81" w:rsidRDefault="00462176" w:rsidP="00F20042">
      <w:pPr>
        <w:pStyle w:val="Heading3"/>
        <w:spacing w:after="120"/>
        <w:rPr>
          <w:rFonts w:eastAsia="Times New Roman" w:cstheme="majorHAnsi"/>
          <w:b/>
          <w:color w:val="2E74B5" w:themeColor="accent1" w:themeShade="BF"/>
        </w:rPr>
      </w:pPr>
      <w:r w:rsidRPr="00CB5F81">
        <w:rPr>
          <w:rFonts w:cstheme="majorHAnsi"/>
        </w:rPr>
        <w:t xml:space="preserve"> </w:t>
      </w:r>
      <w:bookmarkStart w:id="14" w:name="_Toc111467861"/>
      <w:r w:rsidR="008E4511" w:rsidRPr="00CB5F81">
        <w:rPr>
          <w:rFonts w:eastAsia="Times New Roman" w:cstheme="majorHAnsi"/>
          <w:b/>
          <w:color w:val="2E74B5" w:themeColor="accent1" w:themeShade="BF"/>
        </w:rPr>
        <w:t>2.2</w:t>
      </w:r>
      <w:r w:rsidR="00F20042" w:rsidRPr="00CB5F81">
        <w:rPr>
          <w:rFonts w:eastAsia="Times New Roman" w:cstheme="majorHAnsi"/>
          <w:b/>
          <w:color w:val="2E74B5" w:themeColor="accent1" w:themeShade="BF"/>
        </w:rPr>
        <w:t>.</w:t>
      </w:r>
      <w:r w:rsidR="00A74E74" w:rsidRPr="00CB5F81">
        <w:rPr>
          <w:rFonts w:eastAsia="Times New Roman" w:cstheme="majorHAnsi"/>
          <w:b/>
          <w:color w:val="2E74B5" w:themeColor="accent1" w:themeShade="BF"/>
        </w:rPr>
        <w:t xml:space="preserve"> </w:t>
      </w:r>
      <w:r w:rsidR="007F2B0D" w:rsidRPr="00CB5F81">
        <w:rPr>
          <w:rFonts w:eastAsia="Times New Roman" w:cstheme="majorHAnsi"/>
          <w:b/>
          <w:color w:val="2E74B5" w:themeColor="accent1" w:themeShade="BF"/>
        </w:rPr>
        <w:t>Date</w:t>
      </w:r>
      <w:r w:rsidR="004C4031" w:rsidRPr="00CB5F81">
        <w:rPr>
          <w:rFonts w:eastAsia="Times New Roman" w:cstheme="majorHAnsi"/>
          <w:b/>
          <w:color w:val="2E74B5" w:themeColor="accent1" w:themeShade="BF"/>
        </w:rPr>
        <w:t xml:space="preserve"> de context general</w:t>
      </w:r>
      <w:r w:rsidR="00EC1EAF">
        <w:rPr>
          <w:rFonts w:eastAsia="Times New Roman" w:cstheme="majorHAnsi"/>
          <w:b/>
          <w:color w:val="2E74B5" w:themeColor="accent1" w:themeShade="BF"/>
        </w:rPr>
        <w:t xml:space="preserve"> </w:t>
      </w:r>
      <w:r w:rsidR="004C4031" w:rsidRPr="00CB5F81">
        <w:rPr>
          <w:rFonts w:eastAsia="Times New Roman" w:cstheme="majorHAnsi"/>
          <w:b/>
          <w:color w:val="2E74B5" w:themeColor="accent1" w:themeShade="BF"/>
        </w:rPr>
        <w:t>privind sistemul de</w:t>
      </w:r>
      <w:r w:rsidR="00EC1EAF">
        <w:rPr>
          <w:rFonts w:eastAsia="Times New Roman" w:cstheme="majorHAnsi"/>
          <w:b/>
          <w:color w:val="2E74B5" w:themeColor="accent1" w:themeShade="BF"/>
        </w:rPr>
        <w:t xml:space="preserve"> </w:t>
      </w:r>
      <w:r w:rsidR="00A74E74" w:rsidRPr="00CB5F81">
        <w:rPr>
          <w:rFonts w:eastAsia="Times New Roman" w:cstheme="majorHAnsi"/>
          <w:b/>
          <w:color w:val="2E74B5" w:themeColor="accent1" w:themeShade="BF"/>
        </w:rPr>
        <w:t>facilități</w:t>
      </w:r>
      <w:bookmarkEnd w:id="14"/>
    </w:p>
    <w:p w:rsidR="00890789" w:rsidRPr="0003304C" w:rsidRDefault="002F4462" w:rsidP="007B342E">
      <w:pPr>
        <w:pStyle w:val="NormalWeb"/>
        <w:ind w:firstLine="0"/>
        <w:rPr>
          <w:rFonts w:asciiTheme="majorHAnsi" w:eastAsia="Times New Roman" w:hAnsiTheme="majorHAnsi" w:cstheme="majorHAnsi"/>
          <w:lang w:val="ro-MD"/>
        </w:rPr>
      </w:pPr>
      <w:r w:rsidRPr="00CB5F81">
        <w:rPr>
          <w:rFonts w:asciiTheme="majorHAnsi" w:eastAsia="Times New Roman" w:hAnsiTheme="majorHAnsi" w:cstheme="majorHAnsi"/>
          <w:lang w:val="ro-MD"/>
        </w:rPr>
        <w:t>E</w:t>
      </w:r>
      <w:r w:rsidR="00C22993" w:rsidRPr="00CB5F81">
        <w:rPr>
          <w:rFonts w:asciiTheme="majorHAnsi" w:eastAsia="Times New Roman" w:hAnsiTheme="majorHAnsi" w:cstheme="majorHAnsi"/>
          <w:lang w:val="ro-MD"/>
        </w:rPr>
        <w:t xml:space="preserve">voluția </w:t>
      </w:r>
      <w:r w:rsidR="006D6287" w:rsidRPr="00CB5F81">
        <w:rPr>
          <w:rFonts w:asciiTheme="majorHAnsi" w:eastAsia="Times New Roman" w:hAnsiTheme="majorHAnsi" w:cstheme="majorHAnsi"/>
          <w:lang w:val="ro-MD"/>
        </w:rPr>
        <w:t xml:space="preserve">principalilor </w:t>
      </w:r>
      <w:r w:rsidR="00C22993" w:rsidRPr="00CB5F81">
        <w:rPr>
          <w:rFonts w:asciiTheme="majorHAnsi" w:eastAsia="Times New Roman" w:hAnsiTheme="majorHAnsi" w:cstheme="majorHAnsi"/>
          <w:lang w:val="ro-MD"/>
        </w:rPr>
        <w:t xml:space="preserve">indicatori privind cuantumul facilităților administrate de autoritățile statului în </w:t>
      </w:r>
      <w:r w:rsidR="00C22993" w:rsidRPr="008E6CE7">
        <w:rPr>
          <w:rFonts w:asciiTheme="majorHAnsi" w:eastAsia="Times New Roman" w:hAnsiTheme="majorHAnsi" w:cstheme="majorHAnsi"/>
          <w:lang w:val="ro-MD"/>
        </w:rPr>
        <w:t xml:space="preserve">anii </w:t>
      </w:r>
      <w:r w:rsidR="0003304C" w:rsidRPr="008E6CE7">
        <w:rPr>
          <w:rFonts w:asciiTheme="majorHAnsi" w:eastAsia="Times New Roman" w:hAnsiTheme="majorHAnsi" w:cstheme="majorHAnsi"/>
          <w:lang w:val="ro-MD"/>
        </w:rPr>
        <w:t xml:space="preserve">2016 </w:t>
      </w:r>
      <w:r w:rsidR="008E6CE7" w:rsidRPr="008E6CE7">
        <w:rPr>
          <w:rFonts w:asciiTheme="majorHAnsi" w:eastAsia="Times New Roman" w:hAnsiTheme="majorHAnsi" w:cstheme="majorHAnsi"/>
          <w:strike/>
          <w:lang w:val="ro-MD"/>
        </w:rPr>
        <w:t xml:space="preserve">- </w:t>
      </w:r>
      <w:r w:rsidR="00C22993" w:rsidRPr="008E6CE7">
        <w:rPr>
          <w:rFonts w:asciiTheme="majorHAnsi" w:eastAsia="Times New Roman" w:hAnsiTheme="majorHAnsi" w:cstheme="majorHAnsi"/>
          <w:lang w:val="ro-MD"/>
        </w:rPr>
        <w:t>2020</w:t>
      </w:r>
      <w:r w:rsidR="00EC1EAF" w:rsidRPr="0003304C">
        <w:rPr>
          <w:rFonts w:asciiTheme="majorHAnsi" w:eastAsia="Times New Roman" w:hAnsiTheme="majorHAnsi" w:cstheme="majorHAnsi"/>
          <w:lang w:val="ro-MD"/>
        </w:rPr>
        <w:t xml:space="preserve"> </w:t>
      </w:r>
      <w:r w:rsidR="00C22993" w:rsidRPr="0003304C">
        <w:rPr>
          <w:rFonts w:asciiTheme="majorHAnsi" w:eastAsia="Times New Roman" w:hAnsiTheme="majorHAnsi" w:cstheme="majorHAnsi"/>
          <w:lang w:val="ro-MD"/>
        </w:rPr>
        <w:t xml:space="preserve">se </w:t>
      </w:r>
      <w:r w:rsidR="000B2E4B" w:rsidRPr="0003304C">
        <w:rPr>
          <w:rFonts w:asciiTheme="majorHAnsi" w:eastAsia="Times New Roman" w:hAnsiTheme="majorHAnsi" w:cstheme="majorHAnsi"/>
          <w:lang w:val="ro-MD"/>
        </w:rPr>
        <w:t>prezintă în următorul tabel</w:t>
      </w:r>
      <w:r w:rsidR="00890789">
        <w:rPr>
          <w:rFonts w:asciiTheme="majorHAnsi" w:eastAsia="Times New Roman" w:hAnsiTheme="majorHAnsi" w:cstheme="majorHAnsi"/>
          <w:lang w:val="ro-MD"/>
        </w:rPr>
        <w:t>.</w:t>
      </w:r>
      <w:r w:rsidR="00EC1EAF" w:rsidRPr="0003304C">
        <w:rPr>
          <w:rFonts w:asciiTheme="majorHAnsi" w:eastAsia="Times New Roman" w:hAnsiTheme="majorHAnsi" w:cstheme="majorHAnsi"/>
          <w:lang w:val="ro-MD"/>
        </w:rPr>
        <w:t xml:space="preserve"> </w:t>
      </w:r>
      <w:r w:rsidR="000B2E4B" w:rsidRPr="0003304C">
        <w:rPr>
          <w:rFonts w:asciiTheme="majorHAnsi" w:eastAsia="Times New Roman" w:hAnsiTheme="majorHAnsi" w:cstheme="majorHAnsi"/>
          <w:lang w:val="ro-MD"/>
        </w:rPr>
        <w:t xml:space="preserve"> </w:t>
      </w:r>
    </w:p>
    <w:p w:rsidR="00A96AC9" w:rsidRPr="000B0D94" w:rsidRDefault="00A96AC9" w:rsidP="00A213E9">
      <w:pPr>
        <w:pStyle w:val="NormalWeb"/>
        <w:ind w:firstLine="0"/>
        <w:jc w:val="right"/>
        <w:rPr>
          <w:rFonts w:asciiTheme="majorHAnsi" w:eastAsia="Times New Roman" w:hAnsiTheme="majorHAnsi" w:cstheme="majorHAnsi"/>
          <w:b/>
          <w:lang w:val="ro-MD"/>
        </w:rPr>
      </w:pPr>
      <w:r w:rsidRPr="000B0D94">
        <w:rPr>
          <w:rFonts w:asciiTheme="majorHAnsi" w:eastAsia="Times New Roman" w:hAnsiTheme="majorHAnsi" w:cstheme="majorHAnsi"/>
          <w:b/>
          <w:lang w:val="ro-MD"/>
        </w:rPr>
        <w:t>Tabelul nr. 1</w:t>
      </w:r>
    </w:p>
    <w:p w:rsidR="00065423" w:rsidRPr="000B0D94" w:rsidRDefault="000401E1" w:rsidP="000B2E4B">
      <w:pPr>
        <w:pStyle w:val="NormalWeb"/>
        <w:ind w:firstLine="0"/>
        <w:jc w:val="right"/>
        <w:rPr>
          <w:rFonts w:asciiTheme="majorHAnsi" w:eastAsia="Times New Roman" w:hAnsiTheme="majorHAnsi" w:cstheme="majorHAnsi"/>
          <w:i/>
          <w:sz w:val="20"/>
          <w:szCs w:val="20"/>
          <w:lang w:val="ro-MD"/>
        </w:rPr>
      </w:pPr>
      <w:r w:rsidRPr="000B0D94">
        <w:rPr>
          <w:rFonts w:asciiTheme="majorHAnsi" w:eastAsia="Times New Roman" w:hAnsiTheme="majorHAnsi" w:cstheme="majorHAnsi"/>
          <w:i/>
          <w:sz w:val="20"/>
          <w:szCs w:val="20"/>
          <w:lang w:val="ro-MD"/>
        </w:rPr>
        <w:t>m</w:t>
      </w:r>
      <w:r w:rsidR="00065423" w:rsidRPr="000B0D94">
        <w:rPr>
          <w:rFonts w:asciiTheme="majorHAnsi" w:eastAsia="Times New Roman" w:hAnsiTheme="majorHAnsi" w:cstheme="majorHAnsi"/>
          <w:i/>
          <w:sz w:val="20"/>
          <w:szCs w:val="20"/>
          <w:lang w:val="ro-MD"/>
        </w:rPr>
        <w:t>il. lei</w:t>
      </w:r>
    </w:p>
    <w:tbl>
      <w:tblPr>
        <w:tblW w:w="9480" w:type="dxa"/>
        <w:tblInd w:w="-38" w:type="dxa"/>
        <w:tblLayout w:type="fixed"/>
        <w:tblCellMar>
          <w:left w:w="30" w:type="dxa"/>
          <w:right w:w="30" w:type="dxa"/>
        </w:tblCellMar>
        <w:tblLook w:val="0000" w:firstRow="0" w:lastRow="0" w:firstColumn="0" w:lastColumn="0" w:noHBand="0" w:noVBand="0"/>
      </w:tblPr>
      <w:tblGrid>
        <w:gridCol w:w="2910"/>
        <w:gridCol w:w="1080"/>
        <w:gridCol w:w="1080"/>
        <w:gridCol w:w="990"/>
        <w:gridCol w:w="1080"/>
        <w:gridCol w:w="1080"/>
        <w:gridCol w:w="1260"/>
      </w:tblGrid>
      <w:tr w:rsidR="00A213E9" w:rsidRPr="00A213E9" w:rsidTr="00A213E9">
        <w:trPr>
          <w:trHeight w:val="302"/>
        </w:trPr>
        <w:tc>
          <w:tcPr>
            <w:tcW w:w="2910" w:type="dxa"/>
            <w:tcBorders>
              <w:top w:val="single" w:sz="4" w:space="0" w:color="auto"/>
              <w:left w:val="single" w:sz="6" w:space="0" w:color="auto"/>
              <w:bottom w:val="nil"/>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Indicatori</w:t>
            </w:r>
          </w:p>
        </w:tc>
        <w:tc>
          <w:tcPr>
            <w:tcW w:w="2160" w:type="dxa"/>
            <w:gridSpan w:val="2"/>
            <w:tcBorders>
              <w:top w:val="single" w:sz="4" w:space="0" w:color="auto"/>
              <w:left w:val="single" w:sz="6" w:space="0" w:color="auto"/>
              <w:bottom w:val="single" w:sz="6" w:space="0" w:color="auto"/>
              <w:right w:val="nil"/>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Anii de referință, inclusiv:</w:t>
            </w:r>
          </w:p>
        </w:tc>
        <w:tc>
          <w:tcPr>
            <w:tcW w:w="990" w:type="dxa"/>
            <w:tcBorders>
              <w:top w:val="single" w:sz="4" w:space="0" w:color="auto"/>
              <w:left w:val="nil"/>
              <w:bottom w:val="single" w:sz="6" w:space="0" w:color="auto"/>
              <w:right w:val="nil"/>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p>
        </w:tc>
        <w:tc>
          <w:tcPr>
            <w:tcW w:w="1080" w:type="dxa"/>
            <w:tcBorders>
              <w:top w:val="single" w:sz="4" w:space="0" w:color="auto"/>
              <w:left w:val="nil"/>
              <w:bottom w:val="single" w:sz="6" w:space="0" w:color="auto"/>
              <w:right w:val="nil"/>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p>
        </w:tc>
        <w:tc>
          <w:tcPr>
            <w:tcW w:w="1080" w:type="dxa"/>
            <w:tcBorders>
              <w:top w:val="single" w:sz="4" w:space="0" w:color="auto"/>
              <w:left w:val="nil"/>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p>
        </w:tc>
        <w:tc>
          <w:tcPr>
            <w:tcW w:w="1260" w:type="dxa"/>
            <w:tcBorders>
              <w:top w:val="single" w:sz="4" w:space="0" w:color="auto"/>
              <w:left w:val="single" w:sz="6" w:space="0" w:color="auto"/>
              <w:bottom w:val="nil"/>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Total</w:t>
            </w:r>
          </w:p>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 xml:space="preserve">2016 </w:t>
            </w:r>
            <w:r w:rsidR="00B36303">
              <w:rPr>
                <w:rFonts w:asciiTheme="majorHAnsi" w:hAnsiTheme="majorHAnsi" w:cstheme="majorHAnsi"/>
                <w:b/>
                <w:bCs/>
                <w:i/>
                <w:iCs/>
                <w:color w:val="000000"/>
                <w:sz w:val="20"/>
                <w:szCs w:val="20"/>
              </w:rPr>
              <w:t>–</w:t>
            </w:r>
            <w:r w:rsidRPr="00A213E9">
              <w:rPr>
                <w:rFonts w:asciiTheme="majorHAnsi" w:hAnsiTheme="majorHAnsi" w:cstheme="majorHAnsi"/>
                <w:b/>
                <w:bCs/>
                <w:i/>
                <w:iCs/>
                <w:color w:val="000000"/>
                <w:sz w:val="20"/>
                <w:szCs w:val="20"/>
              </w:rPr>
              <w:t xml:space="preserve"> 2020</w:t>
            </w:r>
          </w:p>
        </w:tc>
      </w:tr>
      <w:tr w:rsidR="00A213E9" w:rsidRPr="00A213E9" w:rsidTr="00A213E9">
        <w:trPr>
          <w:trHeight w:val="326"/>
        </w:trPr>
        <w:tc>
          <w:tcPr>
            <w:tcW w:w="2910" w:type="dxa"/>
            <w:tcBorders>
              <w:top w:val="nil"/>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2016</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2017</w:t>
            </w:r>
          </w:p>
        </w:tc>
        <w:tc>
          <w:tcPr>
            <w:tcW w:w="99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2018</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2019</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2020</w:t>
            </w:r>
          </w:p>
        </w:tc>
        <w:tc>
          <w:tcPr>
            <w:tcW w:w="1260" w:type="dxa"/>
            <w:tcBorders>
              <w:top w:val="nil"/>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b/>
                <w:bCs/>
                <w:i/>
                <w:iCs/>
                <w:color w:val="000000"/>
                <w:sz w:val="20"/>
                <w:szCs w:val="20"/>
              </w:rPr>
            </w:pPr>
          </w:p>
        </w:tc>
      </w:tr>
      <w:tr w:rsidR="00A213E9" w:rsidRPr="00A213E9" w:rsidTr="00A213E9">
        <w:trPr>
          <w:trHeight w:val="302"/>
        </w:trPr>
        <w:tc>
          <w:tcPr>
            <w:tcW w:w="291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rPr>
                <w:rFonts w:asciiTheme="majorHAnsi" w:hAnsiTheme="majorHAnsi" w:cstheme="majorHAnsi"/>
                <w:b/>
                <w:bCs/>
                <w:color w:val="000000"/>
                <w:sz w:val="20"/>
                <w:szCs w:val="20"/>
              </w:rPr>
            </w:pPr>
            <w:r w:rsidRPr="00A213E9">
              <w:rPr>
                <w:rFonts w:asciiTheme="majorHAnsi" w:hAnsiTheme="majorHAnsi" w:cstheme="majorHAnsi"/>
                <w:b/>
                <w:bCs/>
                <w:color w:val="000000"/>
                <w:sz w:val="20"/>
                <w:szCs w:val="20"/>
              </w:rPr>
              <w:t>Produs</w:t>
            </w:r>
            <w:r w:rsidR="00903DE6">
              <w:rPr>
                <w:rFonts w:asciiTheme="majorHAnsi" w:hAnsiTheme="majorHAnsi" w:cstheme="majorHAnsi"/>
                <w:b/>
                <w:bCs/>
                <w:color w:val="000000"/>
                <w:sz w:val="20"/>
                <w:szCs w:val="20"/>
              </w:rPr>
              <w:t>u</w:t>
            </w:r>
            <w:r w:rsidRPr="00A213E9">
              <w:rPr>
                <w:rFonts w:asciiTheme="majorHAnsi" w:hAnsiTheme="majorHAnsi" w:cstheme="majorHAnsi"/>
                <w:b/>
                <w:bCs/>
                <w:color w:val="000000"/>
                <w:sz w:val="20"/>
                <w:szCs w:val="20"/>
              </w:rPr>
              <w:t>l Intern Brut</w:t>
            </w:r>
          </w:p>
        </w:tc>
        <w:tc>
          <w:tcPr>
            <w:tcW w:w="108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160,814.60</w:t>
            </w:r>
          </w:p>
        </w:tc>
        <w:tc>
          <w:tcPr>
            <w:tcW w:w="108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178,880.90</w:t>
            </w:r>
          </w:p>
        </w:tc>
        <w:tc>
          <w:tcPr>
            <w:tcW w:w="99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192,508.60</w:t>
            </w:r>
          </w:p>
        </w:tc>
        <w:tc>
          <w:tcPr>
            <w:tcW w:w="108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210,378.10</w:t>
            </w:r>
          </w:p>
        </w:tc>
        <w:tc>
          <w:tcPr>
            <w:tcW w:w="108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199,734.00</w:t>
            </w:r>
          </w:p>
        </w:tc>
        <w:tc>
          <w:tcPr>
            <w:tcW w:w="1260" w:type="dxa"/>
            <w:tcBorders>
              <w:top w:val="nil"/>
              <w:left w:val="single" w:sz="6" w:space="0" w:color="auto"/>
              <w:bottom w:val="single" w:sz="6" w:space="0" w:color="auto"/>
              <w:right w:val="single" w:sz="6" w:space="0" w:color="auto"/>
            </w:tcBorders>
          </w:tcPr>
          <w:p w:rsidR="00A213E9" w:rsidRPr="00A213E9" w:rsidRDefault="00B36303">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X</w:t>
            </w:r>
          </w:p>
        </w:tc>
      </w:tr>
      <w:tr w:rsidR="00A213E9" w:rsidRPr="00A213E9" w:rsidTr="00A213E9">
        <w:trPr>
          <w:trHeight w:val="290"/>
        </w:trPr>
        <w:tc>
          <w:tcPr>
            <w:tcW w:w="291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rPr>
                <w:rFonts w:asciiTheme="majorHAnsi" w:hAnsiTheme="majorHAnsi" w:cstheme="majorHAnsi"/>
                <w:b/>
                <w:bCs/>
                <w:color w:val="000000"/>
                <w:sz w:val="20"/>
                <w:szCs w:val="20"/>
              </w:rPr>
            </w:pPr>
            <w:r w:rsidRPr="00A213E9">
              <w:rPr>
                <w:rFonts w:asciiTheme="majorHAnsi" w:hAnsiTheme="majorHAnsi" w:cstheme="majorHAnsi"/>
                <w:b/>
                <w:bCs/>
                <w:color w:val="000000"/>
                <w:sz w:val="20"/>
                <w:szCs w:val="20"/>
              </w:rPr>
              <w:t xml:space="preserve">Bugetul Public Național </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45,953.90</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53,377.60</w:t>
            </w:r>
          </w:p>
        </w:tc>
        <w:tc>
          <w:tcPr>
            <w:tcW w:w="99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57,995.90</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62,949.20</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62,650.00</w:t>
            </w:r>
          </w:p>
        </w:tc>
        <w:tc>
          <w:tcPr>
            <w:tcW w:w="1260" w:type="dxa"/>
            <w:tcBorders>
              <w:top w:val="single" w:sz="6" w:space="0" w:color="auto"/>
              <w:left w:val="single" w:sz="6" w:space="0" w:color="auto"/>
              <w:bottom w:val="single" w:sz="6" w:space="0" w:color="auto"/>
              <w:right w:val="single" w:sz="6" w:space="0" w:color="auto"/>
            </w:tcBorders>
          </w:tcPr>
          <w:p w:rsidR="00A213E9" w:rsidRPr="00A213E9" w:rsidRDefault="00B36303">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X</w:t>
            </w:r>
          </w:p>
        </w:tc>
      </w:tr>
      <w:tr w:rsidR="00A213E9" w:rsidRPr="00A213E9" w:rsidTr="00A213E9">
        <w:trPr>
          <w:trHeight w:val="350"/>
        </w:trPr>
        <w:tc>
          <w:tcPr>
            <w:tcW w:w="291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Total facilități, inclusiv:</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11,485.36</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12,689.78</w:t>
            </w:r>
          </w:p>
        </w:tc>
        <w:tc>
          <w:tcPr>
            <w:tcW w:w="99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8,803.15</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11,728.95</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12,904.01</w:t>
            </w:r>
          </w:p>
        </w:tc>
        <w:tc>
          <w:tcPr>
            <w:tcW w:w="126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b/>
                <w:bCs/>
                <w:i/>
                <w:iCs/>
                <w:color w:val="000000"/>
                <w:sz w:val="20"/>
                <w:szCs w:val="20"/>
              </w:rPr>
            </w:pPr>
            <w:r w:rsidRPr="00A213E9">
              <w:rPr>
                <w:rFonts w:asciiTheme="majorHAnsi" w:hAnsiTheme="majorHAnsi" w:cstheme="majorHAnsi"/>
                <w:b/>
                <w:bCs/>
                <w:i/>
                <w:iCs/>
                <w:color w:val="000000"/>
                <w:sz w:val="20"/>
                <w:szCs w:val="20"/>
              </w:rPr>
              <w:t>57,611.25</w:t>
            </w:r>
          </w:p>
        </w:tc>
      </w:tr>
      <w:tr w:rsidR="00A213E9" w:rsidRPr="00A213E9" w:rsidTr="00A213E9">
        <w:trPr>
          <w:trHeight w:val="545"/>
        </w:trPr>
        <w:tc>
          <w:tcPr>
            <w:tcW w:w="291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rPr>
                <w:rFonts w:asciiTheme="majorHAnsi" w:hAnsiTheme="majorHAnsi" w:cstheme="majorHAnsi"/>
                <w:b/>
                <w:bCs/>
                <w:i/>
                <w:iCs/>
                <w:color w:val="000000"/>
                <w:sz w:val="20"/>
                <w:szCs w:val="20"/>
              </w:rPr>
            </w:pPr>
            <w:r w:rsidRPr="00A213E9">
              <w:rPr>
                <w:rFonts w:asciiTheme="majorHAnsi" w:hAnsiTheme="majorHAnsi" w:cstheme="majorHAnsi"/>
                <w:i/>
                <w:iCs/>
                <w:color w:val="000000"/>
                <w:sz w:val="20"/>
                <w:szCs w:val="20"/>
              </w:rPr>
              <w:t xml:space="preserve">   </w:t>
            </w:r>
            <w:r w:rsidRPr="00A213E9">
              <w:rPr>
                <w:rFonts w:asciiTheme="majorHAnsi" w:hAnsiTheme="majorHAnsi" w:cstheme="majorHAnsi"/>
                <w:b/>
                <w:bCs/>
                <w:i/>
                <w:iCs/>
                <w:color w:val="000000"/>
                <w:sz w:val="20"/>
                <w:szCs w:val="20"/>
              </w:rPr>
              <w:t xml:space="preserve">I. Facilități vamale, </w:t>
            </w:r>
          </w:p>
          <w:p w:rsidR="00A213E9" w:rsidRPr="00A213E9" w:rsidRDefault="00A213E9">
            <w:pPr>
              <w:autoSpaceDE w:val="0"/>
              <w:autoSpaceDN w:val="0"/>
              <w:adjustRightInd w:val="0"/>
              <w:spacing w:after="0" w:line="240" w:lineRule="auto"/>
              <w:rPr>
                <w:rFonts w:asciiTheme="majorHAnsi" w:hAnsiTheme="majorHAnsi" w:cstheme="majorHAnsi"/>
                <w:color w:val="000000"/>
                <w:sz w:val="20"/>
                <w:szCs w:val="20"/>
              </w:rPr>
            </w:pPr>
            <w:r w:rsidRPr="00A213E9">
              <w:rPr>
                <w:rFonts w:asciiTheme="majorHAnsi" w:hAnsiTheme="majorHAnsi" w:cstheme="majorHAnsi"/>
                <w:b/>
                <w:bCs/>
                <w:i/>
                <w:iCs/>
                <w:color w:val="000000"/>
                <w:sz w:val="20"/>
                <w:szCs w:val="20"/>
              </w:rPr>
              <w:t xml:space="preserve">     </w:t>
            </w:r>
            <w:r w:rsidRPr="00A213E9">
              <w:rPr>
                <w:rFonts w:asciiTheme="majorHAnsi" w:hAnsiTheme="majorHAnsi" w:cstheme="majorHAnsi"/>
                <w:color w:val="000000"/>
                <w:sz w:val="20"/>
                <w:szCs w:val="20"/>
              </w:rPr>
              <w:t xml:space="preserve"> administrate de SV  </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8,688.58</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8,044.90</w:t>
            </w:r>
          </w:p>
        </w:tc>
        <w:tc>
          <w:tcPr>
            <w:tcW w:w="99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8,249.37</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9,427.27</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10,677.97</w:t>
            </w:r>
          </w:p>
        </w:tc>
        <w:tc>
          <w:tcPr>
            <w:tcW w:w="126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b/>
                <w:bCs/>
                <w:color w:val="000000"/>
                <w:sz w:val="20"/>
                <w:szCs w:val="20"/>
              </w:rPr>
            </w:pPr>
            <w:r w:rsidRPr="00A213E9">
              <w:rPr>
                <w:rFonts w:asciiTheme="majorHAnsi" w:hAnsiTheme="majorHAnsi" w:cstheme="majorHAnsi"/>
                <w:b/>
                <w:bCs/>
                <w:color w:val="000000"/>
                <w:sz w:val="20"/>
                <w:szCs w:val="20"/>
              </w:rPr>
              <w:t>45,088.08</w:t>
            </w:r>
          </w:p>
        </w:tc>
      </w:tr>
      <w:tr w:rsidR="00A213E9" w:rsidRPr="00A213E9" w:rsidTr="00A213E9">
        <w:trPr>
          <w:trHeight w:val="593"/>
        </w:trPr>
        <w:tc>
          <w:tcPr>
            <w:tcW w:w="2910" w:type="dxa"/>
            <w:tcBorders>
              <w:top w:val="single" w:sz="6" w:space="0" w:color="auto"/>
              <w:left w:val="single" w:sz="6" w:space="0" w:color="auto"/>
              <w:bottom w:val="single" w:sz="12" w:space="0" w:color="003366"/>
              <w:right w:val="single" w:sz="6" w:space="0" w:color="auto"/>
            </w:tcBorders>
          </w:tcPr>
          <w:p w:rsidR="00A213E9" w:rsidRPr="00303FD0" w:rsidRDefault="00A213E9">
            <w:pPr>
              <w:autoSpaceDE w:val="0"/>
              <w:autoSpaceDN w:val="0"/>
              <w:adjustRightInd w:val="0"/>
              <w:spacing w:after="0" w:line="240" w:lineRule="auto"/>
              <w:rPr>
                <w:rFonts w:asciiTheme="majorHAnsi" w:hAnsiTheme="majorHAnsi" w:cstheme="majorHAnsi"/>
                <w:b/>
                <w:bCs/>
                <w:i/>
                <w:iCs/>
                <w:color w:val="000000"/>
                <w:sz w:val="20"/>
                <w:szCs w:val="20"/>
              </w:rPr>
            </w:pPr>
            <w:r w:rsidRPr="00303FD0">
              <w:rPr>
                <w:rFonts w:asciiTheme="majorHAnsi" w:hAnsiTheme="majorHAnsi" w:cstheme="majorHAnsi"/>
                <w:b/>
                <w:bCs/>
                <w:i/>
                <w:iCs/>
                <w:color w:val="000000"/>
                <w:sz w:val="20"/>
                <w:szCs w:val="20"/>
              </w:rPr>
              <w:t xml:space="preserve">    II. Facilități fiscale, </w:t>
            </w:r>
          </w:p>
          <w:p w:rsidR="00A213E9" w:rsidRPr="00E04E1E" w:rsidRDefault="00A213E9">
            <w:pPr>
              <w:autoSpaceDE w:val="0"/>
              <w:autoSpaceDN w:val="0"/>
              <w:adjustRightInd w:val="0"/>
              <w:spacing w:after="0" w:line="240" w:lineRule="auto"/>
              <w:rPr>
                <w:rFonts w:asciiTheme="majorHAnsi" w:hAnsiTheme="majorHAnsi" w:cstheme="majorHAnsi"/>
                <w:color w:val="000000"/>
                <w:sz w:val="20"/>
                <w:szCs w:val="20"/>
              </w:rPr>
            </w:pPr>
            <w:r w:rsidRPr="00E04E1E">
              <w:rPr>
                <w:rFonts w:asciiTheme="majorHAnsi" w:hAnsiTheme="majorHAnsi" w:cstheme="majorHAnsi"/>
                <w:b/>
                <w:bCs/>
                <w:i/>
                <w:iCs/>
                <w:color w:val="000000"/>
                <w:sz w:val="20"/>
                <w:szCs w:val="20"/>
              </w:rPr>
              <w:t xml:space="preserve">      </w:t>
            </w:r>
            <w:r w:rsidRPr="00E04E1E">
              <w:rPr>
                <w:rFonts w:asciiTheme="majorHAnsi" w:hAnsiTheme="majorHAnsi" w:cstheme="majorHAnsi"/>
                <w:color w:val="000000"/>
                <w:sz w:val="20"/>
                <w:szCs w:val="20"/>
              </w:rPr>
              <w:t>administrate de SFS</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2,796.79</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4,644.88</w:t>
            </w:r>
          </w:p>
        </w:tc>
        <w:tc>
          <w:tcPr>
            <w:tcW w:w="99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553.79</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2,301.68</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color w:val="000000"/>
                <w:sz w:val="20"/>
                <w:szCs w:val="20"/>
              </w:rPr>
            </w:pPr>
            <w:r w:rsidRPr="00A213E9">
              <w:rPr>
                <w:rFonts w:asciiTheme="majorHAnsi" w:hAnsiTheme="majorHAnsi" w:cstheme="majorHAnsi"/>
                <w:color w:val="000000"/>
                <w:sz w:val="20"/>
                <w:szCs w:val="20"/>
              </w:rPr>
              <w:t>2,226.04</w:t>
            </w:r>
          </w:p>
        </w:tc>
        <w:tc>
          <w:tcPr>
            <w:tcW w:w="126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right"/>
              <w:rPr>
                <w:rFonts w:asciiTheme="majorHAnsi" w:hAnsiTheme="majorHAnsi" w:cstheme="majorHAnsi"/>
                <w:b/>
                <w:bCs/>
                <w:color w:val="000000"/>
                <w:sz w:val="20"/>
                <w:szCs w:val="20"/>
              </w:rPr>
            </w:pPr>
            <w:r w:rsidRPr="00A213E9">
              <w:rPr>
                <w:rFonts w:asciiTheme="majorHAnsi" w:hAnsiTheme="majorHAnsi" w:cstheme="majorHAnsi"/>
                <w:b/>
                <w:bCs/>
                <w:color w:val="000000"/>
                <w:sz w:val="20"/>
                <w:szCs w:val="20"/>
              </w:rPr>
              <w:t>12,523.17</w:t>
            </w:r>
          </w:p>
        </w:tc>
      </w:tr>
      <w:tr w:rsidR="00A213E9" w:rsidRPr="00A213E9" w:rsidTr="00A213E9">
        <w:trPr>
          <w:trHeight w:val="530"/>
        </w:trPr>
        <w:tc>
          <w:tcPr>
            <w:tcW w:w="2910" w:type="dxa"/>
            <w:tcBorders>
              <w:top w:val="nil"/>
              <w:left w:val="single" w:sz="6" w:space="0" w:color="auto"/>
              <w:bottom w:val="single" w:sz="6" w:space="0" w:color="auto"/>
              <w:right w:val="single" w:sz="6" w:space="0" w:color="auto"/>
            </w:tcBorders>
          </w:tcPr>
          <w:p w:rsidR="00A213E9" w:rsidRPr="00303FD0" w:rsidRDefault="00A213E9">
            <w:pPr>
              <w:autoSpaceDE w:val="0"/>
              <w:autoSpaceDN w:val="0"/>
              <w:adjustRightInd w:val="0"/>
              <w:spacing w:after="0" w:line="240" w:lineRule="auto"/>
              <w:rPr>
                <w:rFonts w:asciiTheme="majorHAnsi" w:hAnsiTheme="majorHAnsi" w:cstheme="majorHAnsi"/>
                <w:i/>
                <w:iCs/>
                <w:color w:val="000000"/>
                <w:sz w:val="20"/>
                <w:szCs w:val="20"/>
              </w:rPr>
            </w:pPr>
            <w:r w:rsidRPr="00303FD0">
              <w:rPr>
                <w:rFonts w:asciiTheme="majorHAnsi" w:hAnsiTheme="majorHAnsi" w:cstheme="majorHAnsi"/>
                <w:i/>
                <w:iCs/>
                <w:color w:val="000000"/>
                <w:sz w:val="20"/>
                <w:szCs w:val="20"/>
              </w:rPr>
              <w:t>Ponderea total facilități în Produsul Intern Brut (%)</w:t>
            </w:r>
          </w:p>
        </w:tc>
        <w:tc>
          <w:tcPr>
            <w:tcW w:w="108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7%</w:t>
            </w:r>
          </w:p>
        </w:tc>
        <w:tc>
          <w:tcPr>
            <w:tcW w:w="108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7%</w:t>
            </w:r>
          </w:p>
        </w:tc>
        <w:tc>
          <w:tcPr>
            <w:tcW w:w="99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5%</w:t>
            </w:r>
          </w:p>
        </w:tc>
        <w:tc>
          <w:tcPr>
            <w:tcW w:w="108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6%</w:t>
            </w:r>
          </w:p>
        </w:tc>
        <w:tc>
          <w:tcPr>
            <w:tcW w:w="1080" w:type="dxa"/>
            <w:tcBorders>
              <w:top w:val="nil"/>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6%</w:t>
            </w:r>
          </w:p>
        </w:tc>
        <w:tc>
          <w:tcPr>
            <w:tcW w:w="1260" w:type="dxa"/>
            <w:tcBorders>
              <w:top w:val="nil"/>
              <w:left w:val="single" w:sz="6" w:space="0" w:color="auto"/>
              <w:bottom w:val="single" w:sz="6" w:space="0" w:color="auto"/>
              <w:right w:val="single" w:sz="6" w:space="0" w:color="auto"/>
            </w:tcBorders>
          </w:tcPr>
          <w:p w:rsidR="00A213E9" w:rsidRPr="00A213E9" w:rsidRDefault="00B36303">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X</w:t>
            </w:r>
          </w:p>
        </w:tc>
      </w:tr>
      <w:tr w:rsidR="00A213E9" w:rsidRPr="00A213E9" w:rsidTr="00A213E9">
        <w:trPr>
          <w:trHeight w:val="530"/>
        </w:trPr>
        <w:tc>
          <w:tcPr>
            <w:tcW w:w="2910" w:type="dxa"/>
            <w:tcBorders>
              <w:top w:val="single" w:sz="6" w:space="0" w:color="auto"/>
              <w:left w:val="single" w:sz="6" w:space="0" w:color="auto"/>
              <w:bottom w:val="single" w:sz="6" w:space="0" w:color="auto"/>
              <w:right w:val="single" w:sz="6" w:space="0" w:color="auto"/>
            </w:tcBorders>
          </w:tcPr>
          <w:p w:rsidR="00A213E9" w:rsidRPr="00303FD0" w:rsidRDefault="00A213E9">
            <w:pPr>
              <w:autoSpaceDE w:val="0"/>
              <w:autoSpaceDN w:val="0"/>
              <w:adjustRightInd w:val="0"/>
              <w:spacing w:after="0" w:line="240" w:lineRule="auto"/>
              <w:rPr>
                <w:rFonts w:asciiTheme="majorHAnsi" w:hAnsiTheme="majorHAnsi" w:cstheme="majorHAnsi"/>
                <w:i/>
                <w:iCs/>
                <w:color w:val="000000"/>
                <w:sz w:val="20"/>
                <w:szCs w:val="20"/>
              </w:rPr>
            </w:pPr>
            <w:r w:rsidRPr="00303FD0">
              <w:rPr>
                <w:rFonts w:asciiTheme="majorHAnsi" w:hAnsiTheme="majorHAnsi" w:cstheme="majorHAnsi"/>
                <w:i/>
                <w:iCs/>
                <w:color w:val="000000"/>
                <w:sz w:val="20"/>
                <w:szCs w:val="20"/>
              </w:rPr>
              <w:t>Ponderea total facilități în veniturile bugetului public național (%)</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25%</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24%</w:t>
            </w:r>
          </w:p>
        </w:tc>
        <w:tc>
          <w:tcPr>
            <w:tcW w:w="99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19%</w:t>
            </w:r>
          </w:p>
        </w:tc>
        <w:tc>
          <w:tcPr>
            <w:tcW w:w="1080" w:type="dxa"/>
            <w:tcBorders>
              <w:top w:val="single" w:sz="6" w:space="0" w:color="auto"/>
              <w:left w:val="single" w:sz="6" w:space="0" w:color="auto"/>
              <w:bottom w:val="single" w:sz="6" w:space="0" w:color="auto"/>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21%</w:t>
            </w:r>
          </w:p>
        </w:tc>
        <w:tc>
          <w:tcPr>
            <w:tcW w:w="1260" w:type="dxa"/>
            <w:tcBorders>
              <w:top w:val="single" w:sz="6" w:space="0" w:color="auto"/>
              <w:left w:val="single" w:sz="6" w:space="0" w:color="auto"/>
              <w:bottom w:val="single" w:sz="6" w:space="0" w:color="auto"/>
              <w:right w:val="single" w:sz="6" w:space="0" w:color="auto"/>
            </w:tcBorders>
          </w:tcPr>
          <w:p w:rsidR="00A213E9" w:rsidRPr="00A213E9" w:rsidRDefault="002D3EEA">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X</w:t>
            </w:r>
          </w:p>
        </w:tc>
      </w:tr>
      <w:tr w:rsidR="00A213E9" w:rsidRPr="00A213E9" w:rsidTr="00A213E9">
        <w:trPr>
          <w:trHeight w:val="557"/>
        </w:trPr>
        <w:tc>
          <w:tcPr>
            <w:tcW w:w="2910" w:type="dxa"/>
            <w:tcBorders>
              <w:top w:val="single" w:sz="6" w:space="0" w:color="auto"/>
              <w:left w:val="single" w:sz="6" w:space="0" w:color="auto"/>
              <w:bottom w:val="single" w:sz="12" w:space="0" w:color="003366"/>
              <w:right w:val="single" w:sz="6" w:space="0" w:color="auto"/>
            </w:tcBorders>
          </w:tcPr>
          <w:p w:rsidR="00A213E9" w:rsidRPr="00303FD0" w:rsidRDefault="00A213E9">
            <w:pPr>
              <w:autoSpaceDE w:val="0"/>
              <w:autoSpaceDN w:val="0"/>
              <w:adjustRightInd w:val="0"/>
              <w:spacing w:after="0" w:line="240" w:lineRule="auto"/>
              <w:rPr>
                <w:rFonts w:asciiTheme="majorHAnsi" w:hAnsiTheme="majorHAnsi" w:cstheme="majorHAnsi"/>
                <w:i/>
                <w:iCs/>
                <w:color w:val="000000"/>
                <w:sz w:val="20"/>
                <w:szCs w:val="20"/>
              </w:rPr>
            </w:pPr>
            <w:r w:rsidRPr="00303FD0">
              <w:rPr>
                <w:rFonts w:asciiTheme="majorHAnsi" w:hAnsiTheme="majorHAnsi" w:cstheme="majorHAnsi"/>
                <w:i/>
                <w:iCs/>
                <w:color w:val="000000"/>
                <w:sz w:val="20"/>
                <w:szCs w:val="20"/>
              </w:rPr>
              <w:t>Ponderea facilităților administrate de SFS în totalul facilităților (%)</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24%</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37%</w:t>
            </w:r>
          </w:p>
        </w:tc>
        <w:tc>
          <w:tcPr>
            <w:tcW w:w="99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6%</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20%</w:t>
            </w:r>
          </w:p>
        </w:tc>
        <w:tc>
          <w:tcPr>
            <w:tcW w:w="108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17%</w:t>
            </w:r>
          </w:p>
        </w:tc>
        <w:tc>
          <w:tcPr>
            <w:tcW w:w="1260" w:type="dxa"/>
            <w:tcBorders>
              <w:top w:val="single" w:sz="6" w:space="0" w:color="auto"/>
              <w:left w:val="single" w:sz="6" w:space="0" w:color="auto"/>
              <w:bottom w:val="single" w:sz="12" w:space="0" w:color="003366"/>
              <w:right w:val="single" w:sz="6" w:space="0" w:color="auto"/>
            </w:tcBorders>
          </w:tcPr>
          <w:p w:rsidR="00A213E9" w:rsidRPr="00A213E9" w:rsidRDefault="00A213E9">
            <w:pPr>
              <w:autoSpaceDE w:val="0"/>
              <w:autoSpaceDN w:val="0"/>
              <w:adjustRightInd w:val="0"/>
              <w:spacing w:after="0" w:line="240" w:lineRule="auto"/>
              <w:jc w:val="center"/>
              <w:rPr>
                <w:rFonts w:asciiTheme="majorHAnsi" w:hAnsiTheme="majorHAnsi" w:cstheme="majorHAnsi"/>
                <w:color w:val="000000"/>
                <w:sz w:val="20"/>
                <w:szCs w:val="20"/>
              </w:rPr>
            </w:pPr>
            <w:r w:rsidRPr="00A213E9">
              <w:rPr>
                <w:rFonts w:asciiTheme="majorHAnsi" w:hAnsiTheme="majorHAnsi" w:cstheme="majorHAnsi"/>
                <w:color w:val="000000"/>
                <w:sz w:val="20"/>
                <w:szCs w:val="20"/>
              </w:rPr>
              <w:t>22%</w:t>
            </w:r>
          </w:p>
        </w:tc>
      </w:tr>
    </w:tbl>
    <w:p w:rsidR="006D3ABC" w:rsidRPr="00CB5F81" w:rsidRDefault="006D3ABC" w:rsidP="00572166">
      <w:pPr>
        <w:pStyle w:val="NormalWeb"/>
        <w:spacing w:after="120"/>
        <w:ind w:firstLine="0"/>
        <w:rPr>
          <w:rFonts w:asciiTheme="majorHAnsi" w:hAnsiTheme="majorHAnsi" w:cstheme="majorHAnsi"/>
          <w:i/>
          <w:sz w:val="20"/>
          <w:szCs w:val="20"/>
          <w:lang w:val="ro-MD"/>
        </w:rPr>
      </w:pPr>
      <w:r w:rsidRPr="00CB5F81">
        <w:rPr>
          <w:rFonts w:asciiTheme="majorHAnsi" w:hAnsiTheme="majorHAnsi" w:cstheme="majorHAnsi"/>
          <w:b/>
          <w:bCs/>
          <w:i/>
          <w:sz w:val="20"/>
          <w:szCs w:val="20"/>
          <w:lang w:val="ro-MD"/>
        </w:rPr>
        <w:t>Sursă:</w:t>
      </w:r>
      <w:r w:rsidRPr="00CB5F81">
        <w:rPr>
          <w:rFonts w:asciiTheme="majorHAnsi" w:hAnsiTheme="majorHAnsi" w:cstheme="majorHAnsi"/>
          <w:i/>
          <w:sz w:val="20"/>
          <w:szCs w:val="20"/>
          <w:lang w:val="ro-MD"/>
        </w:rPr>
        <w:t xml:space="preserve"> </w:t>
      </w:r>
      <w:r w:rsidR="000A0E94" w:rsidRPr="00CB5F81">
        <w:rPr>
          <w:rFonts w:asciiTheme="majorHAnsi" w:hAnsiTheme="majorHAnsi" w:cstheme="majorHAnsi"/>
          <w:i/>
          <w:sz w:val="20"/>
          <w:szCs w:val="20"/>
          <w:lang w:val="ro-MD"/>
        </w:rPr>
        <w:t>Informațiile</w:t>
      </w:r>
      <w:r w:rsidRPr="00CB5F81">
        <w:rPr>
          <w:rFonts w:asciiTheme="majorHAnsi" w:hAnsiTheme="majorHAnsi" w:cstheme="majorHAnsi"/>
          <w:i/>
          <w:sz w:val="20"/>
          <w:szCs w:val="20"/>
          <w:lang w:val="ro-MD"/>
        </w:rPr>
        <w:t xml:space="preserve"> prezentate </w:t>
      </w:r>
      <w:r w:rsidR="000A0E94" w:rsidRPr="00CB5F81">
        <w:rPr>
          <w:rFonts w:asciiTheme="majorHAnsi" w:hAnsiTheme="majorHAnsi" w:cstheme="majorHAnsi"/>
          <w:i/>
          <w:sz w:val="20"/>
          <w:szCs w:val="20"/>
          <w:lang w:val="ro-MD"/>
        </w:rPr>
        <w:t xml:space="preserve">de către </w:t>
      </w:r>
      <w:r w:rsidRPr="00CB5F81">
        <w:rPr>
          <w:rFonts w:asciiTheme="majorHAnsi" w:hAnsiTheme="majorHAnsi" w:cstheme="majorHAnsi"/>
          <w:i/>
          <w:sz w:val="20"/>
          <w:szCs w:val="20"/>
          <w:lang w:val="ro-MD"/>
        </w:rPr>
        <w:t xml:space="preserve">Ministerul </w:t>
      </w:r>
      <w:r w:rsidR="000A0E94" w:rsidRPr="00CB5F81">
        <w:rPr>
          <w:rFonts w:asciiTheme="majorHAnsi" w:hAnsiTheme="majorHAnsi" w:cstheme="majorHAnsi"/>
          <w:i/>
          <w:sz w:val="20"/>
          <w:szCs w:val="20"/>
          <w:lang w:val="ro-MD"/>
        </w:rPr>
        <w:t>Finanțelor</w:t>
      </w:r>
      <w:r w:rsidRPr="00CB5F81">
        <w:rPr>
          <w:rFonts w:asciiTheme="majorHAnsi" w:hAnsiTheme="majorHAnsi" w:cstheme="majorHAnsi"/>
          <w:i/>
          <w:sz w:val="20"/>
          <w:szCs w:val="20"/>
          <w:lang w:val="ro-MD"/>
        </w:rPr>
        <w:t xml:space="preserve"> </w:t>
      </w:r>
      <w:r w:rsidR="000A0E94" w:rsidRPr="00CB5F81">
        <w:rPr>
          <w:rFonts w:asciiTheme="majorHAnsi" w:eastAsia="Times New Roman" w:hAnsiTheme="majorHAnsi" w:cstheme="majorHAnsi"/>
          <w:i/>
          <w:sz w:val="20"/>
          <w:szCs w:val="20"/>
          <w:lang w:val="ro-MD"/>
        </w:rPr>
        <w:t>potrivit Registrului unic al facilităților fiscale și vamale și datele statistic</w:t>
      </w:r>
      <w:r w:rsidR="00572166">
        <w:rPr>
          <w:rFonts w:asciiTheme="majorHAnsi" w:eastAsia="Times New Roman" w:hAnsiTheme="majorHAnsi" w:cstheme="majorHAnsi"/>
          <w:i/>
          <w:sz w:val="20"/>
          <w:szCs w:val="20"/>
          <w:lang w:val="ro-MD"/>
        </w:rPr>
        <w:t>e ale BNS pentru anii 2016-2020.</w:t>
      </w:r>
    </w:p>
    <w:p w:rsidR="002F4462" w:rsidRPr="00CB5F81" w:rsidRDefault="000A0E94" w:rsidP="0090504E">
      <w:pPr>
        <w:pStyle w:val="NormalWeb"/>
        <w:spacing w:after="120"/>
        <w:ind w:firstLine="0"/>
        <w:rPr>
          <w:rFonts w:asciiTheme="majorHAnsi" w:eastAsia="Times New Roman" w:hAnsiTheme="majorHAnsi" w:cstheme="majorHAnsi"/>
          <w:lang w:val="ro-MD"/>
        </w:rPr>
      </w:pPr>
      <w:r w:rsidRPr="00CB5F81">
        <w:rPr>
          <w:rFonts w:asciiTheme="majorHAnsi" w:eastAsia="Times New Roman" w:hAnsiTheme="majorHAnsi" w:cstheme="majorHAnsi"/>
          <w:lang w:val="ro-MD"/>
        </w:rPr>
        <w:t xml:space="preserve">Datele sistematizate în tabel relevă că </w:t>
      </w:r>
      <w:r w:rsidR="003E005C" w:rsidRPr="00CB5F81">
        <w:rPr>
          <w:rFonts w:asciiTheme="majorHAnsi" w:eastAsia="Times New Roman" w:hAnsiTheme="majorHAnsi" w:cstheme="majorHAnsi"/>
          <w:lang w:val="ro-MD"/>
        </w:rPr>
        <w:t>facilitățile</w:t>
      </w:r>
      <w:r w:rsidRPr="00CB5F81">
        <w:rPr>
          <w:rFonts w:asciiTheme="majorHAnsi" w:eastAsia="Times New Roman" w:hAnsiTheme="majorHAnsi" w:cstheme="majorHAnsi"/>
          <w:lang w:val="ro-MD"/>
        </w:rPr>
        <w:t xml:space="preserve"> fiscale </w:t>
      </w:r>
      <w:r w:rsidR="003E005C" w:rsidRPr="00CB5F81">
        <w:rPr>
          <w:rFonts w:asciiTheme="majorHAnsi" w:eastAsia="Times New Roman" w:hAnsiTheme="majorHAnsi" w:cstheme="majorHAnsi"/>
          <w:lang w:val="ro-MD"/>
        </w:rPr>
        <w:t>și</w:t>
      </w:r>
      <w:r w:rsidRPr="00CB5F81">
        <w:rPr>
          <w:rFonts w:asciiTheme="majorHAnsi" w:eastAsia="Times New Roman" w:hAnsiTheme="majorHAnsi" w:cstheme="majorHAnsi"/>
          <w:lang w:val="ro-MD"/>
        </w:rPr>
        <w:t xml:space="preserve"> vamale pentru</w:t>
      </w:r>
      <w:r w:rsidR="00EC1EAF">
        <w:rPr>
          <w:rFonts w:asciiTheme="majorHAnsi" w:eastAsia="Times New Roman" w:hAnsiTheme="majorHAnsi" w:cstheme="majorHAnsi"/>
          <w:lang w:val="ro-MD"/>
        </w:rPr>
        <w:t xml:space="preserve"> </w:t>
      </w:r>
      <w:r w:rsidRPr="00CB5F81">
        <w:rPr>
          <w:rFonts w:asciiTheme="majorHAnsi" w:eastAsia="Times New Roman" w:hAnsiTheme="majorHAnsi" w:cstheme="majorHAnsi"/>
          <w:lang w:val="ro-MD"/>
        </w:rPr>
        <w:t xml:space="preserve">ultimii </w:t>
      </w:r>
      <w:r w:rsidRPr="003B791A">
        <w:rPr>
          <w:rFonts w:asciiTheme="majorHAnsi" w:eastAsia="Times New Roman" w:hAnsiTheme="majorHAnsi" w:cstheme="majorHAnsi"/>
          <w:lang w:val="ro-MD"/>
        </w:rPr>
        <w:t xml:space="preserve">5 ani au </w:t>
      </w:r>
      <w:r w:rsidRPr="00CB5F81">
        <w:rPr>
          <w:rFonts w:asciiTheme="majorHAnsi" w:eastAsia="Times New Roman" w:hAnsiTheme="majorHAnsi" w:cstheme="majorHAnsi"/>
          <w:lang w:val="ro-MD"/>
        </w:rPr>
        <w:t>însumat</w:t>
      </w:r>
      <w:r w:rsidR="00903DE6">
        <w:rPr>
          <w:rFonts w:asciiTheme="majorHAnsi" w:eastAsia="Times New Roman" w:hAnsiTheme="majorHAnsi" w:cstheme="majorHAnsi"/>
          <w:lang w:val="ro-MD"/>
        </w:rPr>
        <w:t>,</w:t>
      </w:r>
      <w:r w:rsidRPr="00CB5F81">
        <w:rPr>
          <w:rFonts w:asciiTheme="majorHAnsi" w:eastAsia="Times New Roman" w:hAnsiTheme="majorHAnsi" w:cstheme="majorHAnsi"/>
          <w:lang w:val="ro-MD"/>
        </w:rPr>
        <w:t xml:space="preserve"> per total</w:t>
      </w:r>
      <w:r w:rsidR="00903DE6">
        <w:rPr>
          <w:rFonts w:asciiTheme="majorHAnsi" w:eastAsia="Times New Roman" w:hAnsiTheme="majorHAnsi" w:cstheme="majorHAnsi"/>
          <w:lang w:val="ro-MD"/>
        </w:rPr>
        <w:t>,</w:t>
      </w:r>
      <w:r w:rsidRPr="00CB5F81">
        <w:rPr>
          <w:rFonts w:asciiTheme="majorHAnsi" w:eastAsia="Times New Roman" w:hAnsiTheme="majorHAnsi" w:cstheme="majorHAnsi"/>
          <w:lang w:val="ro-MD"/>
        </w:rPr>
        <w:t xml:space="preserve"> </w:t>
      </w:r>
      <w:r w:rsidR="001C30D2" w:rsidRPr="00CB5F81">
        <w:rPr>
          <w:rFonts w:asciiTheme="majorHAnsi" w:eastAsia="Times New Roman" w:hAnsiTheme="majorHAnsi" w:cstheme="majorHAnsi"/>
          <w:lang w:val="ro-MD"/>
        </w:rPr>
        <w:t>57,6</w:t>
      </w:r>
      <w:r w:rsidRPr="00CB5F81">
        <w:rPr>
          <w:rFonts w:asciiTheme="majorHAnsi" w:eastAsia="Times New Roman" w:hAnsiTheme="majorHAnsi" w:cstheme="majorHAnsi"/>
          <w:lang w:val="ro-MD"/>
        </w:rPr>
        <w:t xml:space="preserve"> </w:t>
      </w:r>
      <w:r w:rsidR="00726434" w:rsidRPr="00CB5F81">
        <w:rPr>
          <w:rFonts w:asciiTheme="majorHAnsi" w:eastAsia="Times New Roman" w:hAnsiTheme="majorHAnsi" w:cstheme="majorHAnsi"/>
          <w:lang w:val="ro-MD"/>
        </w:rPr>
        <w:t>ml</w:t>
      </w:r>
      <w:r w:rsidR="00903DE6">
        <w:rPr>
          <w:rFonts w:asciiTheme="majorHAnsi" w:eastAsia="Times New Roman" w:hAnsiTheme="majorHAnsi" w:cstheme="majorHAnsi"/>
          <w:lang w:val="ro-MD"/>
        </w:rPr>
        <w:t>r</w:t>
      </w:r>
      <w:r w:rsidR="00726434" w:rsidRPr="00CB5F81">
        <w:rPr>
          <w:rFonts w:asciiTheme="majorHAnsi" w:eastAsia="Times New Roman" w:hAnsiTheme="majorHAnsi" w:cstheme="majorHAnsi"/>
          <w:lang w:val="ro-MD"/>
        </w:rPr>
        <w:t>d.</w:t>
      </w:r>
      <w:r w:rsidRPr="00CB5F81">
        <w:rPr>
          <w:rFonts w:asciiTheme="majorHAnsi" w:eastAsia="Times New Roman" w:hAnsiTheme="majorHAnsi" w:cstheme="majorHAnsi"/>
          <w:lang w:val="ro-MD"/>
        </w:rPr>
        <w:t xml:space="preserve"> lei, iar</w:t>
      </w:r>
      <w:r w:rsidR="00903DE6">
        <w:rPr>
          <w:rFonts w:asciiTheme="majorHAnsi" w:eastAsia="Times New Roman" w:hAnsiTheme="majorHAnsi" w:cstheme="majorHAnsi"/>
          <w:lang w:val="ro-MD"/>
        </w:rPr>
        <w:t xml:space="preserve"> </w:t>
      </w:r>
      <w:r w:rsidR="00127F06" w:rsidRPr="00CB5F81">
        <w:rPr>
          <w:rFonts w:asciiTheme="majorHAnsi" w:eastAsia="Times New Roman" w:hAnsiTheme="majorHAnsi" w:cstheme="majorHAnsi"/>
          <w:lang w:val="ro-MD"/>
        </w:rPr>
        <w:t>oscilațiile valorice anuale au fost condiționate</w:t>
      </w:r>
      <w:r w:rsidR="00903DE6">
        <w:rPr>
          <w:rFonts w:asciiTheme="majorHAnsi" w:eastAsia="Times New Roman" w:hAnsiTheme="majorHAnsi" w:cstheme="majorHAnsi"/>
          <w:lang w:val="ro-MD"/>
        </w:rPr>
        <w:t>,</w:t>
      </w:r>
      <w:r w:rsidRPr="00CB5F81">
        <w:rPr>
          <w:rFonts w:asciiTheme="majorHAnsi" w:eastAsia="Times New Roman" w:hAnsiTheme="majorHAnsi" w:cstheme="majorHAnsi"/>
          <w:lang w:val="ro-MD"/>
        </w:rPr>
        <w:t xml:space="preserve"> în principal</w:t>
      </w:r>
      <w:r w:rsidR="00903DE6">
        <w:rPr>
          <w:rFonts w:asciiTheme="majorHAnsi" w:eastAsia="Times New Roman" w:hAnsiTheme="majorHAnsi" w:cstheme="majorHAnsi"/>
          <w:lang w:val="ro-MD"/>
        </w:rPr>
        <w:t>,</w:t>
      </w:r>
      <w:r w:rsidR="00EC1EAF">
        <w:rPr>
          <w:rFonts w:asciiTheme="majorHAnsi" w:eastAsia="Times New Roman" w:hAnsiTheme="majorHAnsi" w:cstheme="majorHAnsi"/>
          <w:lang w:val="ro-MD"/>
        </w:rPr>
        <w:t xml:space="preserve"> </w:t>
      </w:r>
      <w:r w:rsidR="00127F06" w:rsidRPr="00CB5F81">
        <w:rPr>
          <w:rFonts w:asciiTheme="majorHAnsi" w:eastAsia="Times New Roman" w:hAnsiTheme="majorHAnsi" w:cstheme="majorHAnsi"/>
          <w:lang w:val="ro-MD"/>
        </w:rPr>
        <w:t xml:space="preserve">de </w:t>
      </w:r>
      <w:r w:rsidRPr="00CB5F81">
        <w:rPr>
          <w:rFonts w:asciiTheme="majorHAnsi" w:eastAsia="Times New Roman" w:hAnsiTheme="majorHAnsi" w:cstheme="majorHAnsi"/>
          <w:lang w:val="ro-MD"/>
        </w:rPr>
        <w:t>plenitu</w:t>
      </w:r>
      <w:r w:rsidR="00127F06" w:rsidRPr="00CB5F81">
        <w:rPr>
          <w:rFonts w:asciiTheme="majorHAnsi" w:eastAsia="Times New Roman" w:hAnsiTheme="majorHAnsi" w:cstheme="majorHAnsi"/>
          <w:lang w:val="ro-MD"/>
        </w:rPr>
        <w:t>dinea și corectitudinea datelor</w:t>
      </w:r>
      <w:r w:rsidRPr="00CB5F81">
        <w:rPr>
          <w:rFonts w:asciiTheme="majorHAnsi" w:eastAsia="Times New Roman" w:hAnsiTheme="majorHAnsi" w:cstheme="majorHAnsi"/>
          <w:lang w:val="ro-MD"/>
        </w:rPr>
        <w:t xml:space="preserve"> agregate </w:t>
      </w:r>
      <w:r w:rsidR="00127F06" w:rsidRPr="00CB5F81">
        <w:rPr>
          <w:rFonts w:asciiTheme="majorHAnsi" w:eastAsia="Times New Roman" w:hAnsiTheme="majorHAnsi" w:cstheme="majorHAnsi"/>
          <w:lang w:val="ro-MD"/>
        </w:rPr>
        <w:t xml:space="preserve">și raportate </w:t>
      </w:r>
      <w:r w:rsidRPr="00CB5F81">
        <w:rPr>
          <w:rFonts w:asciiTheme="majorHAnsi" w:eastAsia="Times New Roman" w:hAnsiTheme="majorHAnsi" w:cstheme="majorHAnsi"/>
          <w:lang w:val="ro-MD"/>
        </w:rPr>
        <w:t xml:space="preserve">de administratorii facilităților. Astfel, </w:t>
      </w:r>
      <w:r w:rsidR="002F4462" w:rsidRPr="00CB5F81">
        <w:rPr>
          <w:rFonts w:asciiTheme="majorHAnsi" w:eastAsia="Times New Roman" w:hAnsiTheme="majorHAnsi" w:cstheme="majorHAnsi"/>
          <w:lang w:val="ro-MD"/>
        </w:rPr>
        <w:t>în anul 20</w:t>
      </w:r>
      <w:r w:rsidR="00127F06" w:rsidRPr="00CB5F81">
        <w:rPr>
          <w:rFonts w:asciiTheme="majorHAnsi" w:eastAsia="Times New Roman" w:hAnsiTheme="majorHAnsi" w:cstheme="majorHAnsi"/>
          <w:lang w:val="ro-MD"/>
        </w:rPr>
        <w:t>18</w:t>
      </w:r>
      <w:r w:rsidR="002F4462" w:rsidRPr="00CB5F81">
        <w:rPr>
          <w:rFonts w:asciiTheme="majorHAnsi" w:eastAsia="Times New Roman" w:hAnsiTheme="majorHAnsi" w:cstheme="majorHAnsi"/>
          <w:lang w:val="ro-MD"/>
        </w:rPr>
        <w:t xml:space="preserve"> se </w:t>
      </w:r>
      <w:r w:rsidR="00127F06" w:rsidRPr="00CB5F81">
        <w:rPr>
          <w:rFonts w:asciiTheme="majorHAnsi" w:eastAsia="Times New Roman" w:hAnsiTheme="majorHAnsi" w:cstheme="majorHAnsi"/>
          <w:lang w:val="ro-MD"/>
        </w:rPr>
        <w:t>observă</w:t>
      </w:r>
      <w:r w:rsidR="002F4462" w:rsidRPr="00CB5F81">
        <w:rPr>
          <w:rFonts w:asciiTheme="majorHAnsi" w:eastAsia="Times New Roman" w:hAnsiTheme="majorHAnsi" w:cstheme="majorHAnsi"/>
          <w:lang w:val="ro-MD"/>
        </w:rPr>
        <w:t xml:space="preserve"> o micșorare semnif</w:t>
      </w:r>
      <w:r w:rsidR="001C30D2" w:rsidRPr="00CB5F81">
        <w:rPr>
          <w:rFonts w:asciiTheme="majorHAnsi" w:eastAsia="Times New Roman" w:hAnsiTheme="majorHAnsi" w:cstheme="majorHAnsi"/>
          <w:lang w:val="ro-MD"/>
        </w:rPr>
        <w:t xml:space="preserve">icativă a sumei facilităților (8,8 </w:t>
      </w:r>
      <w:r w:rsidR="00726434" w:rsidRPr="00CB5F81">
        <w:rPr>
          <w:rFonts w:asciiTheme="majorHAnsi" w:eastAsia="Times New Roman" w:hAnsiTheme="majorHAnsi" w:cstheme="majorHAnsi"/>
          <w:lang w:val="ro-MD"/>
        </w:rPr>
        <w:t>ml</w:t>
      </w:r>
      <w:r w:rsidR="00903DE6">
        <w:rPr>
          <w:rFonts w:asciiTheme="majorHAnsi" w:eastAsia="Times New Roman" w:hAnsiTheme="majorHAnsi" w:cstheme="majorHAnsi"/>
          <w:lang w:val="ro-MD"/>
        </w:rPr>
        <w:t>r</w:t>
      </w:r>
      <w:r w:rsidR="00726434" w:rsidRPr="00CB5F81">
        <w:rPr>
          <w:rFonts w:asciiTheme="majorHAnsi" w:eastAsia="Times New Roman" w:hAnsiTheme="majorHAnsi" w:cstheme="majorHAnsi"/>
          <w:lang w:val="ro-MD"/>
        </w:rPr>
        <w:t>d</w:t>
      </w:r>
      <w:r w:rsidR="002F4462" w:rsidRPr="00CB5F81">
        <w:rPr>
          <w:rFonts w:asciiTheme="majorHAnsi" w:eastAsia="Times New Roman" w:hAnsiTheme="majorHAnsi" w:cstheme="majorHAnsi"/>
          <w:lang w:val="ro-MD"/>
        </w:rPr>
        <w:t xml:space="preserve">. </w:t>
      </w:r>
      <w:r w:rsidR="0003304C" w:rsidRPr="003B791A">
        <w:rPr>
          <w:rFonts w:asciiTheme="majorHAnsi" w:eastAsia="Times New Roman" w:hAnsiTheme="majorHAnsi" w:cstheme="majorHAnsi"/>
          <w:lang w:val="ro-MD"/>
        </w:rPr>
        <w:t>le</w:t>
      </w:r>
      <w:r w:rsidR="002F4462" w:rsidRPr="00CB5F81">
        <w:rPr>
          <w:rFonts w:asciiTheme="majorHAnsi" w:eastAsia="Times New Roman" w:hAnsiTheme="majorHAnsi" w:cstheme="majorHAnsi"/>
          <w:lang w:val="ro-MD"/>
        </w:rPr>
        <w:t>i, sau cu</w:t>
      </w:r>
      <w:r w:rsidR="001C30D2" w:rsidRPr="00CB5F81">
        <w:rPr>
          <w:rFonts w:asciiTheme="majorHAnsi" w:eastAsia="Times New Roman" w:hAnsiTheme="majorHAnsi" w:cstheme="majorHAnsi"/>
          <w:lang w:val="ro-MD"/>
        </w:rPr>
        <w:t xml:space="preserve"> 3,9 </w:t>
      </w:r>
      <w:r w:rsidR="00726434" w:rsidRPr="00CB5F81">
        <w:rPr>
          <w:rFonts w:asciiTheme="majorHAnsi" w:eastAsia="Times New Roman" w:hAnsiTheme="majorHAnsi" w:cstheme="majorHAnsi"/>
          <w:lang w:val="ro-MD"/>
        </w:rPr>
        <w:lastRenderedPageBreak/>
        <w:t>ml</w:t>
      </w:r>
      <w:r w:rsidR="00903DE6">
        <w:rPr>
          <w:rFonts w:asciiTheme="majorHAnsi" w:eastAsia="Times New Roman" w:hAnsiTheme="majorHAnsi" w:cstheme="majorHAnsi"/>
          <w:lang w:val="ro-MD"/>
        </w:rPr>
        <w:t>r</w:t>
      </w:r>
      <w:r w:rsidR="00726434" w:rsidRPr="00CB5F81">
        <w:rPr>
          <w:rFonts w:asciiTheme="majorHAnsi" w:eastAsia="Times New Roman" w:hAnsiTheme="majorHAnsi" w:cstheme="majorHAnsi"/>
          <w:lang w:val="ro-MD"/>
        </w:rPr>
        <w:t>d.</w:t>
      </w:r>
      <w:r w:rsidR="00903DE6">
        <w:rPr>
          <w:rFonts w:asciiTheme="majorHAnsi" w:eastAsia="Times New Roman" w:hAnsiTheme="majorHAnsi" w:cstheme="majorHAnsi"/>
          <w:lang w:val="ro-MD"/>
        </w:rPr>
        <w:t xml:space="preserve"> lei</w:t>
      </w:r>
      <w:r w:rsidR="002F4462" w:rsidRPr="00CB5F81">
        <w:rPr>
          <w:rFonts w:asciiTheme="majorHAnsi" w:eastAsia="Times New Roman" w:hAnsiTheme="majorHAnsi" w:cstheme="majorHAnsi"/>
          <w:lang w:val="ro-MD"/>
        </w:rPr>
        <w:t xml:space="preserve"> mai puțin comparativ cu anul 2017), influențată de </w:t>
      </w:r>
      <w:r w:rsidR="00903DE6">
        <w:rPr>
          <w:rFonts w:asciiTheme="majorHAnsi" w:eastAsia="Times New Roman" w:hAnsiTheme="majorHAnsi" w:cstheme="majorHAnsi"/>
          <w:lang w:val="ro-MD"/>
        </w:rPr>
        <w:t>ne</w:t>
      </w:r>
      <w:r w:rsidR="002F4462" w:rsidRPr="00CB5F81">
        <w:rPr>
          <w:rFonts w:asciiTheme="majorHAnsi" w:eastAsia="Times New Roman" w:hAnsiTheme="majorHAnsi" w:cstheme="majorHAnsi"/>
          <w:lang w:val="ro-MD"/>
        </w:rPr>
        <w:t>prezent</w:t>
      </w:r>
      <w:r w:rsidR="00903DE6">
        <w:rPr>
          <w:rFonts w:asciiTheme="majorHAnsi" w:eastAsia="Times New Roman" w:hAnsiTheme="majorHAnsi" w:cstheme="majorHAnsi"/>
          <w:lang w:val="ro-MD"/>
        </w:rPr>
        <w:t>area</w:t>
      </w:r>
      <w:r w:rsidR="002F4462" w:rsidRPr="00CB5F81">
        <w:rPr>
          <w:rFonts w:asciiTheme="majorHAnsi" w:eastAsia="Times New Roman" w:hAnsiTheme="majorHAnsi" w:cstheme="majorHAnsi"/>
          <w:lang w:val="ro-MD"/>
        </w:rPr>
        <w:t xml:space="preserve"> de către</w:t>
      </w:r>
      <w:r w:rsidR="00EC1EAF">
        <w:rPr>
          <w:rFonts w:asciiTheme="majorHAnsi" w:eastAsia="Times New Roman" w:hAnsiTheme="majorHAnsi" w:cstheme="majorHAnsi"/>
          <w:lang w:val="ro-MD"/>
        </w:rPr>
        <w:t xml:space="preserve"> </w:t>
      </w:r>
      <w:r w:rsidR="002F4462" w:rsidRPr="00CB5F81">
        <w:rPr>
          <w:rFonts w:asciiTheme="majorHAnsi" w:eastAsia="Times New Roman" w:hAnsiTheme="majorHAnsi" w:cstheme="majorHAnsi"/>
          <w:lang w:val="ro-MD"/>
        </w:rPr>
        <w:t>SFS a valorii înlesnirilor fiscale la TVA și accize.</w:t>
      </w:r>
    </w:p>
    <w:p w:rsidR="00B223F2" w:rsidRPr="00CB5F81" w:rsidRDefault="002F4462" w:rsidP="0090504E">
      <w:pPr>
        <w:pStyle w:val="NormalWeb"/>
        <w:spacing w:after="120"/>
        <w:ind w:firstLine="0"/>
        <w:rPr>
          <w:rFonts w:asciiTheme="majorHAnsi" w:eastAsia="Times New Roman" w:hAnsiTheme="majorHAnsi" w:cstheme="majorHAnsi"/>
          <w:lang w:val="ro-MD"/>
        </w:rPr>
      </w:pPr>
      <w:r w:rsidRPr="00CB5F81">
        <w:rPr>
          <w:rFonts w:asciiTheme="majorHAnsi" w:eastAsia="Times New Roman" w:hAnsiTheme="majorHAnsi" w:cstheme="majorHAnsi"/>
          <w:lang w:val="ro-MD"/>
        </w:rPr>
        <w:t xml:space="preserve">Analiza efectuată de audit denotă că ponderea </w:t>
      </w:r>
      <w:r w:rsidR="003E005C" w:rsidRPr="00CB5F81">
        <w:rPr>
          <w:rFonts w:asciiTheme="majorHAnsi" w:eastAsia="Times New Roman" w:hAnsiTheme="majorHAnsi" w:cstheme="majorHAnsi"/>
          <w:lang w:val="ro-MD"/>
        </w:rPr>
        <w:t>facilităților</w:t>
      </w:r>
      <w:r w:rsidRPr="00CB5F81">
        <w:rPr>
          <w:rFonts w:asciiTheme="majorHAnsi" w:eastAsia="Times New Roman" w:hAnsiTheme="majorHAnsi" w:cstheme="majorHAnsi"/>
          <w:lang w:val="ro-MD"/>
        </w:rPr>
        <w:t xml:space="preserve"> fiscale </w:t>
      </w:r>
      <w:r w:rsidR="003E005C" w:rsidRPr="00CB5F81">
        <w:rPr>
          <w:rFonts w:asciiTheme="majorHAnsi" w:eastAsia="Times New Roman" w:hAnsiTheme="majorHAnsi" w:cstheme="majorHAnsi"/>
          <w:lang w:val="ro-MD"/>
        </w:rPr>
        <w:t>și</w:t>
      </w:r>
      <w:r w:rsidRPr="00CB5F81">
        <w:rPr>
          <w:rFonts w:asciiTheme="majorHAnsi" w:eastAsia="Times New Roman" w:hAnsiTheme="majorHAnsi" w:cstheme="majorHAnsi"/>
          <w:lang w:val="ro-MD"/>
        </w:rPr>
        <w:t xml:space="preserve"> vamale în Produsul Intern Brut, în anii </w:t>
      </w:r>
      <w:r w:rsidRPr="008E6CE7">
        <w:rPr>
          <w:rFonts w:asciiTheme="majorHAnsi" w:eastAsia="Times New Roman" w:hAnsiTheme="majorHAnsi" w:cstheme="majorHAnsi"/>
          <w:lang w:val="ro-MD"/>
        </w:rPr>
        <w:t>2016-2020</w:t>
      </w:r>
      <w:r w:rsidRPr="00CB5F81">
        <w:rPr>
          <w:rFonts w:asciiTheme="majorHAnsi" w:eastAsia="Times New Roman" w:hAnsiTheme="majorHAnsi" w:cstheme="majorHAnsi"/>
          <w:lang w:val="ro-MD"/>
        </w:rPr>
        <w:t xml:space="preserve">, a variat între </w:t>
      </w:r>
      <w:r w:rsidR="001C30D2" w:rsidRPr="00CB5F81">
        <w:rPr>
          <w:rFonts w:asciiTheme="majorHAnsi" w:eastAsia="Times New Roman" w:hAnsiTheme="majorHAnsi" w:cstheme="majorHAnsi"/>
          <w:lang w:val="ro-MD"/>
        </w:rPr>
        <w:t>5</w:t>
      </w:r>
      <w:r w:rsidRPr="00CB5F81">
        <w:rPr>
          <w:rFonts w:asciiTheme="majorHAnsi" w:eastAsia="Times New Roman" w:hAnsiTheme="majorHAnsi" w:cstheme="majorHAnsi"/>
          <w:lang w:val="ro-MD"/>
        </w:rPr>
        <w:t>%</w:t>
      </w:r>
      <w:r w:rsidR="001C30D2" w:rsidRPr="00CB5F81">
        <w:rPr>
          <w:rFonts w:asciiTheme="majorHAnsi" w:eastAsia="Times New Roman" w:hAnsiTheme="majorHAnsi" w:cstheme="majorHAnsi"/>
          <w:lang w:val="ro-MD"/>
        </w:rPr>
        <w:t>-7</w:t>
      </w:r>
      <w:r w:rsidRPr="00CB5F81">
        <w:rPr>
          <w:rFonts w:asciiTheme="majorHAnsi" w:eastAsia="Times New Roman" w:hAnsiTheme="majorHAnsi" w:cstheme="majorHAnsi"/>
          <w:lang w:val="ro-MD"/>
        </w:rPr>
        <w:t>%</w:t>
      </w:r>
      <w:r w:rsidR="004C425B" w:rsidRPr="00CB5F81">
        <w:rPr>
          <w:rFonts w:asciiTheme="majorHAnsi" w:eastAsia="Times New Roman" w:hAnsiTheme="majorHAnsi" w:cstheme="majorHAnsi"/>
          <w:lang w:val="ro-MD"/>
        </w:rPr>
        <w:t xml:space="preserve">, iar </w:t>
      </w:r>
      <w:r w:rsidR="00B223F2" w:rsidRPr="00CB5F81">
        <w:rPr>
          <w:rFonts w:asciiTheme="majorHAnsi" w:eastAsia="Times New Roman" w:hAnsiTheme="majorHAnsi" w:cstheme="majorHAnsi"/>
          <w:lang w:val="ro-MD"/>
        </w:rPr>
        <w:t>în BPN</w:t>
      </w:r>
      <w:r w:rsidR="00483909">
        <w:rPr>
          <w:rFonts w:asciiTheme="majorHAnsi" w:eastAsia="Times New Roman" w:hAnsiTheme="majorHAnsi" w:cstheme="majorHAnsi"/>
          <w:lang w:val="ro-MD"/>
        </w:rPr>
        <w:t xml:space="preserve"> au fost</w:t>
      </w:r>
      <w:r w:rsidR="004C425B" w:rsidRPr="00CB5F81">
        <w:rPr>
          <w:rFonts w:asciiTheme="majorHAnsi" w:eastAsia="Times New Roman" w:hAnsiTheme="majorHAnsi" w:cstheme="majorHAnsi"/>
          <w:lang w:val="ro-MD"/>
        </w:rPr>
        <w:t xml:space="preserve"> </w:t>
      </w:r>
      <w:r w:rsidR="001C30D2" w:rsidRPr="00CB5F81">
        <w:rPr>
          <w:rFonts w:asciiTheme="majorHAnsi" w:eastAsia="Times New Roman" w:hAnsiTheme="majorHAnsi" w:cstheme="majorHAnsi"/>
          <w:lang w:val="ro-MD"/>
        </w:rPr>
        <w:t>cuprinse între 15%-25</w:t>
      </w:r>
      <w:r w:rsidR="00127F06" w:rsidRPr="00CB5F81">
        <w:rPr>
          <w:rFonts w:asciiTheme="majorHAnsi" w:eastAsia="Times New Roman" w:hAnsiTheme="majorHAnsi" w:cstheme="majorHAnsi"/>
          <w:lang w:val="ro-MD"/>
        </w:rPr>
        <w:t xml:space="preserve">%. </w:t>
      </w:r>
      <w:r w:rsidR="00483909">
        <w:rPr>
          <w:rFonts w:asciiTheme="majorHAnsi" w:eastAsia="Times New Roman" w:hAnsiTheme="majorHAnsi" w:cstheme="majorHAnsi"/>
          <w:lang w:val="ro-MD"/>
        </w:rPr>
        <w:t>În</w:t>
      </w:r>
      <w:r w:rsidR="00B223F2" w:rsidRPr="00CB5F81">
        <w:rPr>
          <w:rFonts w:asciiTheme="majorHAnsi" w:eastAsia="Times New Roman" w:hAnsiTheme="majorHAnsi" w:cstheme="majorHAnsi"/>
          <w:lang w:val="ro-MD"/>
        </w:rPr>
        <w:t xml:space="preserve"> valo</w:t>
      </w:r>
      <w:r w:rsidR="00483909">
        <w:rPr>
          <w:rFonts w:asciiTheme="majorHAnsi" w:eastAsia="Times New Roman" w:hAnsiTheme="majorHAnsi" w:cstheme="majorHAnsi"/>
          <w:lang w:val="ro-MD"/>
        </w:rPr>
        <w:t>area totală</w:t>
      </w:r>
      <w:r w:rsidR="00B223F2" w:rsidRPr="00CB5F81">
        <w:rPr>
          <w:rFonts w:asciiTheme="majorHAnsi" w:eastAsia="Times New Roman" w:hAnsiTheme="majorHAnsi" w:cstheme="majorHAnsi"/>
          <w:lang w:val="ro-MD"/>
        </w:rPr>
        <w:t xml:space="preserve"> a facilităților raportate de MF, partea preponderentă revin</w:t>
      </w:r>
      <w:r w:rsidR="00127F06" w:rsidRPr="00CB5F81">
        <w:rPr>
          <w:rFonts w:asciiTheme="majorHAnsi" w:eastAsia="Times New Roman" w:hAnsiTheme="majorHAnsi" w:cstheme="majorHAnsi"/>
          <w:lang w:val="ro-MD"/>
        </w:rPr>
        <w:t xml:space="preserve">e </w:t>
      </w:r>
      <w:r w:rsidR="00B223F2" w:rsidRPr="00CB5F81">
        <w:rPr>
          <w:rFonts w:asciiTheme="majorHAnsi" w:eastAsia="Times New Roman" w:hAnsiTheme="majorHAnsi" w:cstheme="majorHAnsi"/>
          <w:lang w:val="ro-MD"/>
        </w:rPr>
        <w:t xml:space="preserve">facilităților </w:t>
      </w:r>
      <w:r w:rsidR="00127F06" w:rsidRPr="00CB5F81">
        <w:rPr>
          <w:rFonts w:asciiTheme="majorHAnsi" w:eastAsia="Times New Roman" w:hAnsiTheme="majorHAnsi" w:cstheme="majorHAnsi"/>
          <w:lang w:val="ro-MD"/>
        </w:rPr>
        <w:t>vamale, sau</w:t>
      </w:r>
      <w:r w:rsidR="00483909">
        <w:rPr>
          <w:rFonts w:asciiTheme="majorHAnsi" w:eastAsia="Times New Roman" w:hAnsiTheme="majorHAnsi" w:cstheme="majorHAnsi"/>
          <w:lang w:val="ro-MD"/>
        </w:rPr>
        <w:t xml:space="preserve">, </w:t>
      </w:r>
      <w:r w:rsidR="004C425B" w:rsidRPr="00CB5F81">
        <w:rPr>
          <w:rFonts w:asciiTheme="majorHAnsi" w:eastAsia="Times New Roman" w:hAnsiTheme="majorHAnsi" w:cstheme="majorHAnsi"/>
          <w:lang w:val="ro-MD"/>
        </w:rPr>
        <w:t xml:space="preserve"> facilitățile </w:t>
      </w:r>
      <w:r w:rsidR="001C30D2" w:rsidRPr="00CB5F81">
        <w:rPr>
          <w:rFonts w:asciiTheme="majorHAnsi" w:eastAsia="Times New Roman" w:hAnsiTheme="majorHAnsi" w:cstheme="majorHAnsi"/>
          <w:lang w:val="ro-MD"/>
        </w:rPr>
        <w:t>fiscale administrate de</w:t>
      </w:r>
      <w:r w:rsidR="004B0E2B" w:rsidRPr="00CB5F81">
        <w:rPr>
          <w:rFonts w:asciiTheme="majorHAnsi" w:eastAsia="Times New Roman" w:hAnsiTheme="majorHAnsi" w:cstheme="majorHAnsi"/>
          <w:lang w:val="ro-MD"/>
        </w:rPr>
        <w:t xml:space="preserve"> SFS </w:t>
      </w:r>
      <w:r w:rsidR="00483909">
        <w:rPr>
          <w:rFonts w:asciiTheme="majorHAnsi" w:eastAsia="Times New Roman" w:hAnsiTheme="majorHAnsi" w:cstheme="majorHAnsi"/>
          <w:lang w:val="ro-MD"/>
        </w:rPr>
        <w:t>au atins</w:t>
      </w:r>
      <w:r w:rsidR="004B0E2B" w:rsidRPr="00CB5F81">
        <w:rPr>
          <w:rFonts w:asciiTheme="majorHAnsi" w:eastAsia="Times New Roman" w:hAnsiTheme="majorHAnsi" w:cstheme="majorHAnsi"/>
          <w:lang w:val="ro-MD"/>
        </w:rPr>
        <w:t xml:space="preserve"> nivel</w:t>
      </w:r>
      <w:r w:rsidR="00483909">
        <w:rPr>
          <w:rFonts w:asciiTheme="majorHAnsi" w:eastAsia="Times New Roman" w:hAnsiTheme="majorHAnsi" w:cstheme="majorHAnsi"/>
          <w:lang w:val="ro-MD"/>
        </w:rPr>
        <w:t>ul</w:t>
      </w:r>
      <w:r w:rsidR="004B0E2B" w:rsidRPr="00CB5F81">
        <w:rPr>
          <w:rFonts w:asciiTheme="majorHAnsi" w:eastAsia="Times New Roman" w:hAnsiTheme="majorHAnsi" w:cstheme="majorHAnsi"/>
          <w:lang w:val="ro-MD"/>
        </w:rPr>
        <w:t xml:space="preserve"> de 17%</w:t>
      </w:r>
      <w:r w:rsidR="00483909">
        <w:rPr>
          <w:rFonts w:asciiTheme="majorHAnsi" w:eastAsia="Times New Roman" w:hAnsiTheme="majorHAnsi" w:cstheme="majorHAnsi"/>
          <w:lang w:val="ro-MD"/>
        </w:rPr>
        <w:t xml:space="preserve"> -</w:t>
      </w:r>
      <w:r w:rsidR="004B0E2B" w:rsidRPr="00CB5F81">
        <w:rPr>
          <w:rFonts w:asciiTheme="majorHAnsi" w:eastAsia="Times New Roman" w:hAnsiTheme="majorHAnsi" w:cstheme="majorHAnsi"/>
          <w:lang w:val="ro-MD"/>
        </w:rPr>
        <w:t xml:space="preserve"> în anul</w:t>
      </w:r>
      <w:r w:rsidR="00EC1EAF">
        <w:rPr>
          <w:rFonts w:asciiTheme="majorHAnsi" w:eastAsia="Times New Roman" w:hAnsiTheme="majorHAnsi" w:cstheme="majorHAnsi"/>
          <w:lang w:val="ro-MD"/>
        </w:rPr>
        <w:t xml:space="preserve"> </w:t>
      </w:r>
      <w:r w:rsidR="004B0E2B" w:rsidRPr="00CB5F81">
        <w:rPr>
          <w:rFonts w:asciiTheme="majorHAnsi" w:eastAsia="Times New Roman" w:hAnsiTheme="majorHAnsi" w:cstheme="majorHAnsi"/>
          <w:lang w:val="ro-MD"/>
        </w:rPr>
        <w:t>2020</w:t>
      </w:r>
      <w:r w:rsidR="00483909">
        <w:rPr>
          <w:rFonts w:asciiTheme="majorHAnsi" w:eastAsia="Times New Roman" w:hAnsiTheme="majorHAnsi" w:cstheme="majorHAnsi"/>
          <w:lang w:val="ro-MD"/>
        </w:rPr>
        <w:t>,</w:t>
      </w:r>
      <w:r w:rsidR="004B0E2B" w:rsidRPr="00CB5F81">
        <w:rPr>
          <w:rFonts w:asciiTheme="majorHAnsi" w:eastAsia="Times New Roman" w:hAnsiTheme="majorHAnsi" w:cstheme="majorHAnsi"/>
          <w:lang w:val="ro-MD"/>
        </w:rPr>
        <w:t xml:space="preserve"> </w:t>
      </w:r>
      <w:r w:rsidR="006D6287" w:rsidRPr="00CB5F81">
        <w:rPr>
          <w:rFonts w:asciiTheme="majorHAnsi" w:eastAsia="Times New Roman" w:hAnsiTheme="majorHAnsi" w:cstheme="majorHAnsi"/>
          <w:lang w:val="ro-MD"/>
        </w:rPr>
        <w:t xml:space="preserve">și </w:t>
      </w:r>
      <w:r w:rsidR="004B0E2B" w:rsidRPr="00CB5F81">
        <w:rPr>
          <w:rFonts w:asciiTheme="majorHAnsi" w:eastAsia="Times New Roman" w:hAnsiTheme="majorHAnsi" w:cstheme="majorHAnsi"/>
          <w:lang w:val="ro-MD"/>
        </w:rPr>
        <w:t xml:space="preserve">până </w:t>
      </w:r>
      <w:r w:rsidR="00483909">
        <w:rPr>
          <w:rFonts w:asciiTheme="majorHAnsi" w:eastAsia="Times New Roman" w:hAnsiTheme="majorHAnsi" w:cstheme="majorHAnsi"/>
          <w:lang w:val="ro-MD"/>
        </w:rPr>
        <w:t xml:space="preserve">la </w:t>
      </w:r>
      <w:r w:rsidR="004B0E2B" w:rsidRPr="00CB5F81">
        <w:rPr>
          <w:rFonts w:asciiTheme="majorHAnsi" w:eastAsia="Times New Roman" w:hAnsiTheme="majorHAnsi" w:cstheme="majorHAnsi"/>
          <w:lang w:val="ro-MD"/>
        </w:rPr>
        <w:t>37%</w:t>
      </w:r>
      <w:r w:rsidR="00483909">
        <w:rPr>
          <w:rFonts w:asciiTheme="majorHAnsi" w:eastAsia="Times New Roman" w:hAnsiTheme="majorHAnsi" w:cstheme="majorHAnsi"/>
          <w:lang w:val="ro-MD"/>
        </w:rPr>
        <w:t xml:space="preserve"> - </w:t>
      </w:r>
      <w:r w:rsidR="004C425B" w:rsidRPr="00CB5F81">
        <w:rPr>
          <w:rFonts w:asciiTheme="majorHAnsi" w:eastAsia="Times New Roman" w:hAnsiTheme="majorHAnsi" w:cstheme="majorHAnsi"/>
          <w:lang w:val="ro-MD"/>
        </w:rPr>
        <w:t xml:space="preserve"> în anul 2017.</w:t>
      </w:r>
    </w:p>
    <w:p w:rsidR="003E005C" w:rsidRPr="00CB5F81" w:rsidRDefault="006D6287" w:rsidP="0090504E">
      <w:pPr>
        <w:pStyle w:val="NormalWeb"/>
        <w:spacing w:after="120"/>
        <w:ind w:firstLine="0"/>
        <w:rPr>
          <w:rFonts w:asciiTheme="majorHAnsi" w:eastAsia="Times New Roman" w:hAnsiTheme="majorHAnsi" w:cstheme="majorHAnsi"/>
          <w:lang w:val="ro-MD"/>
        </w:rPr>
      </w:pPr>
      <w:r w:rsidRPr="00CB5F81">
        <w:rPr>
          <w:rFonts w:asciiTheme="majorHAnsi" w:eastAsia="Times New Roman" w:hAnsiTheme="majorHAnsi" w:cstheme="majorHAnsi"/>
          <w:lang w:val="ro-MD"/>
        </w:rPr>
        <w:t xml:space="preserve">Potrivit analizelor </w:t>
      </w:r>
      <w:r w:rsidR="00483909">
        <w:rPr>
          <w:rFonts w:asciiTheme="majorHAnsi" w:eastAsia="Times New Roman" w:hAnsiTheme="majorHAnsi" w:cstheme="majorHAnsi"/>
          <w:lang w:val="ro-MD"/>
        </w:rPr>
        <w:t xml:space="preserve">efectuate </w:t>
      </w:r>
      <w:r w:rsidR="00B223F2" w:rsidRPr="00CB5F81">
        <w:rPr>
          <w:rFonts w:asciiTheme="majorHAnsi" w:eastAsia="Times New Roman" w:hAnsiTheme="majorHAnsi" w:cstheme="majorHAnsi"/>
          <w:lang w:val="ro-MD"/>
        </w:rPr>
        <w:t>de audit</w:t>
      </w:r>
      <w:r w:rsidR="00EC1EAF">
        <w:rPr>
          <w:rFonts w:asciiTheme="majorHAnsi" w:eastAsia="Times New Roman" w:hAnsiTheme="majorHAnsi" w:cstheme="majorHAnsi"/>
          <w:lang w:val="ro-MD"/>
        </w:rPr>
        <w:t xml:space="preserve"> </w:t>
      </w:r>
      <w:r w:rsidR="00B223F2" w:rsidRPr="00CB5F81">
        <w:rPr>
          <w:rFonts w:asciiTheme="majorHAnsi" w:eastAsia="Times New Roman" w:hAnsiTheme="majorHAnsi" w:cstheme="majorHAnsi"/>
          <w:lang w:val="ro-MD"/>
        </w:rPr>
        <w:t>la SFS</w:t>
      </w:r>
      <w:r w:rsidR="00483909">
        <w:rPr>
          <w:rFonts w:asciiTheme="majorHAnsi" w:eastAsia="Times New Roman" w:hAnsiTheme="majorHAnsi" w:cstheme="majorHAnsi"/>
          <w:lang w:val="ro-MD"/>
        </w:rPr>
        <w:t>,</w:t>
      </w:r>
      <w:r w:rsidR="0063389C" w:rsidRPr="00CB5F81">
        <w:rPr>
          <w:rFonts w:asciiTheme="majorHAnsi" w:eastAsia="Times New Roman" w:hAnsiTheme="majorHAnsi" w:cstheme="majorHAnsi"/>
          <w:lang w:val="ro-MD"/>
        </w:rPr>
        <w:t xml:space="preserve"> </w:t>
      </w:r>
      <w:r w:rsidR="00B223F2" w:rsidRPr="00CB5F81">
        <w:rPr>
          <w:rFonts w:asciiTheme="majorHAnsi" w:eastAsia="Times New Roman" w:hAnsiTheme="majorHAnsi" w:cstheme="majorHAnsi"/>
          <w:lang w:val="ro-MD"/>
        </w:rPr>
        <w:t xml:space="preserve">datele </w:t>
      </w:r>
      <w:r w:rsidR="00483909">
        <w:rPr>
          <w:rFonts w:asciiTheme="majorHAnsi" w:eastAsia="Times New Roman" w:hAnsiTheme="majorHAnsi" w:cstheme="majorHAnsi"/>
          <w:lang w:val="ro-MD"/>
        </w:rPr>
        <w:t>sus-indicate</w:t>
      </w:r>
      <w:r w:rsidR="00B223F2" w:rsidRPr="00CB5F81">
        <w:rPr>
          <w:rFonts w:asciiTheme="majorHAnsi" w:eastAsia="Times New Roman" w:hAnsiTheme="majorHAnsi" w:cstheme="majorHAnsi"/>
          <w:lang w:val="ro-MD"/>
        </w:rPr>
        <w:t xml:space="preserve"> nu sunt complete și nu reprezintă o imagine reală despre valoarea facilităților acordate de stat d</w:t>
      </w:r>
      <w:r w:rsidR="00483909">
        <w:rPr>
          <w:rFonts w:asciiTheme="majorHAnsi" w:eastAsia="Times New Roman" w:hAnsiTheme="majorHAnsi" w:cstheme="majorHAnsi"/>
          <w:lang w:val="ro-MD"/>
        </w:rPr>
        <w:t>i</w:t>
      </w:r>
      <w:r w:rsidR="00B223F2" w:rsidRPr="00CB5F81">
        <w:rPr>
          <w:rFonts w:asciiTheme="majorHAnsi" w:eastAsia="Times New Roman" w:hAnsiTheme="majorHAnsi" w:cstheme="majorHAnsi"/>
          <w:lang w:val="ro-MD"/>
        </w:rPr>
        <w:t>feritor tipuri de beneficiari, afirmație susținută de consta</w:t>
      </w:r>
      <w:r w:rsidRPr="00CB5F81">
        <w:rPr>
          <w:rFonts w:asciiTheme="majorHAnsi" w:eastAsia="Times New Roman" w:hAnsiTheme="majorHAnsi" w:cstheme="majorHAnsi"/>
          <w:lang w:val="ro-MD"/>
        </w:rPr>
        <w:t xml:space="preserve">tările </w:t>
      </w:r>
      <w:r w:rsidR="00483909">
        <w:rPr>
          <w:rFonts w:asciiTheme="majorHAnsi" w:eastAsia="Times New Roman" w:hAnsiTheme="majorHAnsi" w:cstheme="majorHAnsi"/>
          <w:lang w:val="ro-MD"/>
        </w:rPr>
        <w:t>di</w:t>
      </w:r>
      <w:r w:rsidRPr="00CB5F81">
        <w:rPr>
          <w:rFonts w:asciiTheme="majorHAnsi" w:eastAsia="Times New Roman" w:hAnsiTheme="majorHAnsi" w:cstheme="majorHAnsi"/>
          <w:lang w:val="ro-MD"/>
        </w:rPr>
        <w:t>n prezentul R</w:t>
      </w:r>
      <w:r w:rsidR="00B223F2" w:rsidRPr="00CB5F81">
        <w:rPr>
          <w:rFonts w:asciiTheme="majorHAnsi" w:eastAsia="Times New Roman" w:hAnsiTheme="majorHAnsi" w:cstheme="majorHAnsi"/>
          <w:lang w:val="ro-MD"/>
        </w:rPr>
        <w:t>aport</w:t>
      </w:r>
      <w:r w:rsidRPr="00CB5F81">
        <w:rPr>
          <w:rFonts w:asciiTheme="majorHAnsi" w:eastAsia="Times New Roman" w:hAnsiTheme="majorHAnsi" w:cstheme="majorHAnsi"/>
          <w:lang w:val="ro-MD"/>
        </w:rPr>
        <w:t xml:space="preserve"> de audit</w:t>
      </w:r>
      <w:r w:rsidR="00B223F2" w:rsidRPr="00CB5F81">
        <w:rPr>
          <w:rFonts w:asciiTheme="majorHAnsi" w:eastAsia="Times New Roman" w:hAnsiTheme="majorHAnsi" w:cstheme="majorHAnsi"/>
          <w:lang w:val="ro-MD"/>
        </w:rPr>
        <w:t>.</w:t>
      </w:r>
    </w:p>
    <w:p w:rsidR="00EF7E45" w:rsidRPr="00CB5F81" w:rsidRDefault="007E6B09" w:rsidP="00EF7E45">
      <w:pPr>
        <w:pStyle w:val="NormalWeb"/>
        <w:spacing w:after="120"/>
        <w:ind w:firstLine="0"/>
        <w:rPr>
          <w:rFonts w:asciiTheme="majorHAnsi" w:hAnsiTheme="majorHAnsi" w:cstheme="majorHAnsi"/>
          <w:lang w:val="ro-MD"/>
        </w:rPr>
      </w:pPr>
      <w:r w:rsidRPr="00CB5F81">
        <w:rPr>
          <w:rFonts w:asciiTheme="majorHAnsi" w:eastAsia="Times New Roman" w:hAnsiTheme="majorHAnsi" w:cstheme="majorHAnsi"/>
          <w:lang w:val="ro-MD"/>
        </w:rPr>
        <w:t>C</w:t>
      </w:r>
      <w:r w:rsidR="00D878B9" w:rsidRPr="00CB5F81">
        <w:rPr>
          <w:rFonts w:asciiTheme="majorHAnsi" w:eastAsia="Times New Roman" w:hAnsiTheme="majorHAnsi" w:cstheme="majorHAnsi"/>
          <w:lang w:val="ro-MD"/>
        </w:rPr>
        <w:t xml:space="preserve">onform datelor </w:t>
      </w:r>
      <w:r w:rsidR="00483909">
        <w:rPr>
          <w:rFonts w:asciiTheme="majorHAnsi" w:eastAsia="Times New Roman" w:hAnsiTheme="majorHAnsi" w:cstheme="majorHAnsi"/>
          <w:lang w:val="ro-MD"/>
        </w:rPr>
        <w:t xml:space="preserve">din </w:t>
      </w:r>
      <w:r w:rsidR="00D878B9" w:rsidRPr="00CB5F81">
        <w:rPr>
          <w:rFonts w:asciiTheme="majorHAnsi" w:eastAsia="Times New Roman" w:hAnsiTheme="majorHAnsi" w:cstheme="majorHAnsi"/>
          <w:lang w:val="ro-MD"/>
        </w:rPr>
        <w:t xml:space="preserve">Registrul unic </w:t>
      </w:r>
      <w:r w:rsidR="006D7C36">
        <w:rPr>
          <w:rFonts w:asciiTheme="majorHAnsi" w:eastAsia="Times New Roman" w:hAnsiTheme="majorHAnsi" w:cstheme="majorHAnsi"/>
          <w:lang w:val="ro-MD"/>
        </w:rPr>
        <w:t>al</w:t>
      </w:r>
      <w:r w:rsidR="00D878B9" w:rsidRPr="00CB5F81">
        <w:rPr>
          <w:rFonts w:asciiTheme="majorHAnsi" w:eastAsia="Times New Roman" w:hAnsiTheme="majorHAnsi" w:cstheme="majorHAnsi"/>
          <w:lang w:val="ro-MD"/>
        </w:rPr>
        <w:t xml:space="preserve"> facilități</w:t>
      </w:r>
      <w:r w:rsidR="006D7C36">
        <w:rPr>
          <w:rFonts w:asciiTheme="majorHAnsi" w:eastAsia="Times New Roman" w:hAnsiTheme="majorHAnsi" w:cstheme="majorHAnsi"/>
          <w:lang w:val="ro-MD"/>
        </w:rPr>
        <w:t>lor fiscale</w:t>
      </w:r>
      <w:r w:rsidR="00483909">
        <w:rPr>
          <w:rFonts w:asciiTheme="majorHAnsi" w:eastAsia="Times New Roman" w:hAnsiTheme="majorHAnsi" w:cstheme="majorHAnsi"/>
          <w:lang w:val="ro-MD"/>
        </w:rPr>
        <w:t>,</w:t>
      </w:r>
      <w:r w:rsidR="00D878B9" w:rsidRPr="00CB5F81">
        <w:rPr>
          <w:rFonts w:asciiTheme="majorHAnsi" w:eastAsia="Times New Roman" w:hAnsiTheme="majorHAnsi" w:cstheme="majorHAnsi"/>
          <w:lang w:val="ro-MD"/>
        </w:rPr>
        <w:t xml:space="preserve"> prezentat</w:t>
      </w:r>
      <w:r w:rsidR="00483909">
        <w:rPr>
          <w:rFonts w:asciiTheme="majorHAnsi" w:eastAsia="Times New Roman" w:hAnsiTheme="majorHAnsi" w:cstheme="majorHAnsi"/>
          <w:lang w:val="ro-MD"/>
        </w:rPr>
        <w:t>e</w:t>
      </w:r>
      <w:r w:rsidR="00D878B9" w:rsidRPr="00CB5F81">
        <w:rPr>
          <w:rFonts w:asciiTheme="majorHAnsi" w:eastAsia="Times New Roman" w:hAnsiTheme="majorHAnsi" w:cstheme="majorHAnsi"/>
          <w:lang w:val="ro-MD"/>
        </w:rPr>
        <w:t xml:space="preserve"> de Ministerul Finanțelor, î</w:t>
      </w:r>
      <w:r w:rsidR="00483909">
        <w:rPr>
          <w:rFonts w:asciiTheme="majorHAnsi" w:eastAsia="Times New Roman" w:hAnsiTheme="majorHAnsi" w:cstheme="majorHAnsi"/>
          <w:lang w:val="ro-MD"/>
        </w:rPr>
        <w:t>n</w:t>
      </w:r>
      <w:r w:rsidR="00D878B9" w:rsidRPr="00CB5F81">
        <w:rPr>
          <w:rFonts w:asciiTheme="majorHAnsi" w:eastAsia="Times New Roman" w:hAnsiTheme="majorHAnsi" w:cstheme="majorHAnsi"/>
          <w:lang w:val="ro-MD"/>
        </w:rPr>
        <w:t xml:space="preserve"> </w:t>
      </w:r>
      <w:r w:rsidR="00882E05" w:rsidRPr="00CB5F81">
        <w:rPr>
          <w:rFonts w:asciiTheme="majorHAnsi" w:eastAsia="Times New Roman" w:hAnsiTheme="majorHAnsi" w:cstheme="majorHAnsi"/>
          <w:lang w:val="ro-MD"/>
        </w:rPr>
        <w:t>anul 2020</w:t>
      </w:r>
      <w:r w:rsidR="00A33606" w:rsidRPr="00CB5F81">
        <w:rPr>
          <w:rFonts w:asciiTheme="majorHAnsi" w:eastAsia="Times New Roman" w:hAnsiTheme="majorHAnsi" w:cstheme="majorHAnsi"/>
          <w:lang w:val="ro-MD"/>
        </w:rPr>
        <w:t>,</w:t>
      </w:r>
      <w:r w:rsidR="00EC1EAF">
        <w:rPr>
          <w:rFonts w:asciiTheme="majorHAnsi" w:eastAsia="Times New Roman" w:hAnsiTheme="majorHAnsi" w:cstheme="majorHAnsi"/>
          <w:lang w:val="ro-MD"/>
        </w:rPr>
        <w:t xml:space="preserve"> </w:t>
      </w:r>
      <w:r w:rsidR="00D878B9" w:rsidRPr="00CB5F81">
        <w:rPr>
          <w:rFonts w:asciiTheme="majorHAnsi" w:eastAsia="Times New Roman" w:hAnsiTheme="majorHAnsi" w:cstheme="majorHAnsi"/>
          <w:lang w:val="ro-MD"/>
        </w:rPr>
        <w:t>per ansamblu</w:t>
      </w:r>
      <w:r w:rsidR="00483909">
        <w:rPr>
          <w:rFonts w:asciiTheme="majorHAnsi" w:eastAsia="Times New Roman" w:hAnsiTheme="majorHAnsi" w:cstheme="majorHAnsi"/>
          <w:lang w:val="ro-MD"/>
        </w:rPr>
        <w:t>,</w:t>
      </w:r>
      <w:r w:rsidR="00D878B9" w:rsidRPr="00CB5F81">
        <w:rPr>
          <w:rFonts w:asciiTheme="majorHAnsi" w:eastAsia="Times New Roman" w:hAnsiTheme="majorHAnsi" w:cstheme="majorHAnsi"/>
          <w:lang w:val="ro-MD"/>
        </w:rPr>
        <w:t xml:space="preserve"> </w:t>
      </w:r>
      <w:r w:rsidR="002D09EE" w:rsidRPr="00CB5F81">
        <w:rPr>
          <w:rFonts w:asciiTheme="majorHAnsi" w:eastAsia="Times New Roman" w:hAnsiTheme="majorHAnsi" w:cstheme="majorHAnsi"/>
          <w:lang w:val="ro-MD"/>
        </w:rPr>
        <w:t xml:space="preserve">s-au înregistrat </w:t>
      </w:r>
      <w:r w:rsidR="00D878B9" w:rsidRPr="00CB5F81">
        <w:rPr>
          <w:rFonts w:asciiTheme="majorHAnsi" w:eastAsia="Times New Roman" w:hAnsiTheme="majorHAnsi" w:cstheme="majorHAnsi"/>
          <w:lang w:val="ro-MD"/>
        </w:rPr>
        <w:t>384 de</w:t>
      </w:r>
      <w:r w:rsidR="00882E05" w:rsidRPr="00CB5F81">
        <w:rPr>
          <w:rFonts w:asciiTheme="majorHAnsi" w:eastAsia="Times New Roman" w:hAnsiTheme="majorHAnsi" w:cstheme="majorHAnsi"/>
          <w:lang w:val="ro-MD"/>
        </w:rPr>
        <w:t xml:space="preserve"> tipuri </w:t>
      </w:r>
      <w:r w:rsidR="00EF7E45" w:rsidRPr="00CB5F81">
        <w:rPr>
          <w:rFonts w:asciiTheme="majorHAnsi" w:eastAsia="Times New Roman" w:hAnsiTheme="majorHAnsi" w:cstheme="majorHAnsi"/>
          <w:lang w:val="ro-MD"/>
        </w:rPr>
        <w:t xml:space="preserve">de facilități fiscale și vamale, dintre care au fost cuantificate 145 </w:t>
      </w:r>
      <w:r w:rsidR="00483909">
        <w:rPr>
          <w:rFonts w:asciiTheme="majorHAnsi" w:eastAsia="Times New Roman" w:hAnsiTheme="majorHAnsi" w:cstheme="majorHAnsi"/>
          <w:lang w:val="ro-MD"/>
        </w:rPr>
        <w:t xml:space="preserve">de </w:t>
      </w:r>
      <w:r w:rsidR="00EF7E45" w:rsidRPr="00CB5F81">
        <w:rPr>
          <w:rFonts w:asciiTheme="majorHAnsi" w:eastAsia="Times New Roman" w:hAnsiTheme="majorHAnsi" w:cstheme="majorHAnsi"/>
          <w:lang w:val="ro-MD"/>
        </w:rPr>
        <w:t xml:space="preserve">facilități. </w:t>
      </w:r>
      <w:r w:rsidR="00EF7E45" w:rsidRPr="00CB5F81">
        <w:rPr>
          <w:rFonts w:asciiTheme="majorHAnsi" w:hAnsiTheme="majorHAnsi" w:cstheme="majorHAnsi"/>
          <w:lang w:val="ro-MD"/>
        </w:rPr>
        <w:t xml:space="preserve">Analiza numerică pe tipuri de </w:t>
      </w:r>
      <w:r w:rsidR="00726434" w:rsidRPr="00CB5F81">
        <w:rPr>
          <w:rFonts w:asciiTheme="majorHAnsi" w:hAnsiTheme="majorHAnsi" w:cstheme="majorHAnsi"/>
          <w:lang w:val="ro-MD"/>
        </w:rPr>
        <w:t>facilități</w:t>
      </w:r>
      <w:r w:rsidR="00EF7E45" w:rsidRPr="00CB5F81">
        <w:rPr>
          <w:rFonts w:asciiTheme="majorHAnsi" w:hAnsiTheme="majorHAnsi" w:cstheme="majorHAnsi"/>
          <w:lang w:val="ro-MD"/>
        </w:rPr>
        <w:t xml:space="preserve"> fiscale </w:t>
      </w:r>
      <w:r w:rsidR="00726434" w:rsidRPr="00CB5F81">
        <w:rPr>
          <w:rFonts w:asciiTheme="majorHAnsi" w:hAnsiTheme="majorHAnsi" w:cstheme="majorHAnsi"/>
          <w:lang w:val="ro-MD"/>
        </w:rPr>
        <w:t>și</w:t>
      </w:r>
      <w:r w:rsidR="00EF7E45" w:rsidRPr="00CB5F81">
        <w:rPr>
          <w:rFonts w:asciiTheme="majorHAnsi" w:hAnsiTheme="majorHAnsi" w:cstheme="majorHAnsi"/>
          <w:lang w:val="ro-MD"/>
        </w:rPr>
        <w:t xml:space="preserve"> vamale atestă</w:t>
      </w:r>
      <w:r w:rsidR="00EC1EAF">
        <w:rPr>
          <w:rFonts w:asciiTheme="majorHAnsi" w:hAnsiTheme="majorHAnsi" w:cstheme="majorHAnsi"/>
          <w:lang w:val="ro-MD"/>
        </w:rPr>
        <w:t xml:space="preserve"> </w:t>
      </w:r>
      <w:r w:rsidR="00EF7E45" w:rsidRPr="00CB5F81">
        <w:rPr>
          <w:rFonts w:asciiTheme="majorHAnsi" w:hAnsiTheme="majorHAnsi" w:cstheme="majorHAnsi"/>
          <w:lang w:val="ro-MD"/>
        </w:rPr>
        <w:t>că în anul 2020 SFS a administrat</w:t>
      </w:r>
      <w:r w:rsidR="000223E7">
        <w:rPr>
          <w:rFonts w:asciiTheme="majorHAnsi" w:hAnsiTheme="majorHAnsi" w:cstheme="majorHAnsi"/>
          <w:lang w:val="ro-MD"/>
        </w:rPr>
        <w:t xml:space="preserve"> </w:t>
      </w:r>
      <w:r w:rsidR="00EF7E45" w:rsidRPr="00CB5F81">
        <w:rPr>
          <w:rFonts w:asciiTheme="majorHAnsi" w:hAnsiTheme="majorHAnsi" w:cstheme="majorHAnsi"/>
          <w:lang w:val="ro-MD"/>
        </w:rPr>
        <w:t>21</w:t>
      </w:r>
      <w:r w:rsidR="00A85441">
        <w:rPr>
          <w:rFonts w:asciiTheme="majorHAnsi" w:hAnsiTheme="majorHAnsi" w:cstheme="majorHAnsi"/>
          <w:lang w:val="ro-MD"/>
        </w:rPr>
        <w:t>7</w:t>
      </w:r>
      <w:r w:rsidR="000223E7">
        <w:rPr>
          <w:rFonts w:asciiTheme="majorHAnsi" w:hAnsiTheme="majorHAnsi" w:cstheme="majorHAnsi"/>
          <w:lang w:val="ro-MD"/>
        </w:rPr>
        <w:t xml:space="preserve"> facilități,</w:t>
      </w:r>
      <w:r w:rsidR="00EF7E45" w:rsidRPr="00CB5F81">
        <w:rPr>
          <w:rFonts w:asciiTheme="majorHAnsi" w:hAnsiTheme="majorHAnsi" w:cstheme="majorHAnsi"/>
          <w:lang w:val="ro-MD"/>
        </w:rPr>
        <w:t xml:space="preserve"> dintre care 35 </w:t>
      </w:r>
      <w:r w:rsidR="000223E7">
        <w:rPr>
          <w:rFonts w:asciiTheme="majorHAnsi" w:hAnsiTheme="majorHAnsi" w:cstheme="majorHAnsi"/>
          <w:lang w:val="ro-MD"/>
        </w:rPr>
        <w:t xml:space="preserve">de </w:t>
      </w:r>
      <w:r w:rsidR="00EF7E45" w:rsidRPr="00CB5F81">
        <w:rPr>
          <w:rFonts w:asciiTheme="majorHAnsi" w:hAnsiTheme="majorHAnsi" w:cstheme="majorHAnsi"/>
          <w:lang w:val="ro-MD"/>
        </w:rPr>
        <w:t xml:space="preserve">facilități </w:t>
      </w:r>
      <w:r w:rsidR="000223E7">
        <w:rPr>
          <w:rFonts w:asciiTheme="majorHAnsi" w:hAnsiTheme="majorHAnsi" w:cstheme="majorHAnsi"/>
          <w:lang w:val="ro-MD"/>
        </w:rPr>
        <w:t xml:space="preserve">- </w:t>
      </w:r>
      <w:r w:rsidR="00EF7E45" w:rsidRPr="00CB5F81">
        <w:rPr>
          <w:rFonts w:asciiTheme="majorHAnsi" w:hAnsiTheme="majorHAnsi" w:cstheme="majorHAnsi"/>
          <w:lang w:val="ro-MD"/>
        </w:rPr>
        <w:t xml:space="preserve">în comun cu SV. Auditul constată o creștere de la 105 tipuri de înlesniri cuantificate valoric </w:t>
      </w:r>
      <w:r w:rsidR="000223E7">
        <w:rPr>
          <w:rFonts w:asciiTheme="majorHAnsi" w:hAnsiTheme="majorHAnsi" w:cstheme="majorHAnsi"/>
          <w:lang w:val="ro-MD"/>
        </w:rPr>
        <w:t xml:space="preserve">- </w:t>
      </w:r>
      <w:r w:rsidR="00EF7E45" w:rsidRPr="00CB5F81">
        <w:rPr>
          <w:rFonts w:asciiTheme="majorHAnsi" w:hAnsiTheme="majorHAnsi" w:cstheme="majorHAnsi"/>
          <w:lang w:val="ro-MD"/>
        </w:rPr>
        <w:t>în anul</w:t>
      </w:r>
      <w:r w:rsidR="00EC1EAF">
        <w:rPr>
          <w:rFonts w:asciiTheme="majorHAnsi" w:hAnsiTheme="majorHAnsi" w:cstheme="majorHAnsi"/>
          <w:lang w:val="ro-MD"/>
        </w:rPr>
        <w:t xml:space="preserve"> </w:t>
      </w:r>
      <w:r w:rsidR="00EF7E45" w:rsidRPr="00CB5F81">
        <w:rPr>
          <w:rFonts w:asciiTheme="majorHAnsi" w:hAnsiTheme="majorHAnsi" w:cstheme="majorHAnsi"/>
          <w:lang w:val="ro-MD"/>
        </w:rPr>
        <w:t>2015</w:t>
      </w:r>
      <w:r w:rsidR="000223E7">
        <w:rPr>
          <w:rFonts w:asciiTheme="majorHAnsi" w:hAnsiTheme="majorHAnsi" w:cstheme="majorHAnsi"/>
          <w:lang w:val="ro-MD"/>
        </w:rPr>
        <w:t>,</w:t>
      </w:r>
      <w:r w:rsidR="00EC1EAF">
        <w:rPr>
          <w:rFonts w:asciiTheme="majorHAnsi" w:hAnsiTheme="majorHAnsi" w:cstheme="majorHAnsi"/>
          <w:lang w:val="ro-MD"/>
        </w:rPr>
        <w:t xml:space="preserve"> </w:t>
      </w:r>
      <w:r w:rsidR="00726434" w:rsidRPr="00CB5F81">
        <w:rPr>
          <w:rFonts w:asciiTheme="majorHAnsi" w:hAnsiTheme="majorHAnsi" w:cstheme="majorHAnsi"/>
          <w:lang w:val="ro-MD"/>
        </w:rPr>
        <w:t>până</w:t>
      </w:r>
      <w:r w:rsidR="00EF7E45" w:rsidRPr="00CB5F81">
        <w:rPr>
          <w:rFonts w:asciiTheme="majorHAnsi" w:hAnsiTheme="majorHAnsi" w:cstheme="majorHAnsi"/>
          <w:lang w:val="ro-MD"/>
        </w:rPr>
        <w:t xml:space="preserve"> la 145</w:t>
      </w:r>
      <w:r w:rsidR="000223E7">
        <w:rPr>
          <w:rFonts w:asciiTheme="majorHAnsi" w:hAnsiTheme="majorHAnsi" w:cstheme="majorHAnsi"/>
          <w:lang w:val="ro-MD"/>
        </w:rPr>
        <w:t xml:space="preserve"> de </w:t>
      </w:r>
      <w:r w:rsidR="00EF7E45" w:rsidRPr="00CB5F81">
        <w:rPr>
          <w:rFonts w:asciiTheme="majorHAnsi" w:hAnsiTheme="majorHAnsi" w:cstheme="majorHAnsi"/>
          <w:lang w:val="ro-MD"/>
        </w:rPr>
        <w:t xml:space="preserve"> tipuri </w:t>
      </w:r>
      <w:r w:rsidR="000223E7">
        <w:rPr>
          <w:rFonts w:asciiTheme="majorHAnsi" w:hAnsiTheme="majorHAnsi" w:cstheme="majorHAnsi"/>
          <w:lang w:val="ro-MD"/>
        </w:rPr>
        <w:t xml:space="preserve">- </w:t>
      </w:r>
      <w:r w:rsidR="00EF7E45" w:rsidRPr="00CB5F81">
        <w:rPr>
          <w:rFonts w:asciiTheme="majorHAnsi" w:hAnsiTheme="majorHAnsi" w:cstheme="majorHAnsi"/>
          <w:lang w:val="ro-MD"/>
        </w:rPr>
        <w:t xml:space="preserve">în </w:t>
      </w:r>
      <w:r w:rsidR="000223E7">
        <w:rPr>
          <w:rFonts w:asciiTheme="majorHAnsi" w:hAnsiTheme="majorHAnsi" w:cstheme="majorHAnsi"/>
          <w:lang w:val="ro-MD"/>
        </w:rPr>
        <w:t xml:space="preserve">anul </w:t>
      </w:r>
      <w:r w:rsidR="00EF7E45" w:rsidRPr="00CB5F81">
        <w:rPr>
          <w:rFonts w:asciiTheme="majorHAnsi" w:hAnsiTheme="majorHAnsi" w:cstheme="majorHAnsi"/>
          <w:lang w:val="ro-MD"/>
        </w:rPr>
        <w:t xml:space="preserve">2020, unele fiind </w:t>
      </w:r>
      <w:r w:rsidR="00572166" w:rsidRPr="00303FD0">
        <w:rPr>
          <w:rFonts w:asciiTheme="majorHAnsi" w:hAnsiTheme="majorHAnsi" w:cstheme="majorHAnsi"/>
          <w:lang w:val="ro-MD"/>
        </w:rPr>
        <w:t xml:space="preserve">implementate </w:t>
      </w:r>
      <w:r w:rsidR="00EF7E45" w:rsidRPr="00303FD0">
        <w:rPr>
          <w:rFonts w:asciiTheme="majorHAnsi" w:hAnsiTheme="majorHAnsi" w:cstheme="majorHAnsi"/>
          <w:lang w:val="ro-MD"/>
        </w:rPr>
        <w:t>de la adoptarea</w:t>
      </w:r>
      <w:r w:rsidR="00EF7E45" w:rsidRPr="00CB5F81">
        <w:rPr>
          <w:rFonts w:asciiTheme="majorHAnsi" w:hAnsiTheme="majorHAnsi" w:cstheme="majorHAnsi"/>
          <w:lang w:val="ro-MD"/>
        </w:rPr>
        <w:t xml:space="preserve"> Codului fiscal (anul 1997). </w:t>
      </w:r>
    </w:p>
    <w:p w:rsidR="000223E7" w:rsidRDefault="002D09EE" w:rsidP="00F10F1A">
      <w:pPr>
        <w:pStyle w:val="NormalWeb"/>
        <w:spacing w:after="120"/>
        <w:ind w:firstLine="0"/>
        <w:rPr>
          <w:rFonts w:asciiTheme="majorHAnsi" w:eastAsia="Times New Roman" w:hAnsiTheme="majorHAnsi" w:cstheme="majorHAnsi"/>
          <w:lang w:val="ro-MD"/>
        </w:rPr>
      </w:pPr>
      <w:r w:rsidRPr="00CB5F81">
        <w:rPr>
          <w:rFonts w:asciiTheme="majorHAnsi" w:eastAsia="Times New Roman" w:hAnsiTheme="majorHAnsi" w:cstheme="majorHAnsi"/>
          <w:lang w:val="ro-MD"/>
        </w:rPr>
        <w:t>Analiza numărului de fac</w:t>
      </w:r>
      <w:r w:rsidR="008E6CE7">
        <w:rPr>
          <w:rFonts w:asciiTheme="majorHAnsi" w:eastAsia="Times New Roman" w:hAnsiTheme="majorHAnsi" w:cstheme="majorHAnsi"/>
          <w:lang w:val="ro-MD"/>
        </w:rPr>
        <w:t>ilități</w:t>
      </w:r>
      <w:r w:rsidR="000223E7">
        <w:rPr>
          <w:rFonts w:asciiTheme="majorHAnsi" w:eastAsia="Times New Roman" w:hAnsiTheme="majorHAnsi" w:cstheme="majorHAnsi"/>
          <w:lang w:val="ro-MD"/>
        </w:rPr>
        <w:t>,</w:t>
      </w:r>
      <w:r w:rsidR="00BD2746">
        <w:rPr>
          <w:rFonts w:asciiTheme="majorHAnsi" w:eastAsia="Times New Roman" w:hAnsiTheme="majorHAnsi" w:cstheme="majorHAnsi"/>
          <w:lang w:val="ro-MD"/>
        </w:rPr>
        <w:t xml:space="preserve"> </w:t>
      </w:r>
      <w:r w:rsidR="00BD2746" w:rsidRPr="008E6CE7">
        <w:rPr>
          <w:rFonts w:asciiTheme="majorHAnsi" w:eastAsia="Times New Roman" w:hAnsiTheme="majorHAnsi" w:cstheme="majorHAnsi"/>
          <w:lang w:val="ro-MD"/>
        </w:rPr>
        <w:t xml:space="preserve">pe </w:t>
      </w:r>
      <w:r w:rsidRPr="008E6CE7">
        <w:rPr>
          <w:rFonts w:asciiTheme="majorHAnsi" w:eastAsia="Times New Roman" w:hAnsiTheme="majorHAnsi" w:cstheme="majorHAnsi"/>
          <w:lang w:val="ro-MD"/>
        </w:rPr>
        <w:t>t</w:t>
      </w:r>
      <w:r w:rsidRPr="00CB5F81">
        <w:rPr>
          <w:rFonts w:asciiTheme="majorHAnsi" w:eastAsia="Times New Roman" w:hAnsiTheme="majorHAnsi" w:cstheme="majorHAnsi"/>
          <w:lang w:val="ro-MD"/>
        </w:rPr>
        <w:t>ipuri de impozite și</w:t>
      </w:r>
      <w:r w:rsidR="00EC1EAF">
        <w:rPr>
          <w:rFonts w:asciiTheme="majorHAnsi" w:eastAsia="Times New Roman" w:hAnsiTheme="majorHAnsi" w:cstheme="majorHAnsi"/>
          <w:lang w:val="ro-MD"/>
        </w:rPr>
        <w:t xml:space="preserve"> </w:t>
      </w:r>
      <w:r w:rsidRPr="00CB5F81">
        <w:rPr>
          <w:rFonts w:asciiTheme="majorHAnsi" w:eastAsia="Times New Roman" w:hAnsiTheme="majorHAnsi" w:cstheme="majorHAnsi"/>
          <w:lang w:val="ro-MD"/>
        </w:rPr>
        <w:t>taxe</w:t>
      </w:r>
      <w:r w:rsidR="000223E7">
        <w:rPr>
          <w:rFonts w:asciiTheme="majorHAnsi" w:eastAsia="Times New Roman" w:hAnsiTheme="majorHAnsi" w:cstheme="majorHAnsi"/>
          <w:lang w:val="ro-MD"/>
        </w:rPr>
        <w:t>,</w:t>
      </w:r>
      <w:r w:rsidRPr="00CB5F81">
        <w:rPr>
          <w:rFonts w:asciiTheme="majorHAnsi" w:eastAsia="Times New Roman" w:hAnsiTheme="majorHAnsi" w:cstheme="majorHAnsi"/>
          <w:lang w:val="ro-MD"/>
        </w:rPr>
        <w:t xml:space="preserve"> este redată în următoarea diagramă</w:t>
      </w:r>
      <w:r w:rsidR="000223E7">
        <w:rPr>
          <w:rFonts w:asciiTheme="majorHAnsi" w:eastAsia="Times New Roman" w:hAnsiTheme="majorHAnsi" w:cstheme="majorHAnsi"/>
          <w:lang w:val="ro-MD"/>
        </w:rPr>
        <w:t>.</w:t>
      </w:r>
    </w:p>
    <w:p w:rsidR="005E18E2" w:rsidRDefault="005E18E2" w:rsidP="00F10F1A">
      <w:pPr>
        <w:pStyle w:val="NormalWeb"/>
        <w:spacing w:after="120"/>
        <w:ind w:firstLine="0"/>
        <w:rPr>
          <w:rFonts w:asciiTheme="majorHAnsi" w:eastAsia="Times New Roman" w:hAnsiTheme="majorHAnsi" w:cstheme="majorHAnsi"/>
          <w:lang w:val="ro-MD"/>
        </w:rPr>
      </w:pPr>
    </w:p>
    <w:p w:rsidR="005F5661" w:rsidRPr="000B0D94" w:rsidRDefault="005F5661" w:rsidP="00F10F1A">
      <w:pPr>
        <w:pStyle w:val="NormalWeb"/>
        <w:ind w:firstLine="0"/>
        <w:jc w:val="right"/>
        <w:rPr>
          <w:b/>
          <w:sz w:val="16"/>
          <w:szCs w:val="16"/>
          <w:lang w:val="ro-MD"/>
        </w:rPr>
      </w:pPr>
      <w:r w:rsidRPr="000B0D94">
        <w:rPr>
          <w:rFonts w:asciiTheme="majorHAnsi" w:eastAsia="Times New Roman" w:hAnsiTheme="majorHAnsi" w:cstheme="majorHAnsi"/>
          <w:b/>
          <w:lang w:val="ro-MD"/>
        </w:rPr>
        <w:t>Diagrama nr.1</w:t>
      </w:r>
    </w:p>
    <w:p w:rsidR="005E18E2" w:rsidRPr="00CB5F81" w:rsidRDefault="005E18E2" w:rsidP="005E18E2">
      <w:pPr>
        <w:spacing w:after="0"/>
        <w:rPr>
          <w:sz w:val="16"/>
          <w:szCs w:val="16"/>
        </w:rPr>
      </w:pPr>
      <w:r w:rsidRPr="00CB5F81">
        <w:rPr>
          <w:noProof/>
          <w:lang w:val="en-US"/>
        </w:rPr>
        <w:drawing>
          <wp:inline distT="0" distB="0" distL="0" distR="0" wp14:anchorId="4219FF32" wp14:editId="7A5FF3BB">
            <wp:extent cx="5867400" cy="37719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18E2" w:rsidRPr="00CB5F81" w:rsidRDefault="005E18E2" w:rsidP="00B129B4">
      <w:pPr>
        <w:spacing w:after="120"/>
        <w:rPr>
          <w:i/>
          <w:sz w:val="20"/>
          <w:szCs w:val="20"/>
        </w:rPr>
      </w:pPr>
      <w:r w:rsidRPr="00CB5F81">
        <w:rPr>
          <w:b/>
          <w:i/>
          <w:sz w:val="20"/>
          <w:szCs w:val="20"/>
        </w:rPr>
        <w:t>Sursa</w:t>
      </w:r>
      <w:r w:rsidRPr="00CB5F81">
        <w:rPr>
          <w:i/>
          <w:sz w:val="20"/>
          <w:szCs w:val="20"/>
        </w:rPr>
        <w:t xml:space="preserve">: Registrul unic al </w:t>
      </w:r>
      <w:r w:rsidRPr="00405A66">
        <w:rPr>
          <w:i/>
          <w:sz w:val="20"/>
          <w:szCs w:val="20"/>
        </w:rPr>
        <w:t>facilitărilor fiscale și vamale prezentat</w:t>
      </w:r>
      <w:r w:rsidRPr="00CB5F81">
        <w:rPr>
          <w:i/>
          <w:sz w:val="20"/>
          <w:szCs w:val="20"/>
        </w:rPr>
        <w:t xml:space="preserve"> de MF aferent anului 2020</w:t>
      </w:r>
      <w:r w:rsidR="000223E7">
        <w:rPr>
          <w:i/>
          <w:sz w:val="20"/>
          <w:szCs w:val="20"/>
        </w:rPr>
        <w:t>.</w:t>
      </w:r>
      <w:r w:rsidR="00EC1EAF">
        <w:rPr>
          <w:i/>
          <w:sz w:val="20"/>
          <w:szCs w:val="20"/>
        </w:rPr>
        <w:t xml:space="preserve"> </w:t>
      </w:r>
    </w:p>
    <w:p w:rsidR="00EF7E45" w:rsidRPr="00CB5F81" w:rsidRDefault="003D691C" w:rsidP="00A33606">
      <w:pPr>
        <w:pStyle w:val="NormalWeb"/>
        <w:spacing w:after="120"/>
        <w:ind w:firstLine="0"/>
        <w:rPr>
          <w:rFonts w:asciiTheme="majorHAnsi" w:eastAsia="Times New Roman" w:hAnsiTheme="majorHAnsi" w:cstheme="majorHAnsi"/>
          <w:lang w:val="ro-MD"/>
        </w:rPr>
      </w:pPr>
      <w:r>
        <w:rPr>
          <w:rFonts w:asciiTheme="majorHAnsi" w:eastAsia="Times New Roman" w:hAnsiTheme="majorHAnsi" w:cstheme="majorHAnsi"/>
        </w:rPr>
        <w:t>D</w:t>
      </w:r>
      <w:r w:rsidR="00A33606" w:rsidRPr="00CB5F81">
        <w:rPr>
          <w:rFonts w:asciiTheme="majorHAnsi" w:eastAsia="Times New Roman" w:hAnsiTheme="majorHAnsi" w:cstheme="majorHAnsi"/>
          <w:lang w:val="ro-MD"/>
        </w:rPr>
        <w:t>atel</w:t>
      </w:r>
      <w:r>
        <w:rPr>
          <w:rFonts w:asciiTheme="majorHAnsi" w:eastAsia="Times New Roman" w:hAnsiTheme="majorHAnsi" w:cstheme="majorHAnsi"/>
          <w:lang w:val="ro-MD"/>
        </w:rPr>
        <w:t>e</w:t>
      </w:r>
      <w:r w:rsidR="00EC1EAF">
        <w:rPr>
          <w:rFonts w:asciiTheme="majorHAnsi" w:eastAsia="Times New Roman" w:hAnsiTheme="majorHAnsi" w:cstheme="majorHAnsi"/>
          <w:lang w:val="ro-MD"/>
        </w:rPr>
        <w:t xml:space="preserve"> </w:t>
      </w:r>
      <w:r w:rsidR="004A541C" w:rsidRPr="00CB5F81">
        <w:rPr>
          <w:rFonts w:asciiTheme="majorHAnsi" w:eastAsia="Times New Roman" w:hAnsiTheme="majorHAnsi" w:cstheme="majorHAnsi"/>
          <w:lang w:val="ro-MD"/>
        </w:rPr>
        <w:t>d</w:t>
      </w:r>
      <w:r w:rsidR="0063389C" w:rsidRPr="00CB5F81">
        <w:rPr>
          <w:rFonts w:asciiTheme="majorHAnsi" w:eastAsia="Times New Roman" w:hAnsiTheme="majorHAnsi" w:cstheme="majorHAnsi"/>
          <w:lang w:val="ro-MD"/>
        </w:rPr>
        <w:t>i</w:t>
      </w:r>
      <w:r w:rsidR="00EF7E45" w:rsidRPr="00CB5F81">
        <w:rPr>
          <w:rFonts w:asciiTheme="majorHAnsi" w:eastAsia="Times New Roman" w:hAnsiTheme="majorHAnsi" w:cstheme="majorHAnsi"/>
          <w:lang w:val="ro-MD"/>
        </w:rPr>
        <w:t xml:space="preserve">n diagramă </w:t>
      </w:r>
      <w:r w:rsidR="004A541C" w:rsidRPr="00CB5F81">
        <w:rPr>
          <w:rFonts w:asciiTheme="majorHAnsi" w:eastAsia="Times New Roman" w:hAnsiTheme="majorHAnsi" w:cstheme="majorHAnsi"/>
          <w:lang w:val="ro-MD"/>
        </w:rPr>
        <w:t xml:space="preserve">relevă că </w:t>
      </w:r>
      <w:r w:rsidR="00EF7E45" w:rsidRPr="00CB5F81">
        <w:rPr>
          <w:rFonts w:asciiTheme="majorHAnsi" w:eastAsia="Times New Roman" w:hAnsiTheme="majorHAnsi" w:cstheme="majorHAnsi"/>
          <w:lang w:val="ro-MD"/>
        </w:rPr>
        <w:t>ponderea înlesnirilor revin</w:t>
      </w:r>
      <w:r w:rsidR="00362D33" w:rsidRPr="00CB5F81">
        <w:rPr>
          <w:rFonts w:asciiTheme="majorHAnsi" w:eastAsia="Times New Roman" w:hAnsiTheme="majorHAnsi" w:cstheme="majorHAnsi"/>
          <w:lang w:val="ro-MD"/>
        </w:rPr>
        <w:t>e</w:t>
      </w:r>
      <w:r w:rsidR="00EF7E45" w:rsidRPr="00CB5F81">
        <w:rPr>
          <w:rFonts w:asciiTheme="majorHAnsi" w:eastAsia="Times New Roman" w:hAnsiTheme="majorHAnsi" w:cstheme="majorHAnsi"/>
          <w:lang w:val="ro-MD"/>
        </w:rPr>
        <w:t xml:space="preserve"> </w:t>
      </w:r>
      <w:r w:rsidR="004A541C" w:rsidRPr="00CB5F81">
        <w:rPr>
          <w:rFonts w:asciiTheme="majorHAnsi" w:eastAsia="Times New Roman" w:hAnsiTheme="majorHAnsi" w:cstheme="majorHAnsi"/>
          <w:lang w:val="ro-MD"/>
        </w:rPr>
        <w:t>celor aferente impozitului pe venit și TVA. Concomitent, în cazul a șase tipuri de impozite și taxe</w:t>
      </w:r>
      <w:r>
        <w:rPr>
          <w:rFonts w:asciiTheme="majorHAnsi" w:eastAsia="Times New Roman" w:hAnsiTheme="majorHAnsi" w:cstheme="majorHAnsi"/>
          <w:lang w:val="ro-MD"/>
        </w:rPr>
        <w:t>,</w:t>
      </w:r>
      <w:r w:rsidR="004A541C" w:rsidRPr="00CB5F81">
        <w:rPr>
          <w:rFonts w:asciiTheme="majorHAnsi" w:eastAsia="Times New Roman" w:hAnsiTheme="majorHAnsi" w:cstheme="majorHAnsi"/>
          <w:lang w:val="ro-MD"/>
        </w:rPr>
        <w:t xml:space="preserve"> cum ar fi impozitul pe venit, impozitul pe bunurile imobiliare, taxele</w:t>
      </w:r>
      <w:r w:rsidR="00EC1EAF">
        <w:rPr>
          <w:rFonts w:asciiTheme="majorHAnsi" w:eastAsia="Times New Roman" w:hAnsiTheme="majorHAnsi" w:cstheme="majorHAnsi"/>
          <w:lang w:val="ro-MD"/>
        </w:rPr>
        <w:t xml:space="preserve"> </w:t>
      </w:r>
      <w:r w:rsidR="004A541C" w:rsidRPr="00CB5F81">
        <w:rPr>
          <w:rFonts w:asciiTheme="majorHAnsi" w:eastAsia="Times New Roman" w:hAnsiTheme="majorHAnsi" w:cstheme="majorHAnsi"/>
          <w:lang w:val="ro-MD"/>
        </w:rPr>
        <w:t>locale</w:t>
      </w:r>
      <w:r>
        <w:rPr>
          <w:rFonts w:asciiTheme="majorHAnsi" w:eastAsia="Times New Roman" w:hAnsiTheme="majorHAnsi" w:cstheme="majorHAnsi"/>
          <w:lang w:val="ro-MD"/>
        </w:rPr>
        <w:t xml:space="preserve"> și</w:t>
      </w:r>
      <w:r w:rsidR="004A541C" w:rsidRPr="00CB5F81">
        <w:rPr>
          <w:rFonts w:asciiTheme="majorHAnsi" w:eastAsia="Times New Roman" w:hAnsiTheme="majorHAnsi" w:cstheme="majorHAnsi"/>
          <w:lang w:val="ro-MD"/>
        </w:rPr>
        <w:t xml:space="preserve"> altele</w:t>
      </w:r>
      <w:r>
        <w:rPr>
          <w:rFonts w:asciiTheme="majorHAnsi" w:eastAsia="Times New Roman" w:hAnsiTheme="majorHAnsi" w:cstheme="majorHAnsi"/>
          <w:lang w:val="ro-MD"/>
        </w:rPr>
        <w:t>,</w:t>
      </w:r>
      <w:r w:rsidR="004A541C" w:rsidRPr="00CB5F81">
        <w:rPr>
          <w:rFonts w:asciiTheme="majorHAnsi" w:eastAsia="Times New Roman" w:hAnsiTheme="majorHAnsi" w:cstheme="majorHAnsi"/>
          <w:lang w:val="ro-MD"/>
        </w:rPr>
        <w:t xml:space="preserve"> menționate în diagramă</w:t>
      </w:r>
      <w:r>
        <w:rPr>
          <w:rFonts w:asciiTheme="majorHAnsi" w:eastAsia="Times New Roman" w:hAnsiTheme="majorHAnsi" w:cstheme="majorHAnsi"/>
          <w:lang w:val="ro-MD"/>
        </w:rPr>
        <w:t>,</w:t>
      </w:r>
      <w:r w:rsidRPr="003D691C">
        <w:rPr>
          <w:rFonts w:asciiTheme="majorHAnsi" w:eastAsia="Times New Roman" w:hAnsiTheme="majorHAnsi" w:cstheme="majorHAnsi"/>
          <w:lang w:val="ro-MD"/>
        </w:rPr>
        <w:t xml:space="preserve"> </w:t>
      </w:r>
      <w:r w:rsidRPr="00CB5F81">
        <w:rPr>
          <w:rFonts w:asciiTheme="majorHAnsi" w:eastAsia="Times New Roman" w:hAnsiTheme="majorHAnsi" w:cstheme="majorHAnsi"/>
          <w:lang w:val="ro-MD"/>
        </w:rPr>
        <w:t>unicul administrator este SFS</w:t>
      </w:r>
      <w:r w:rsidR="004A541C" w:rsidRPr="00CB5F81">
        <w:rPr>
          <w:rFonts w:asciiTheme="majorHAnsi" w:eastAsia="Times New Roman" w:hAnsiTheme="majorHAnsi" w:cstheme="majorHAnsi"/>
          <w:lang w:val="ro-MD"/>
        </w:rPr>
        <w:t>. Datele comple</w:t>
      </w:r>
      <w:r>
        <w:rPr>
          <w:rFonts w:asciiTheme="majorHAnsi" w:eastAsia="Times New Roman" w:hAnsiTheme="majorHAnsi" w:cstheme="majorHAnsi"/>
          <w:lang w:val="ro-MD"/>
        </w:rPr>
        <w:t>t</w:t>
      </w:r>
      <w:r w:rsidR="004A541C" w:rsidRPr="00CB5F81">
        <w:rPr>
          <w:rFonts w:asciiTheme="majorHAnsi" w:eastAsia="Times New Roman" w:hAnsiTheme="majorHAnsi" w:cstheme="majorHAnsi"/>
          <w:lang w:val="ro-MD"/>
        </w:rPr>
        <w:t>e sunt</w:t>
      </w:r>
      <w:r w:rsidR="00362D33" w:rsidRPr="00CB5F81">
        <w:rPr>
          <w:rFonts w:asciiTheme="majorHAnsi" w:eastAsia="Times New Roman" w:hAnsiTheme="majorHAnsi" w:cstheme="majorHAnsi"/>
          <w:lang w:val="ro-MD"/>
        </w:rPr>
        <w:t xml:space="preserve"> prezentate</w:t>
      </w:r>
      <w:r w:rsidR="001B1134" w:rsidRPr="00CB5F81">
        <w:rPr>
          <w:rFonts w:asciiTheme="majorHAnsi" w:eastAsia="Times New Roman" w:hAnsiTheme="majorHAnsi" w:cstheme="majorHAnsi"/>
          <w:lang w:val="ro-MD"/>
        </w:rPr>
        <w:t xml:space="preserve"> în Anexa nr.1</w:t>
      </w:r>
      <w:r w:rsidR="004A541C" w:rsidRPr="00CB5F81">
        <w:rPr>
          <w:rFonts w:asciiTheme="majorHAnsi" w:eastAsia="Times New Roman" w:hAnsiTheme="majorHAnsi" w:cstheme="majorHAnsi"/>
          <w:lang w:val="ro-MD"/>
        </w:rPr>
        <w:t xml:space="preserve"> la </w:t>
      </w:r>
      <w:r w:rsidR="00362D33" w:rsidRPr="00CB5F81">
        <w:rPr>
          <w:rFonts w:asciiTheme="majorHAnsi" w:eastAsia="Times New Roman" w:hAnsiTheme="majorHAnsi" w:cstheme="majorHAnsi"/>
          <w:lang w:val="ro-MD"/>
        </w:rPr>
        <w:t>prezentul R</w:t>
      </w:r>
      <w:r w:rsidR="004A541C" w:rsidRPr="00CB5F81">
        <w:rPr>
          <w:rFonts w:asciiTheme="majorHAnsi" w:eastAsia="Times New Roman" w:hAnsiTheme="majorHAnsi" w:cstheme="majorHAnsi"/>
          <w:lang w:val="ro-MD"/>
        </w:rPr>
        <w:t>aport</w:t>
      </w:r>
      <w:r w:rsidR="00362D33" w:rsidRPr="00CB5F81">
        <w:rPr>
          <w:rFonts w:asciiTheme="majorHAnsi" w:eastAsia="Times New Roman" w:hAnsiTheme="majorHAnsi" w:cstheme="majorHAnsi"/>
          <w:lang w:val="ro-MD"/>
        </w:rPr>
        <w:t xml:space="preserve"> de audit</w:t>
      </w:r>
      <w:r w:rsidR="004A541C" w:rsidRPr="00CB5F81">
        <w:rPr>
          <w:rFonts w:asciiTheme="majorHAnsi" w:eastAsia="Times New Roman" w:hAnsiTheme="majorHAnsi" w:cstheme="majorHAnsi"/>
          <w:lang w:val="ro-MD"/>
        </w:rPr>
        <w:t>.</w:t>
      </w:r>
    </w:p>
    <w:p w:rsidR="0069132A" w:rsidRPr="0047299E" w:rsidRDefault="0069132A" w:rsidP="008C1845">
      <w:pPr>
        <w:pStyle w:val="Heading1"/>
        <w:numPr>
          <w:ilvl w:val="0"/>
          <w:numId w:val="1"/>
        </w:numPr>
        <w:spacing w:before="0" w:after="160" w:line="276" w:lineRule="auto"/>
        <w:ind w:left="360" w:hanging="360"/>
        <w:rPr>
          <w:rFonts w:eastAsiaTheme="minorHAnsi" w:cstheme="majorHAnsi"/>
          <w:b/>
          <w:color w:val="1F4E79" w:themeColor="accent1" w:themeShade="80"/>
          <w:sz w:val="28"/>
          <w:szCs w:val="28"/>
          <w:shd w:val="clear" w:color="auto" w:fill="FFFFFF"/>
          <w:lang w:val="ro-MD"/>
        </w:rPr>
      </w:pPr>
      <w:bookmarkStart w:id="15" w:name="_Toc48732717"/>
      <w:bookmarkStart w:id="16" w:name="_Toc76371129"/>
      <w:bookmarkStart w:id="17" w:name="_Toc111467862"/>
      <w:r w:rsidRPr="0047299E">
        <w:rPr>
          <w:rFonts w:eastAsiaTheme="minorHAnsi" w:cstheme="majorHAnsi"/>
          <w:b/>
          <w:color w:val="1F4E79" w:themeColor="accent1" w:themeShade="80"/>
          <w:sz w:val="28"/>
          <w:szCs w:val="28"/>
          <w:shd w:val="clear" w:color="auto" w:fill="FFFFFF"/>
          <w:lang w:val="ro-MD"/>
        </w:rPr>
        <w:lastRenderedPageBreak/>
        <w:t>SFERA ȘI ABORDAREA AUDITULUI</w:t>
      </w:r>
      <w:bookmarkEnd w:id="15"/>
      <w:bookmarkEnd w:id="16"/>
      <w:bookmarkEnd w:id="17"/>
    </w:p>
    <w:p w:rsidR="0069132A" w:rsidRPr="00CB5F81" w:rsidRDefault="00F20042" w:rsidP="00EE3D3B">
      <w:pPr>
        <w:pStyle w:val="Heading3"/>
        <w:rPr>
          <w:b/>
          <w:color w:val="2E74B5" w:themeColor="accent1" w:themeShade="BF"/>
          <w:shd w:val="clear" w:color="auto" w:fill="FFFFFF"/>
        </w:rPr>
      </w:pPr>
      <w:bookmarkStart w:id="18" w:name="_Toc111467863"/>
      <w:r w:rsidRPr="00CB5F81">
        <w:rPr>
          <w:b/>
          <w:color w:val="2E74B5" w:themeColor="accent1" w:themeShade="BF"/>
          <w:shd w:val="clear" w:color="auto" w:fill="FFFFFF"/>
        </w:rPr>
        <w:t xml:space="preserve">3.1. </w:t>
      </w:r>
      <w:r w:rsidR="0069132A" w:rsidRPr="00CB5F81">
        <w:rPr>
          <w:b/>
          <w:color w:val="2E74B5" w:themeColor="accent1" w:themeShade="BF"/>
          <w:shd w:val="clear" w:color="auto" w:fill="FFFFFF"/>
        </w:rPr>
        <w:t>Mandatul legal și scopul auditului</w:t>
      </w:r>
      <w:bookmarkEnd w:id="18"/>
      <w:r w:rsidR="0069132A" w:rsidRPr="00CB5F81">
        <w:rPr>
          <w:b/>
          <w:color w:val="2E74B5" w:themeColor="accent1" w:themeShade="BF"/>
          <w:shd w:val="clear" w:color="auto" w:fill="FFFFFF"/>
        </w:rPr>
        <w:t xml:space="preserve"> </w:t>
      </w:r>
    </w:p>
    <w:p w:rsidR="0069132A" w:rsidRPr="00CB5F81" w:rsidRDefault="0069132A" w:rsidP="0069132A">
      <w:pPr>
        <w:spacing w:line="240" w:lineRule="auto"/>
        <w:jc w:val="both"/>
        <w:rPr>
          <w:rFonts w:asciiTheme="majorHAnsi" w:hAnsiTheme="majorHAnsi" w:cstheme="majorHAnsi"/>
          <w:color w:val="000000"/>
          <w:sz w:val="24"/>
          <w:szCs w:val="24"/>
          <w:shd w:val="clear" w:color="auto" w:fill="FFFFFF"/>
        </w:rPr>
      </w:pPr>
      <w:r w:rsidRPr="00CB5F81">
        <w:rPr>
          <w:rFonts w:asciiTheme="majorHAnsi" w:hAnsiTheme="majorHAnsi" w:cstheme="majorHAnsi"/>
          <w:sz w:val="24"/>
          <w:szCs w:val="24"/>
          <w:shd w:val="clear" w:color="auto" w:fill="FFFFFF"/>
        </w:rPr>
        <w:t>Misiunea de audit</w:t>
      </w:r>
      <w:r w:rsidR="00362D33" w:rsidRPr="00CB5F81">
        <w:rPr>
          <w:rFonts w:asciiTheme="majorHAnsi" w:hAnsiTheme="majorHAnsi" w:cstheme="majorHAnsi"/>
          <w:sz w:val="24"/>
          <w:szCs w:val="24"/>
          <w:shd w:val="clear" w:color="auto" w:fill="FFFFFF"/>
        </w:rPr>
        <w:t xml:space="preserve"> public extern</w:t>
      </w:r>
      <w:r w:rsidRPr="00CB5F81">
        <w:rPr>
          <w:rFonts w:asciiTheme="majorHAnsi" w:hAnsiTheme="majorHAnsi" w:cstheme="majorHAnsi"/>
          <w:sz w:val="24"/>
          <w:szCs w:val="24"/>
          <w:shd w:val="clear" w:color="auto" w:fill="FFFFFF"/>
        </w:rPr>
        <w:t xml:space="preserve"> s-a desfășurat în temeiul art.5, art.31 și art.32 din Legea privind organizarea și funcționarea Curții de Conturi a Republicii Moldova nr.260 din 07.12.2017, conform Programului activității de audit pe anul 2022,</w:t>
      </w:r>
      <w:r w:rsidRPr="00CB5F81">
        <w:rPr>
          <w:rFonts w:asciiTheme="majorHAnsi" w:hAnsiTheme="majorHAnsi" w:cstheme="majorHAnsi"/>
          <w:color w:val="000000"/>
          <w:sz w:val="24"/>
          <w:szCs w:val="24"/>
          <w:shd w:val="clear" w:color="auto" w:fill="FFFFFF"/>
        </w:rPr>
        <w:t xml:space="preserve"> având drept scop </w:t>
      </w:r>
      <w:r w:rsidR="00CA0484">
        <w:rPr>
          <w:rFonts w:asciiTheme="majorHAnsi" w:hAnsiTheme="majorHAnsi" w:cstheme="majorHAnsi"/>
          <w:color w:val="000000"/>
          <w:sz w:val="24"/>
          <w:szCs w:val="24"/>
          <w:shd w:val="clear" w:color="auto" w:fill="FFFFFF"/>
        </w:rPr>
        <w:t xml:space="preserve">evaluarea conformității sistemului de facilități fiscale acordate în </w:t>
      </w:r>
      <w:r w:rsidR="00C436AF">
        <w:rPr>
          <w:rFonts w:asciiTheme="majorHAnsi" w:hAnsiTheme="majorHAnsi" w:cstheme="majorHAnsi"/>
          <w:color w:val="000000"/>
          <w:sz w:val="24"/>
          <w:szCs w:val="24"/>
          <w:shd w:val="clear" w:color="auto" w:fill="FFFFFF"/>
        </w:rPr>
        <w:t>anul</w:t>
      </w:r>
      <w:r w:rsidR="00CA0484">
        <w:rPr>
          <w:rFonts w:asciiTheme="majorHAnsi" w:hAnsiTheme="majorHAnsi" w:cstheme="majorHAnsi"/>
          <w:color w:val="000000"/>
          <w:sz w:val="24"/>
          <w:szCs w:val="24"/>
          <w:shd w:val="clear" w:color="auto" w:fill="FFFFFF"/>
        </w:rPr>
        <w:t xml:space="preserve"> 2020, un</w:t>
      </w:r>
      <w:r w:rsidR="003D691C">
        <w:rPr>
          <w:rFonts w:asciiTheme="majorHAnsi" w:hAnsiTheme="majorHAnsi" w:cstheme="majorHAnsi"/>
          <w:color w:val="000000"/>
          <w:sz w:val="24"/>
          <w:szCs w:val="24"/>
          <w:shd w:val="clear" w:color="auto" w:fill="FFFFFF"/>
        </w:rPr>
        <w:t>or</w:t>
      </w:r>
      <w:r w:rsidR="00CA0484">
        <w:rPr>
          <w:rFonts w:asciiTheme="majorHAnsi" w:hAnsiTheme="majorHAnsi" w:cstheme="majorHAnsi"/>
          <w:color w:val="000000"/>
          <w:sz w:val="24"/>
          <w:szCs w:val="24"/>
          <w:shd w:val="clear" w:color="auto" w:fill="FFFFFF"/>
        </w:rPr>
        <w:t xml:space="preserve"> aspecte </w:t>
      </w:r>
      <w:r w:rsidR="00C436AF">
        <w:rPr>
          <w:rFonts w:asciiTheme="majorHAnsi" w:hAnsiTheme="majorHAnsi" w:cstheme="majorHAnsi"/>
          <w:color w:val="000000"/>
          <w:sz w:val="24"/>
          <w:szCs w:val="24"/>
          <w:shd w:val="clear" w:color="auto" w:fill="FFFFFF"/>
        </w:rPr>
        <w:t>aferente anului 2021, în special</w:t>
      </w:r>
      <w:r w:rsidR="003D691C">
        <w:rPr>
          <w:rFonts w:asciiTheme="majorHAnsi" w:hAnsiTheme="majorHAnsi" w:cstheme="majorHAnsi"/>
          <w:color w:val="000000"/>
          <w:sz w:val="24"/>
          <w:szCs w:val="24"/>
          <w:shd w:val="clear" w:color="auto" w:fill="FFFFFF"/>
        </w:rPr>
        <w:t>,</w:t>
      </w:r>
      <w:r w:rsidR="00C436AF">
        <w:rPr>
          <w:rFonts w:asciiTheme="majorHAnsi" w:hAnsiTheme="majorHAnsi" w:cstheme="majorHAnsi"/>
          <w:color w:val="000000"/>
          <w:sz w:val="24"/>
          <w:szCs w:val="24"/>
          <w:shd w:val="clear" w:color="auto" w:fill="FFFFFF"/>
        </w:rPr>
        <w:t xml:space="preserve"> </w:t>
      </w:r>
      <w:r w:rsidR="003D691C">
        <w:rPr>
          <w:rFonts w:asciiTheme="majorHAnsi" w:hAnsiTheme="majorHAnsi" w:cstheme="majorHAnsi"/>
          <w:color w:val="000000"/>
          <w:sz w:val="24"/>
          <w:szCs w:val="24"/>
          <w:shd w:val="clear" w:color="auto" w:fill="FFFFFF"/>
        </w:rPr>
        <w:t xml:space="preserve">a faptului </w:t>
      </w:r>
      <w:r w:rsidR="00C436AF">
        <w:rPr>
          <w:rFonts w:asciiTheme="majorHAnsi" w:hAnsiTheme="majorHAnsi" w:cstheme="majorHAnsi"/>
          <w:color w:val="000000"/>
          <w:sz w:val="24"/>
          <w:szCs w:val="24"/>
          <w:shd w:val="clear" w:color="auto" w:fill="FFFFFF"/>
        </w:rPr>
        <w:t>dacă acesta este organizat cu respectarea principiilor bunei guvernări</w:t>
      </w:r>
      <w:r w:rsidRPr="00CB5F81">
        <w:rPr>
          <w:rFonts w:asciiTheme="majorHAnsi" w:hAnsiTheme="majorHAnsi" w:cstheme="majorHAnsi"/>
          <w:color w:val="000000"/>
          <w:sz w:val="24"/>
          <w:szCs w:val="24"/>
          <w:shd w:val="clear" w:color="auto" w:fill="FFFFFF"/>
        </w:rPr>
        <w:t>.</w:t>
      </w:r>
    </w:p>
    <w:p w:rsidR="0069132A" w:rsidRPr="00CB5F81" w:rsidRDefault="0069132A" w:rsidP="0069132A">
      <w:pPr>
        <w:spacing w:line="240" w:lineRule="auto"/>
        <w:jc w:val="both"/>
        <w:rPr>
          <w:rFonts w:asciiTheme="majorHAnsi" w:hAnsiTheme="majorHAnsi" w:cstheme="majorHAnsi"/>
          <w:color w:val="000000"/>
          <w:sz w:val="24"/>
          <w:szCs w:val="24"/>
          <w:shd w:val="clear" w:color="auto" w:fill="FFFFFF"/>
        </w:rPr>
      </w:pPr>
      <w:r w:rsidRPr="00CB5F81">
        <w:rPr>
          <w:rFonts w:asciiTheme="majorHAnsi" w:hAnsiTheme="majorHAnsi" w:cstheme="majorHAnsi"/>
          <w:color w:val="000000"/>
          <w:sz w:val="24"/>
          <w:szCs w:val="24"/>
          <w:shd w:val="clear" w:color="auto" w:fill="FFFFFF"/>
        </w:rPr>
        <w:t>În acest sens, au fost determinate următoarele obiective specifice:</w:t>
      </w:r>
    </w:p>
    <w:p w:rsidR="00C2238D" w:rsidRPr="00CB5F81" w:rsidRDefault="001B73A0" w:rsidP="00985D59">
      <w:pPr>
        <w:pStyle w:val="ListParagraph"/>
        <w:numPr>
          <w:ilvl w:val="0"/>
          <w:numId w:val="2"/>
        </w:numPr>
        <w:spacing w:after="120"/>
        <w:contextualSpacing w:val="0"/>
        <w:jc w:val="both"/>
        <w:rPr>
          <w:rFonts w:asciiTheme="majorHAnsi" w:eastAsia="Times New Roman" w:hAnsiTheme="majorHAnsi" w:cstheme="majorHAnsi"/>
          <w:i/>
          <w:sz w:val="24"/>
          <w:szCs w:val="24"/>
          <w:lang w:val="ro-MD"/>
        </w:rPr>
      </w:pPr>
      <w:r w:rsidRPr="00CB5F81">
        <w:rPr>
          <w:rFonts w:asciiTheme="majorHAnsi" w:eastAsia="Times New Roman" w:hAnsiTheme="majorHAnsi" w:cstheme="majorHAnsi"/>
          <w:i/>
          <w:sz w:val="24"/>
          <w:szCs w:val="24"/>
          <w:lang w:val="ro-MD"/>
        </w:rPr>
        <w:t xml:space="preserve">Au fost </w:t>
      </w:r>
      <w:r w:rsidR="00632898" w:rsidRPr="00CB5F81">
        <w:rPr>
          <w:rFonts w:asciiTheme="majorHAnsi" w:eastAsia="Times New Roman" w:hAnsiTheme="majorHAnsi" w:cstheme="majorHAnsi"/>
          <w:i/>
          <w:sz w:val="24"/>
          <w:szCs w:val="24"/>
          <w:lang w:val="ro-MD"/>
        </w:rPr>
        <w:t>implementat</w:t>
      </w:r>
      <w:r w:rsidR="003047E6" w:rsidRPr="00CB5F81">
        <w:rPr>
          <w:rFonts w:asciiTheme="majorHAnsi" w:eastAsia="Times New Roman" w:hAnsiTheme="majorHAnsi" w:cstheme="majorHAnsi"/>
          <w:i/>
          <w:sz w:val="24"/>
          <w:szCs w:val="24"/>
          <w:lang w:val="ro-MD"/>
        </w:rPr>
        <w:t>e</w:t>
      </w:r>
      <w:r w:rsidR="00632898" w:rsidRPr="00CB5F81">
        <w:rPr>
          <w:rFonts w:asciiTheme="majorHAnsi" w:eastAsia="Times New Roman" w:hAnsiTheme="majorHAnsi" w:cstheme="majorHAnsi"/>
          <w:i/>
          <w:sz w:val="24"/>
          <w:szCs w:val="24"/>
          <w:lang w:val="ro-MD"/>
        </w:rPr>
        <w:t xml:space="preserve"> </w:t>
      </w:r>
      <w:r w:rsidR="006F6AB5" w:rsidRPr="00CB5F81">
        <w:rPr>
          <w:rFonts w:asciiTheme="majorHAnsi" w:eastAsia="Times New Roman" w:hAnsiTheme="majorHAnsi" w:cstheme="majorHAnsi"/>
          <w:i/>
          <w:sz w:val="24"/>
          <w:szCs w:val="24"/>
          <w:lang w:val="ro-MD"/>
        </w:rPr>
        <w:t>politici</w:t>
      </w:r>
      <w:r w:rsidR="00DB79E0" w:rsidRPr="00CB5F81">
        <w:rPr>
          <w:rFonts w:asciiTheme="majorHAnsi" w:eastAsia="Times New Roman" w:hAnsiTheme="majorHAnsi" w:cstheme="majorHAnsi"/>
          <w:i/>
          <w:sz w:val="24"/>
          <w:szCs w:val="24"/>
          <w:lang w:val="ro-MD"/>
        </w:rPr>
        <w:t xml:space="preserve"> și</w:t>
      </w:r>
      <w:r w:rsidR="00861D02" w:rsidRPr="00CB5F81">
        <w:rPr>
          <w:rFonts w:asciiTheme="majorHAnsi" w:eastAsia="Times New Roman" w:hAnsiTheme="majorHAnsi" w:cstheme="majorHAnsi"/>
          <w:i/>
          <w:sz w:val="24"/>
          <w:szCs w:val="24"/>
          <w:lang w:val="ro-MD"/>
        </w:rPr>
        <w:t xml:space="preserve"> </w:t>
      </w:r>
      <w:r w:rsidR="00F61BD9" w:rsidRPr="00CB5F81">
        <w:rPr>
          <w:rFonts w:asciiTheme="majorHAnsi" w:eastAsia="Times New Roman" w:hAnsiTheme="majorHAnsi" w:cstheme="majorHAnsi"/>
          <w:i/>
          <w:sz w:val="24"/>
          <w:szCs w:val="24"/>
          <w:lang w:val="ro-MD"/>
        </w:rPr>
        <w:t>instrumente</w:t>
      </w:r>
      <w:r w:rsidR="00D13BA1" w:rsidRPr="00CB5F81">
        <w:rPr>
          <w:rFonts w:asciiTheme="majorHAnsi" w:eastAsia="Times New Roman" w:hAnsiTheme="majorHAnsi" w:cstheme="majorHAnsi"/>
          <w:i/>
          <w:sz w:val="24"/>
          <w:szCs w:val="24"/>
          <w:lang w:val="ro-MD"/>
        </w:rPr>
        <w:t xml:space="preserve"> </w:t>
      </w:r>
      <w:r w:rsidR="00417195" w:rsidRPr="00CB5F81">
        <w:rPr>
          <w:rFonts w:asciiTheme="majorHAnsi" w:eastAsia="Times New Roman" w:hAnsiTheme="majorHAnsi" w:cstheme="majorHAnsi"/>
          <w:i/>
          <w:sz w:val="24"/>
          <w:szCs w:val="24"/>
          <w:lang w:val="ro-MD"/>
        </w:rPr>
        <w:t>care să asigure</w:t>
      </w:r>
      <w:r w:rsidR="00C436AF">
        <w:rPr>
          <w:rFonts w:asciiTheme="majorHAnsi" w:eastAsia="Times New Roman" w:hAnsiTheme="majorHAnsi" w:cstheme="majorHAnsi"/>
          <w:i/>
          <w:sz w:val="24"/>
          <w:szCs w:val="24"/>
          <w:lang w:val="ro-MD"/>
        </w:rPr>
        <w:t xml:space="preserve">  conformitatea și corectitudinea  </w:t>
      </w:r>
      <w:r w:rsidR="00C436AF" w:rsidRPr="00CB5F81">
        <w:rPr>
          <w:rFonts w:asciiTheme="majorHAnsi" w:eastAsia="Times New Roman" w:hAnsiTheme="majorHAnsi" w:cstheme="majorHAnsi"/>
          <w:i/>
          <w:sz w:val="24"/>
          <w:szCs w:val="24"/>
          <w:lang w:val="ro-MD"/>
        </w:rPr>
        <w:t>e</w:t>
      </w:r>
      <w:r w:rsidR="00C436AF">
        <w:rPr>
          <w:rFonts w:asciiTheme="majorHAnsi" w:eastAsia="Times New Roman" w:hAnsiTheme="majorHAnsi" w:cstheme="majorHAnsi"/>
          <w:i/>
          <w:sz w:val="24"/>
          <w:szCs w:val="24"/>
          <w:lang w:val="ro-MD"/>
        </w:rPr>
        <w:t xml:space="preserve">stimării </w:t>
      </w:r>
      <w:r w:rsidR="00632898" w:rsidRPr="00CB5F81">
        <w:rPr>
          <w:rFonts w:asciiTheme="majorHAnsi" w:eastAsia="Times New Roman" w:hAnsiTheme="majorHAnsi" w:cstheme="majorHAnsi"/>
          <w:i/>
          <w:sz w:val="24"/>
          <w:szCs w:val="24"/>
          <w:lang w:val="ro-MD"/>
        </w:rPr>
        <w:t xml:space="preserve"> costurilor bugetare</w:t>
      </w:r>
      <w:r w:rsidR="007E270F" w:rsidRPr="00CB5F81">
        <w:rPr>
          <w:rFonts w:asciiTheme="majorHAnsi" w:eastAsia="Times New Roman" w:hAnsiTheme="majorHAnsi" w:cstheme="majorHAnsi"/>
          <w:i/>
          <w:sz w:val="24"/>
          <w:szCs w:val="24"/>
          <w:lang w:val="ro-MD"/>
        </w:rPr>
        <w:t xml:space="preserve"> ale facilităților fiscale</w:t>
      </w:r>
      <w:r w:rsidR="00C2238D" w:rsidRPr="00CB5F81">
        <w:rPr>
          <w:rFonts w:asciiTheme="majorHAnsi" w:eastAsia="Times New Roman" w:hAnsiTheme="majorHAnsi" w:cstheme="majorHAnsi"/>
          <w:i/>
          <w:sz w:val="24"/>
          <w:szCs w:val="24"/>
          <w:lang w:val="ro-MD"/>
        </w:rPr>
        <w:t>?</w:t>
      </w:r>
    </w:p>
    <w:p w:rsidR="007B721C" w:rsidRPr="00985D59" w:rsidRDefault="001B73A0" w:rsidP="00985D59">
      <w:pPr>
        <w:pStyle w:val="ListParagraph"/>
        <w:numPr>
          <w:ilvl w:val="0"/>
          <w:numId w:val="2"/>
        </w:numPr>
        <w:spacing w:after="120"/>
        <w:contextualSpacing w:val="0"/>
        <w:jc w:val="both"/>
        <w:rPr>
          <w:rFonts w:asciiTheme="majorHAnsi" w:eastAsia="Times New Roman" w:hAnsiTheme="majorHAnsi" w:cstheme="majorHAnsi"/>
          <w:i/>
          <w:sz w:val="24"/>
          <w:szCs w:val="24"/>
          <w:lang w:val="ro-MD"/>
        </w:rPr>
      </w:pPr>
      <w:r w:rsidRPr="00CB5F81">
        <w:rPr>
          <w:rFonts w:asciiTheme="majorHAnsi" w:eastAsia="Times New Roman" w:hAnsiTheme="majorHAnsi" w:cstheme="majorHAnsi"/>
          <w:i/>
          <w:sz w:val="24"/>
          <w:szCs w:val="24"/>
          <w:lang w:val="ro-MD"/>
        </w:rPr>
        <w:t>Autoritățile statu</w:t>
      </w:r>
      <w:r w:rsidR="00090BF0" w:rsidRPr="00CB5F81">
        <w:rPr>
          <w:rFonts w:asciiTheme="majorHAnsi" w:eastAsia="Times New Roman" w:hAnsiTheme="majorHAnsi" w:cstheme="majorHAnsi"/>
          <w:i/>
          <w:sz w:val="24"/>
          <w:szCs w:val="24"/>
          <w:lang w:val="ro-MD"/>
        </w:rPr>
        <w:t>lui au reexaminat sistemul existent de</w:t>
      </w:r>
      <w:r w:rsidR="00EC1EAF">
        <w:rPr>
          <w:rFonts w:asciiTheme="majorHAnsi" w:eastAsia="Times New Roman" w:hAnsiTheme="majorHAnsi" w:cstheme="majorHAnsi"/>
          <w:i/>
          <w:sz w:val="24"/>
          <w:szCs w:val="24"/>
          <w:lang w:val="ro-MD"/>
        </w:rPr>
        <w:t xml:space="preserve"> </w:t>
      </w:r>
      <w:r w:rsidR="004B4478" w:rsidRPr="00CB5F81">
        <w:rPr>
          <w:rFonts w:asciiTheme="majorHAnsi" w:eastAsia="Times New Roman" w:hAnsiTheme="majorHAnsi" w:cstheme="majorHAnsi"/>
          <w:i/>
          <w:sz w:val="24"/>
          <w:szCs w:val="24"/>
          <w:lang w:val="ro-MD"/>
        </w:rPr>
        <w:t>facilități</w:t>
      </w:r>
      <w:r w:rsidR="00C436AF">
        <w:rPr>
          <w:rFonts w:asciiTheme="majorHAnsi" w:eastAsia="Times New Roman" w:hAnsiTheme="majorHAnsi" w:cstheme="majorHAnsi"/>
          <w:i/>
          <w:sz w:val="24"/>
          <w:szCs w:val="24"/>
          <w:lang w:val="ro-MD"/>
        </w:rPr>
        <w:t xml:space="preserve"> fiscale</w:t>
      </w:r>
      <w:r w:rsidR="004B4478" w:rsidRPr="00CB5F81">
        <w:rPr>
          <w:rFonts w:asciiTheme="majorHAnsi" w:eastAsia="Times New Roman" w:hAnsiTheme="majorHAnsi" w:cstheme="majorHAnsi"/>
          <w:i/>
          <w:sz w:val="24"/>
          <w:szCs w:val="24"/>
          <w:lang w:val="ro-MD"/>
        </w:rPr>
        <w:t>,</w:t>
      </w:r>
      <w:r w:rsidR="00C436AF">
        <w:rPr>
          <w:rFonts w:asciiTheme="majorHAnsi" w:eastAsia="Times New Roman" w:hAnsiTheme="majorHAnsi" w:cstheme="majorHAnsi"/>
          <w:i/>
          <w:sz w:val="24"/>
          <w:szCs w:val="24"/>
          <w:lang w:val="ro-MD"/>
        </w:rPr>
        <w:t xml:space="preserve"> </w:t>
      </w:r>
      <w:r w:rsidR="006B020E" w:rsidRPr="00CB5F81">
        <w:rPr>
          <w:rFonts w:asciiTheme="majorHAnsi" w:eastAsia="Times New Roman" w:hAnsiTheme="majorHAnsi" w:cstheme="majorHAnsi"/>
          <w:i/>
          <w:sz w:val="24"/>
          <w:szCs w:val="24"/>
          <w:lang w:val="ro-MD"/>
        </w:rPr>
        <w:t>fiind</w:t>
      </w:r>
      <w:r w:rsidR="00EC1EAF">
        <w:rPr>
          <w:rFonts w:asciiTheme="majorHAnsi" w:eastAsia="Times New Roman" w:hAnsiTheme="majorHAnsi" w:cstheme="majorHAnsi"/>
          <w:i/>
          <w:sz w:val="24"/>
          <w:szCs w:val="24"/>
          <w:lang w:val="ro-MD"/>
        </w:rPr>
        <w:t xml:space="preserve"> </w:t>
      </w:r>
      <w:r w:rsidR="006B020E" w:rsidRPr="00CB5F81">
        <w:rPr>
          <w:rFonts w:asciiTheme="majorHAnsi" w:eastAsia="Times New Roman" w:hAnsiTheme="majorHAnsi" w:cstheme="majorHAnsi"/>
          <w:i/>
          <w:sz w:val="24"/>
          <w:szCs w:val="24"/>
          <w:lang w:val="ro-MD"/>
        </w:rPr>
        <w:t>aplicate</w:t>
      </w:r>
      <w:r w:rsidR="00EC1EAF">
        <w:rPr>
          <w:rFonts w:asciiTheme="majorHAnsi" w:eastAsia="Times New Roman" w:hAnsiTheme="majorHAnsi" w:cstheme="majorHAnsi"/>
          <w:i/>
          <w:sz w:val="24"/>
          <w:szCs w:val="24"/>
          <w:lang w:val="ro-MD"/>
        </w:rPr>
        <w:t xml:space="preserve"> </w:t>
      </w:r>
      <w:r w:rsidR="00C436AF">
        <w:rPr>
          <w:rFonts w:asciiTheme="majorHAnsi" w:eastAsia="Times New Roman" w:hAnsiTheme="majorHAnsi" w:cstheme="majorHAnsi"/>
          <w:i/>
          <w:sz w:val="24"/>
          <w:szCs w:val="24"/>
          <w:lang w:val="ro-MD"/>
        </w:rPr>
        <w:t xml:space="preserve">conform </w:t>
      </w:r>
      <w:r w:rsidR="00C436AF" w:rsidRPr="00526D44">
        <w:rPr>
          <w:rFonts w:asciiTheme="majorHAnsi" w:eastAsia="Times New Roman" w:hAnsiTheme="majorHAnsi" w:cstheme="majorHAnsi"/>
          <w:i/>
          <w:sz w:val="24"/>
          <w:szCs w:val="24"/>
          <w:lang w:val="ro-MD"/>
        </w:rPr>
        <w:t>principiil</w:t>
      </w:r>
      <w:r w:rsidR="003D691C" w:rsidRPr="00526D44">
        <w:rPr>
          <w:rFonts w:asciiTheme="majorHAnsi" w:eastAsia="Times New Roman" w:hAnsiTheme="majorHAnsi" w:cstheme="majorHAnsi"/>
          <w:i/>
          <w:sz w:val="24"/>
          <w:szCs w:val="24"/>
          <w:lang w:val="ro-MD"/>
        </w:rPr>
        <w:t>e</w:t>
      </w:r>
      <w:r w:rsidR="00EC1EAF" w:rsidRPr="00526D44">
        <w:rPr>
          <w:rFonts w:asciiTheme="majorHAnsi" w:eastAsia="Times New Roman" w:hAnsiTheme="majorHAnsi" w:cstheme="majorHAnsi"/>
          <w:i/>
          <w:sz w:val="24"/>
          <w:szCs w:val="24"/>
          <w:lang w:val="ro-MD"/>
        </w:rPr>
        <w:t xml:space="preserve"> </w:t>
      </w:r>
      <w:r w:rsidR="00C436AF" w:rsidRPr="00526D44">
        <w:rPr>
          <w:rFonts w:asciiTheme="majorHAnsi" w:eastAsia="Times New Roman" w:hAnsiTheme="majorHAnsi" w:cstheme="majorHAnsi"/>
          <w:i/>
          <w:sz w:val="24"/>
          <w:szCs w:val="24"/>
          <w:lang w:val="ro-MD"/>
        </w:rPr>
        <w:t xml:space="preserve"> b</w:t>
      </w:r>
      <w:r w:rsidR="00C436AF">
        <w:rPr>
          <w:rFonts w:asciiTheme="majorHAnsi" w:eastAsia="Times New Roman" w:hAnsiTheme="majorHAnsi" w:cstheme="majorHAnsi"/>
          <w:i/>
          <w:sz w:val="24"/>
          <w:szCs w:val="24"/>
          <w:lang w:val="ro-MD"/>
        </w:rPr>
        <w:t xml:space="preserve">unei  guvernări </w:t>
      </w:r>
      <w:r w:rsidR="004B4478" w:rsidRPr="00CB5F81">
        <w:rPr>
          <w:rFonts w:asciiTheme="majorHAnsi" w:eastAsia="Times New Roman" w:hAnsiTheme="majorHAnsi" w:cstheme="majorHAnsi"/>
          <w:i/>
          <w:sz w:val="24"/>
          <w:szCs w:val="24"/>
          <w:lang w:val="ro-MD"/>
        </w:rPr>
        <w:t xml:space="preserve">? </w:t>
      </w:r>
    </w:p>
    <w:p w:rsidR="00437312" w:rsidRPr="00CB5F81" w:rsidRDefault="00920F1F" w:rsidP="007B6C37">
      <w:pPr>
        <w:pStyle w:val="Heading3"/>
        <w:spacing w:after="120"/>
        <w:rPr>
          <w:rFonts w:cstheme="majorHAnsi"/>
          <w:b/>
          <w:color w:val="2E74B5" w:themeColor="accent1" w:themeShade="BF"/>
          <w:shd w:val="clear" w:color="auto" w:fill="FFFFFF"/>
        </w:rPr>
      </w:pPr>
      <w:bookmarkStart w:id="19" w:name="_Toc111467864"/>
      <w:r w:rsidRPr="00CB5F81">
        <w:rPr>
          <w:rFonts w:cstheme="majorHAnsi"/>
          <w:b/>
          <w:color w:val="2E74B5" w:themeColor="accent1" w:themeShade="BF"/>
          <w:shd w:val="clear" w:color="auto" w:fill="FFFFFF"/>
        </w:rPr>
        <w:t>3.2. Abordarea auditului</w:t>
      </w:r>
      <w:bookmarkEnd w:id="19"/>
    </w:p>
    <w:p w:rsidR="0001372E" w:rsidRDefault="00920F1F" w:rsidP="0001372E">
      <w:pPr>
        <w:spacing w:after="120" w:line="240" w:lineRule="auto"/>
        <w:jc w:val="both"/>
        <w:rPr>
          <w:rFonts w:asciiTheme="majorHAnsi" w:hAnsiTheme="majorHAnsi" w:cstheme="majorHAnsi"/>
          <w:color w:val="000000"/>
          <w:sz w:val="24"/>
          <w:szCs w:val="24"/>
          <w:shd w:val="clear" w:color="auto" w:fill="FFFFFF"/>
        </w:rPr>
      </w:pPr>
      <w:r w:rsidRPr="00CB5F81">
        <w:rPr>
          <w:rFonts w:asciiTheme="majorHAnsi" w:hAnsiTheme="majorHAnsi" w:cstheme="majorHAnsi"/>
          <w:color w:val="000000"/>
          <w:sz w:val="24"/>
          <w:szCs w:val="24"/>
          <w:shd w:val="clear" w:color="auto" w:fill="FFFFFF"/>
        </w:rPr>
        <w:t>Activitățile de audit au fost ghidate de Standardele Internaționale ale Instituțiilor Supreme de Audit ISSAI 100, ISSAI 400 și ISSAI 4000</w:t>
      </w:r>
      <w:r w:rsidRPr="00CB5F81">
        <w:rPr>
          <w:rStyle w:val="FootnoteReference"/>
          <w:rFonts w:asciiTheme="majorHAnsi" w:hAnsiTheme="majorHAnsi" w:cstheme="majorHAnsi"/>
          <w:color w:val="000000"/>
          <w:sz w:val="24"/>
          <w:szCs w:val="24"/>
          <w:shd w:val="clear" w:color="auto" w:fill="FFFFFF"/>
        </w:rPr>
        <w:footnoteReference w:id="7"/>
      </w:r>
      <w:r w:rsidRPr="00CB5F81">
        <w:rPr>
          <w:rFonts w:asciiTheme="majorHAnsi" w:hAnsiTheme="majorHAnsi" w:cstheme="majorHAnsi"/>
          <w:color w:val="000000"/>
          <w:sz w:val="24"/>
          <w:szCs w:val="24"/>
          <w:shd w:val="clear" w:color="auto" w:fill="FFFFFF"/>
        </w:rPr>
        <w:t xml:space="preserve">. </w:t>
      </w:r>
      <w:r w:rsidRPr="00CB5F81">
        <w:rPr>
          <w:rFonts w:asciiTheme="majorHAnsi" w:hAnsiTheme="majorHAnsi" w:cstheme="majorHAnsi"/>
          <w:sz w:val="24"/>
          <w:szCs w:val="24"/>
          <w:shd w:val="clear" w:color="auto" w:fill="FFFFFF"/>
        </w:rPr>
        <w:t xml:space="preserve">La fel, în cadrul auditului </w:t>
      </w:r>
      <w:r w:rsidR="008B478A">
        <w:rPr>
          <w:rFonts w:asciiTheme="majorHAnsi" w:hAnsiTheme="majorHAnsi" w:cstheme="majorHAnsi"/>
          <w:sz w:val="24"/>
          <w:szCs w:val="24"/>
          <w:shd w:val="clear" w:color="auto" w:fill="FFFFFF"/>
        </w:rPr>
        <w:t>s-</w:t>
      </w:r>
      <w:r w:rsidRPr="00CB5F81">
        <w:rPr>
          <w:rFonts w:asciiTheme="majorHAnsi" w:hAnsiTheme="majorHAnsi" w:cstheme="majorHAnsi"/>
          <w:sz w:val="24"/>
          <w:szCs w:val="24"/>
          <w:shd w:val="clear" w:color="auto" w:fill="FFFFFF"/>
        </w:rPr>
        <w:t>au utilizat</w:t>
      </w:r>
      <w:r w:rsidRPr="00CB5F81">
        <w:rPr>
          <w:rFonts w:asciiTheme="majorHAnsi" w:hAnsiTheme="majorHAnsi" w:cstheme="majorHAnsi"/>
          <w:color w:val="000000"/>
          <w:sz w:val="24"/>
          <w:szCs w:val="24"/>
          <w:shd w:val="clear" w:color="auto" w:fill="FFFFFF"/>
        </w:rPr>
        <w:t xml:space="preserve"> bunele practici </w:t>
      </w:r>
      <w:r w:rsidR="00EF2CC4" w:rsidRPr="00CB5F81">
        <w:rPr>
          <w:rFonts w:asciiTheme="majorHAnsi" w:hAnsiTheme="majorHAnsi" w:cstheme="majorHAnsi"/>
          <w:sz w:val="24"/>
          <w:szCs w:val="24"/>
          <w:shd w:val="clear" w:color="auto" w:fill="FFFFFF"/>
        </w:rPr>
        <w:t>aferente sistemului de facilități fiscale</w:t>
      </w:r>
      <w:r w:rsidRPr="00CB5F81">
        <w:rPr>
          <w:rFonts w:asciiTheme="majorHAnsi" w:hAnsiTheme="majorHAnsi" w:cstheme="majorHAnsi"/>
          <w:sz w:val="24"/>
          <w:szCs w:val="24"/>
          <w:shd w:val="clear" w:color="auto" w:fill="FFFFFF"/>
        </w:rPr>
        <w:t>.</w:t>
      </w:r>
      <w:r w:rsidRPr="00CB5F81">
        <w:rPr>
          <w:rFonts w:asciiTheme="majorHAnsi" w:hAnsiTheme="majorHAnsi" w:cstheme="majorHAnsi"/>
          <w:color w:val="000000"/>
          <w:sz w:val="24"/>
          <w:szCs w:val="24"/>
          <w:shd w:val="clear" w:color="auto" w:fill="FFFFFF"/>
        </w:rPr>
        <w:t xml:space="preserve"> </w:t>
      </w:r>
    </w:p>
    <w:p w:rsidR="0001372E" w:rsidRPr="000B0D94" w:rsidRDefault="0001372E" w:rsidP="0001372E">
      <w:pPr>
        <w:spacing w:after="120" w:line="240" w:lineRule="auto"/>
        <w:jc w:val="both"/>
        <w:rPr>
          <w:rFonts w:ascii="Calibri Light" w:eastAsia="Calibri" w:hAnsi="Calibri Light" w:cs="Calibri Light"/>
          <w:sz w:val="24"/>
        </w:rPr>
      </w:pPr>
      <w:r w:rsidRPr="0001372E">
        <w:rPr>
          <w:rFonts w:ascii="Calibri Light" w:eastAsia="Calibri" w:hAnsi="Calibri Light" w:cs="Times New Roman"/>
          <w:sz w:val="24"/>
          <w:szCs w:val="24"/>
        </w:rPr>
        <w:t xml:space="preserve">Abordarea auditului a fost orientată </w:t>
      </w:r>
      <w:r w:rsidR="008B478A">
        <w:rPr>
          <w:rFonts w:ascii="Calibri Light" w:eastAsia="Calibri" w:hAnsi="Calibri Light" w:cs="Times New Roman"/>
          <w:sz w:val="24"/>
          <w:szCs w:val="24"/>
        </w:rPr>
        <w:t>s</w:t>
      </w:r>
      <w:r w:rsidRPr="0001372E">
        <w:rPr>
          <w:rFonts w:ascii="Calibri Light" w:eastAsia="Calibri" w:hAnsi="Calibri Light" w:cs="Times New Roman"/>
          <w:sz w:val="24"/>
          <w:szCs w:val="24"/>
        </w:rPr>
        <w:t>p</w:t>
      </w:r>
      <w:r w:rsidR="008B478A">
        <w:rPr>
          <w:rFonts w:ascii="Calibri Light" w:eastAsia="Calibri" w:hAnsi="Calibri Light" w:cs="Times New Roman"/>
          <w:sz w:val="24"/>
          <w:szCs w:val="24"/>
        </w:rPr>
        <w:t>r</w:t>
      </w:r>
      <w:r w:rsidRPr="0001372E">
        <w:rPr>
          <w:rFonts w:ascii="Calibri Light" w:eastAsia="Calibri" w:hAnsi="Calibri Light" w:cs="Times New Roman"/>
          <w:sz w:val="24"/>
          <w:szCs w:val="24"/>
        </w:rPr>
        <w:t xml:space="preserve">e </w:t>
      </w:r>
      <w:r w:rsidRPr="0001372E">
        <w:rPr>
          <w:rFonts w:ascii="Calibri Light" w:eastAsia="Calibri" w:hAnsi="Calibri Light" w:cs="Calibri Light"/>
          <w:sz w:val="24"/>
        </w:rPr>
        <w:t xml:space="preserve">evaluarea sistemică a mai multor procese specifice, cu </w:t>
      </w:r>
      <w:r w:rsidRPr="000B0D94">
        <w:rPr>
          <w:rFonts w:ascii="Calibri Light" w:eastAsia="Calibri" w:hAnsi="Calibri Light" w:cs="Calibri Light"/>
          <w:sz w:val="24"/>
        </w:rPr>
        <w:t>implicarea mai multor autorități publice centrale</w:t>
      </w:r>
      <w:r w:rsidR="008B478A" w:rsidRPr="000B0D94">
        <w:rPr>
          <w:rFonts w:ascii="Calibri Light" w:eastAsia="Calibri" w:hAnsi="Calibri Light" w:cs="Calibri Light"/>
          <w:sz w:val="24"/>
        </w:rPr>
        <w:t xml:space="preserve"> </w:t>
      </w:r>
      <w:r w:rsidRPr="000B0D94">
        <w:rPr>
          <w:rFonts w:ascii="Calibri Light" w:eastAsia="Calibri" w:hAnsi="Calibri Light" w:cs="Calibri Light"/>
          <w:sz w:val="24"/>
        </w:rPr>
        <w:t>în procesul de  acordare a facilitărilor</w:t>
      </w:r>
      <w:r w:rsidR="008B478A" w:rsidRPr="000B0D94">
        <w:rPr>
          <w:rFonts w:ascii="Calibri Light" w:eastAsia="Calibri" w:hAnsi="Calibri Light" w:cs="Calibri Light"/>
          <w:sz w:val="24"/>
        </w:rPr>
        <w:t>,</w:t>
      </w:r>
      <w:r w:rsidRPr="000B0D94">
        <w:rPr>
          <w:rFonts w:ascii="Calibri Light" w:eastAsia="Calibri" w:hAnsi="Calibri Light" w:cs="Calibri Light"/>
          <w:sz w:val="24"/>
        </w:rPr>
        <w:t xml:space="preserve"> și anume</w:t>
      </w:r>
      <w:r w:rsidR="008B478A" w:rsidRPr="000B0D94">
        <w:rPr>
          <w:rFonts w:ascii="Calibri Light" w:eastAsia="Calibri" w:hAnsi="Calibri Light" w:cs="Calibri Light"/>
          <w:sz w:val="24"/>
        </w:rPr>
        <w:t>, a</w:t>
      </w:r>
      <w:r w:rsidRPr="000B0D94">
        <w:rPr>
          <w:rFonts w:ascii="Calibri Light" w:eastAsia="Calibri" w:hAnsi="Calibri Light" w:cs="Calibri Light"/>
          <w:sz w:val="24"/>
        </w:rPr>
        <w:t xml:space="preserve">: </w:t>
      </w:r>
    </w:p>
    <w:p w:rsidR="00AC0074" w:rsidRPr="000B0D94" w:rsidRDefault="008B478A" w:rsidP="009011CA">
      <w:pPr>
        <w:numPr>
          <w:ilvl w:val="0"/>
          <w:numId w:val="34"/>
        </w:numPr>
        <w:tabs>
          <w:tab w:val="left" w:pos="426"/>
        </w:tabs>
        <w:spacing w:after="0" w:line="276" w:lineRule="auto"/>
        <w:ind w:left="0" w:firstLine="284"/>
        <w:contextualSpacing/>
        <w:jc w:val="both"/>
        <w:rPr>
          <w:rFonts w:ascii="Calibri Light" w:eastAsia="Calibri" w:hAnsi="Calibri Light" w:cs="Calibri Light"/>
          <w:sz w:val="24"/>
        </w:rPr>
      </w:pPr>
      <w:r w:rsidRPr="000B0D94">
        <w:rPr>
          <w:rFonts w:ascii="Calibri Light" w:eastAsia="Calibri" w:hAnsi="Calibri Light" w:cs="Calibri Light"/>
          <w:sz w:val="24"/>
        </w:rPr>
        <w:t>c</w:t>
      </w:r>
      <w:r w:rsidR="0001372E" w:rsidRPr="000B0D94">
        <w:rPr>
          <w:rFonts w:ascii="Calibri Light" w:eastAsia="Calibri" w:hAnsi="Calibri Light" w:cs="Calibri Light"/>
          <w:sz w:val="24"/>
        </w:rPr>
        <w:t>orectitudin</w:t>
      </w:r>
      <w:r w:rsidRPr="000B0D94">
        <w:rPr>
          <w:rFonts w:ascii="Calibri Light" w:eastAsia="Calibri" w:hAnsi="Calibri Light" w:cs="Calibri Light"/>
          <w:sz w:val="24"/>
        </w:rPr>
        <w:t>ii</w:t>
      </w:r>
      <w:r w:rsidR="0001372E" w:rsidRPr="000B0D94">
        <w:rPr>
          <w:rFonts w:ascii="Calibri Light" w:eastAsia="Calibri" w:hAnsi="Calibri Light" w:cs="Calibri Light"/>
          <w:sz w:val="24"/>
        </w:rPr>
        <w:t xml:space="preserve"> procesului de estimare</w:t>
      </w:r>
      <w:r w:rsidR="00F2377E" w:rsidRPr="000B0D94">
        <w:rPr>
          <w:rFonts w:ascii="Calibri Light" w:eastAsia="Calibri" w:hAnsi="Calibri Light" w:cs="Calibri Light"/>
          <w:sz w:val="24"/>
        </w:rPr>
        <w:t xml:space="preserve">, evaluare </w:t>
      </w:r>
      <w:r w:rsidR="00AC0074" w:rsidRPr="000B0D94">
        <w:rPr>
          <w:rFonts w:ascii="Calibri Light" w:eastAsia="Calibri" w:hAnsi="Calibri Light" w:cs="Calibri Light"/>
          <w:sz w:val="24"/>
        </w:rPr>
        <w:t xml:space="preserve"> și raportare </w:t>
      </w:r>
      <w:r w:rsidR="0001372E" w:rsidRPr="000B0D94">
        <w:rPr>
          <w:rFonts w:ascii="Calibri Light" w:eastAsia="Calibri" w:hAnsi="Calibri Light" w:cs="Calibri Light"/>
          <w:sz w:val="24"/>
        </w:rPr>
        <w:t>a costurilor facilităților fiscale  de către SFS</w:t>
      </w:r>
      <w:r w:rsidR="00AC0074" w:rsidRPr="000B0D94">
        <w:rPr>
          <w:rFonts w:ascii="Calibri Light" w:eastAsia="Calibri" w:hAnsi="Calibri Light" w:cs="Calibri Light"/>
          <w:sz w:val="24"/>
        </w:rPr>
        <w:t xml:space="preserve">, </w:t>
      </w:r>
      <w:r w:rsidR="00AC0074" w:rsidRPr="000B0D94">
        <w:rPr>
          <w:rFonts w:asciiTheme="majorHAnsi" w:hAnsiTheme="majorHAnsi" w:cstheme="majorHAnsi"/>
          <w:color w:val="000000"/>
          <w:sz w:val="24"/>
          <w:szCs w:val="24"/>
          <w:shd w:val="clear" w:color="auto" w:fill="FFFFFF"/>
        </w:rPr>
        <w:t>analiz</w:t>
      </w:r>
      <w:r w:rsidRPr="000B0D94">
        <w:rPr>
          <w:rFonts w:asciiTheme="majorHAnsi" w:hAnsiTheme="majorHAnsi" w:cstheme="majorHAnsi"/>
          <w:color w:val="000000"/>
          <w:sz w:val="24"/>
          <w:szCs w:val="24"/>
          <w:shd w:val="clear" w:color="auto" w:fill="FFFFFF"/>
        </w:rPr>
        <w:t>ându-se</w:t>
      </w:r>
      <w:r w:rsidR="00AC0074" w:rsidRPr="000B0D94">
        <w:rPr>
          <w:rFonts w:asciiTheme="majorHAnsi" w:hAnsiTheme="majorHAnsi" w:cstheme="majorHAnsi"/>
          <w:color w:val="000000"/>
          <w:sz w:val="24"/>
          <w:szCs w:val="24"/>
          <w:shd w:val="clear" w:color="auto" w:fill="FFFFFF"/>
        </w:rPr>
        <w:t xml:space="preserve"> informația din Registrul unic al facilităților fiscale pe anul 2020,</w:t>
      </w:r>
      <w:r w:rsidR="00F2377E" w:rsidRPr="000B0D94">
        <w:rPr>
          <w:rFonts w:asciiTheme="majorHAnsi" w:hAnsiTheme="majorHAnsi" w:cstheme="majorHAnsi"/>
          <w:color w:val="000000"/>
          <w:sz w:val="24"/>
          <w:szCs w:val="24"/>
          <w:shd w:val="clear" w:color="auto" w:fill="FFFFFF"/>
        </w:rPr>
        <w:t xml:space="preserve"> date</w:t>
      </w:r>
      <w:r w:rsidRPr="000B0D94">
        <w:rPr>
          <w:rFonts w:asciiTheme="majorHAnsi" w:hAnsiTheme="majorHAnsi" w:cstheme="majorHAnsi"/>
          <w:color w:val="000000"/>
          <w:sz w:val="24"/>
          <w:szCs w:val="24"/>
          <w:shd w:val="clear" w:color="auto" w:fill="FFFFFF"/>
        </w:rPr>
        <w:t>le</w:t>
      </w:r>
      <w:r w:rsidR="00F2377E" w:rsidRPr="000B0D94">
        <w:rPr>
          <w:rFonts w:asciiTheme="majorHAnsi" w:hAnsiTheme="majorHAnsi" w:cstheme="majorHAnsi"/>
          <w:color w:val="000000"/>
          <w:sz w:val="24"/>
          <w:szCs w:val="24"/>
          <w:shd w:val="clear" w:color="auto" w:fill="FFFFFF"/>
        </w:rPr>
        <w:t xml:space="preserve"> </w:t>
      </w:r>
      <w:r w:rsidR="00AC0074" w:rsidRPr="000B0D94">
        <w:rPr>
          <w:rFonts w:asciiTheme="majorHAnsi" w:hAnsiTheme="majorHAnsi" w:cstheme="majorHAnsi"/>
          <w:color w:val="000000"/>
          <w:sz w:val="24"/>
          <w:szCs w:val="24"/>
          <w:shd w:val="clear" w:color="auto" w:fill="FFFFFF"/>
        </w:rPr>
        <w:t xml:space="preserve"> din sistemele informaționale automatizate gestionate de SFS;</w:t>
      </w:r>
    </w:p>
    <w:p w:rsidR="00F96627" w:rsidRPr="000B0D94" w:rsidRDefault="008B478A" w:rsidP="009011CA">
      <w:pPr>
        <w:numPr>
          <w:ilvl w:val="0"/>
          <w:numId w:val="34"/>
        </w:numPr>
        <w:tabs>
          <w:tab w:val="left" w:pos="426"/>
        </w:tabs>
        <w:spacing w:after="0" w:line="276" w:lineRule="auto"/>
        <w:ind w:left="0" w:firstLine="284"/>
        <w:contextualSpacing/>
        <w:jc w:val="both"/>
        <w:rPr>
          <w:rFonts w:ascii="Calibri Light" w:eastAsia="Calibri" w:hAnsi="Calibri Light" w:cs="Calibri Light"/>
          <w:sz w:val="24"/>
        </w:rPr>
      </w:pPr>
      <w:r w:rsidRPr="000B0D94">
        <w:rPr>
          <w:rFonts w:ascii="Calibri Light" w:eastAsia="Calibri" w:hAnsi="Calibri Light" w:cs="Calibri Light"/>
          <w:sz w:val="24"/>
        </w:rPr>
        <w:t>r</w:t>
      </w:r>
      <w:r w:rsidR="00F96627" w:rsidRPr="000B0D94">
        <w:rPr>
          <w:rFonts w:ascii="Calibri Light" w:eastAsia="Calibri" w:hAnsi="Calibri Light" w:cs="Calibri Light"/>
          <w:sz w:val="24"/>
        </w:rPr>
        <w:t>espect</w:t>
      </w:r>
      <w:r w:rsidRPr="000B0D94">
        <w:rPr>
          <w:rFonts w:ascii="Calibri Light" w:eastAsia="Calibri" w:hAnsi="Calibri Light" w:cs="Calibri Light"/>
          <w:sz w:val="24"/>
        </w:rPr>
        <w:t>ării</w:t>
      </w:r>
      <w:r w:rsidR="00F96627" w:rsidRPr="000B0D94">
        <w:rPr>
          <w:rFonts w:ascii="Calibri Light" w:eastAsia="Calibri" w:hAnsi="Calibri Light" w:cs="Calibri Light"/>
          <w:sz w:val="24"/>
        </w:rPr>
        <w:t xml:space="preserve"> prerogativelor conexe domeniului auditat pe dimensiunea evaluării eficacității facilitărilor fiscale existente, fiind solicitată de la MF </w:t>
      </w:r>
      <w:r w:rsidR="00BD3CD9" w:rsidRPr="000B0D94">
        <w:rPr>
          <w:rFonts w:ascii="Calibri Light" w:eastAsia="Calibri" w:hAnsi="Calibri Light" w:cs="Calibri Light"/>
          <w:sz w:val="24"/>
        </w:rPr>
        <w:t xml:space="preserve">informația </w:t>
      </w:r>
      <w:r w:rsidR="00F96627" w:rsidRPr="000B0D94">
        <w:rPr>
          <w:rFonts w:ascii="Calibri Light" w:eastAsia="Calibri" w:hAnsi="Calibri Light" w:cs="Calibri Light"/>
          <w:sz w:val="24"/>
        </w:rPr>
        <w:t>privind acțiunile întreprinse în acest sens;</w:t>
      </w:r>
    </w:p>
    <w:p w:rsidR="00AC0074" w:rsidRPr="000B0D94" w:rsidRDefault="008B478A" w:rsidP="00AC0074">
      <w:pPr>
        <w:numPr>
          <w:ilvl w:val="0"/>
          <w:numId w:val="34"/>
        </w:numPr>
        <w:tabs>
          <w:tab w:val="left" w:pos="426"/>
        </w:tabs>
        <w:spacing w:after="0" w:line="276" w:lineRule="auto"/>
        <w:ind w:left="0" w:firstLine="284"/>
        <w:contextualSpacing/>
        <w:jc w:val="both"/>
        <w:rPr>
          <w:rFonts w:ascii="Calibri Light" w:eastAsia="Calibri" w:hAnsi="Calibri Light" w:cs="Calibri Light"/>
          <w:sz w:val="24"/>
        </w:rPr>
      </w:pPr>
      <w:r w:rsidRPr="000B0D94">
        <w:rPr>
          <w:rFonts w:ascii="Calibri Light" w:eastAsia="Calibri" w:hAnsi="Calibri Light" w:cs="Calibri Light"/>
          <w:sz w:val="24"/>
        </w:rPr>
        <w:t>c</w:t>
      </w:r>
      <w:r w:rsidR="00AC0074" w:rsidRPr="000B0D94">
        <w:rPr>
          <w:rFonts w:ascii="Calibri Light" w:eastAsia="Calibri" w:hAnsi="Calibri Light" w:cs="Calibri Light"/>
          <w:sz w:val="24"/>
        </w:rPr>
        <w:t>onformit</w:t>
      </w:r>
      <w:r w:rsidRPr="000B0D94">
        <w:rPr>
          <w:rFonts w:ascii="Calibri Light" w:eastAsia="Calibri" w:hAnsi="Calibri Light" w:cs="Calibri Light"/>
          <w:sz w:val="24"/>
        </w:rPr>
        <w:t>ății</w:t>
      </w:r>
      <w:r w:rsidR="00AC0074" w:rsidRPr="000B0D94">
        <w:rPr>
          <w:rFonts w:ascii="Calibri Light" w:eastAsia="Calibri" w:hAnsi="Calibri Light" w:cs="Calibri Light"/>
          <w:sz w:val="24"/>
        </w:rPr>
        <w:t xml:space="preserve"> procesului de acordare a scutirii de plata </w:t>
      </w:r>
      <w:r w:rsidR="00AC0074" w:rsidRPr="000B0D94">
        <w:rPr>
          <w:rFonts w:asciiTheme="majorHAnsi" w:hAnsiTheme="majorHAnsi" w:cstheme="majorHAnsi"/>
          <w:color w:val="000000"/>
          <w:sz w:val="24"/>
          <w:szCs w:val="24"/>
          <w:shd w:val="clear" w:color="auto" w:fill="FFFFFF"/>
        </w:rPr>
        <w:t xml:space="preserve">accizului </w:t>
      </w:r>
      <w:r w:rsidR="00BD3CD9" w:rsidRPr="000B0D94">
        <w:rPr>
          <w:rFonts w:asciiTheme="majorHAnsi" w:hAnsiTheme="majorHAnsi" w:cstheme="majorHAnsi"/>
          <w:color w:val="000000"/>
          <w:sz w:val="24"/>
          <w:szCs w:val="24"/>
          <w:shd w:val="clear" w:color="auto" w:fill="FFFFFF"/>
        </w:rPr>
        <w:t>l</w:t>
      </w:r>
      <w:r w:rsidR="00AC0074" w:rsidRPr="000B0D94">
        <w:rPr>
          <w:rFonts w:asciiTheme="majorHAnsi" w:hAnsiTheme="majorHAnsi" w:cstheme="majorHAnsi"/>
          <w:color w:val="000000"/>
          <w:sz w:val="24"/>
          <w:szCs w:val="24"/>
          <w:shd w:val="clear" w:color="auto" w:fill="FFFFFF"/>
        </w:rPr>
        <w:t>a alcool</w:t>
      </w:r>
      <w:r w:rsidR="00BD3CD9" w:rsidRPr="000B0D94">
        <w:rPr>
          <w:rFonts w:asciiTheme="majorHAnsi" w:hAnsiTheme="majorHAnsi" w:cstheme="majorHAnsi"/>
          <w:color w:val="000000"/>
          <w:sz w:val="24"/>
          <w:szCs w:val="24"/>
          <w:shd w:val="clear" w:color="auto" w:fill="FFFFFF"/>
        </w:rPr>
        <w:t>ul</w:t>
      </w:r>
      <w:r w:rsidR="00AC0074" w:rsidRPr="000B0D94">
        <w:rPr>
          <w:rFonts w:asciiTheme="majorHAnsi" w:hAnsiTheme="majorHAnsi" w:cstheme="majorHAnsi"/>
          <w:color w:val="000000"/>
          <w:sz w:val="24"/>
          <w:szCs w:val="24"/>
          <w:shd w:val="clear" w:color="auto" w:fill="FFFFFF"/>
        </w:rPr>
        <w:t xml:space="preserve"> etilic nedenaturat</w:t>
      </w:r>
      <w:r w:rsidR="00BD3CD9" w:rsidRPr="000B0D94">
        <w:rPr>
          <w:rFonts w:asciiTheme="majorHAnsi" w:hAnsiTheme="majorHAnsi" w:cstheme="majorHAnsi"/>
          <w:color w:val="000000"/>
          <w:sz w:val="24"/>
          <w:szCs w:val="24"/>
          <w:shd w:val="clear" w:color="auto" w:fill="FFFFFF"/>
        </w:rPr>
        <w:t>,</w:t>
      </w:r>
      <w:r w:rsidR="00AC0074" w:rsidRPr="000B0D94">
        <w:rPr>
          <w:rFonts w:asciiTheme="majorHAnsi" w:hAnsiTheme="majorHAnsi" w:cstheme="majorHAnsi"/>
          <w:color w:val="000000"/>
          <w:sz w:val="24"/>
          <w:szCs w:val="24"/>
          <w:shd w:val="clear" w:color="auto" w:fill="FFFFFF"/>
        </w:rPr>
        <w:t xml:space="preserve"> destinat utilizării în industria de parfumerie şi cosmetică, prin solicitarea confirmări</w:t>
      </w:r>
      <w:r w:rsidR="00BD3CD9" w:rsidRPr="000B0D94">
        <w:rPr>
          <w:rFonts w:asciiTheme="majorHAnsi" w:hAnsiTheme="majorHAnsi" w:cstheme="majorHAnsi"/>
          <w:color w:val="000000"/>
          <w:sz w:val="24"/>
          <w:szCs w:val="24"/>
          <w:shd w:val="clear" w:color="auto" w:fill="FFFFFF"/>
        </w:rPr>
        <w:t>lor</w:t>
      </w:r>
      <w:r w:rsidR="00AC0074" w:rsidRPr="000B0D94">
        <w:rPr>
          <w:rFonts w:asciiTheme="majorHAnsi" w:hAnsiTheme="majorHAnsi" w:cstheme="majorHAnsi"/>
          <w:color w:val="000000"/>
          <w:sz w:val="24"/>
          <w:szCs w:val="24"/>
          <w:shd w:val="clear" w:color="auto" w:fill="FFFFFF"/>
        </w:rPr>
        <w:t xml:space="preserve"> externe de la MAIA, ANSP, precum și</w:t>
      </w:r>
      <w:r w:rsidR="00BD3CD9" w:rsidRPr="000B0D94">
        <w:rPr>
          <w:rFonts w:asciiTheme="majorHAnsi" w:hAnsiTheme="majorHAnsi" w:cstheme="majorHAnsi"/>
          <w:color w:val="000000"/>
          <w:sz w:val="24"/>
          <w:szCs w:val="24"/>
          <w:shd w:val="clear" w:color="auto" w:fill="FFFFFF"/>
        </w:rPr>
        <w:t xml:space="preserve"> a</w:t>
      </w:r>
      <w:r w:rsidR="00AC0074" w:rsidRPr="000B0D94">
        <w:rPr>
          <w:rFonts w:asciiTheme="majorHAnsi" w:hAnsiTheme="majorHAnsi" w:cstheme="majorHAnsi"/>
          <w:color w:val="000000"/>
          <w:sz w:val="24"/>
          <w:szCs w:val="24"/>
          <w:shd w:val="clear" w:color="auto" w:fill="FFFFFF"/>
        </w:rPr>
        <w:t xml:space="preserve"> documentelor de la beneficiarii facilității respective, </w:t>
      </w:r>
      <w:r w:rsidR="00BD3CD9" w:rsidRPr="000B0D94">
        <w:rPr>
          <w:rFonts w:asciiTheme="majorHAnsi" w:hAnsiTheme="majorHAnsi" w:cstheme="majorHAnsi"/>
          <w:color w:val="000000"/>
          <w:sz w:val="24"/>
          <w:szCs w:val="24"/>
          <w:shd w:val="clear" w:color="auto" w:fill="FFFFFF"/>
        </w:rPr>
        <w:t xml:space="preserve">a </w:t>
      </w:r>
      <w:r w:rsidR="00AC0074" w:rsidRPr="000B0D94">
        <w:rPr>
          <w:rFonts w:asciiTheme="majorHAnsi" w:hAnsiTheme="majorHAnsi" w:cstheme="majorHAnsi"/>
          <w:color w:val="000000"/>
          <w:sz w:val="24"/>
          <w:szCs w:val="24"/>
          <w:shd w:val="clear" w:color="auto" w:fill="FFFFFF"/>
        </w:rPr>
        <w:t>confirmări</w:t>
      </w:r>
      <w:r w:rsidR="00BD3CD9" w:rsidRPr="000B0D94">
        <w:rPr>
          <w:rFonts w:asciiTheme="majorHAnsi" w:hAnsiTheme="majorHAnsi" w:cstheme="majorHAnsi"/>
          <w:color w:val="000000"/>
          <w:sz w:val="24"/>
          <w:szCs w:val="24"/>
          <w:shd w:val="clear" w:color="auto" w:fill="FFFFFF"/>
        </w:rPr>
        <w:t>lor</w:t>
      </w:r>
      <w:r w:rsidR="00AC0074" w:rsidRPr="000B0D94">
        <w:rPr>
          <w:rFonts w:asciiTheme="majorHAnsi" w:hAnsiTheme="majorHAnsi" w:cstheme="majorHAnsi"/>
          <w:color w:val="000000"/>
          <w:sz w:val="24"/>
          <w:szCs w:val="24"/>
          <w:shd w:val="clear" w:color="auto" w:fill="FFFFFF"/>
        </w:rPr>
        <w:t xml:space="preserve"> și (re)calcule</w:t>
      </w:r>
      <w:r w:rsidR="00BD3CD9" w:rsidRPr="000B0D94">
        <w:rPr>
          <w:rFonts w:asciiTheme="majorHAnsi" w:hAnsiTheme="majorHAnsi" w:cstheme="majorHAnsi"/>
          <w:color w:val="000000"/>
          <w:sz w:val="24"/>
          <w:szCs w:val="24"/>
          <w:shd w:val="clear" w:color="auto" w:fill="FFFFFF"/>
        </w:rPr>
        <w:t>lor,</w:t>
      </w:r>
      <w:r w:rsidR="00AC0074" w:rsidRPr="000B0D94">
        <w:rPr>
          <w:rFonts w:asciiTheme="majorHAnsi" w:hAnsiTheme="majorHAnsi" w:cstheme="majorHAnsi"/>
          <w:color w:val="000000"/>
          <w:sz w:val="24"/>
          <w:szCs w:val="24"/>
          <w:shd w:val="clear" w:color="auto" w:fill="FFFFFF"/>
        </w:rPr>
        <w:t xml:space="preserve"> cu </w:t>
      </w:r>
      <w:r w:rsidR="00BD3CD9" w:rsidRPr="000B0D94">
        <w:rPr>
          <w:rFonts w:asciiTheme="majorHAnsi" w:hAnsiTheme="majorHAnsi" w:cstheme="majorHAnsi"/>
          <w:color w:val="000000"/>
          <w:sz w:val="24"/>
          <w:szCs w:val="24"/>
          <w:shd w:val="clear" w:color="auto" w:fill="FFFFFF"/>
        </w:rPr>
        <w:t xml:space="preserve">analiza </w:t>
      </w:r>
      <w:r w:rsidR="00AC0074" w:rsidRPr="000B0D94">
        <w:rPr>
          <w:rFonts w:asciiTheme="majorHAnsi" w:hAnsiTheme="majorHAnsi" w:cstheme="majorHAnsi"/>
          <w:color w:val="000000"/>
          <w:sz w:val="24"/>
          <w:szCs w:val="24"/>
          <w:shd w:val="clear" w:color="auto" w:fill="FFFFFF"/>
        </w:rPr>
        <w:t>ulterioar</w:t>
      </w:r>
      <w:r w:rsidR="00BD3CD9" w:rsidRPr="000B0D94">
        <w:rPr>
          <w:rFonts w:asciiTheme="majorHAnsi" w:hAnsiTheme="majorHAnsi" w:cstheme="majorHAnsi"/>
          <w:color w:val="000000"/>
          <w:sz w:val="24"/>
          <w:szCs w:val="24"/>
          <w:shd w:val="clear" w:color="auto" w:fill="FFFFFF"/>
        </w:rPr>
        <w:t>ă</w:t>
      </w:r>
      <w:r w:rsidR="00AC0074" w:rsidRPr="000B0D94">
        <w:rPr>
          <w:rFonts w:asciiTheme="majorHAnsi" w:hAnsiTheme="majorHAnsi" w:cstheme="majorHAnsi"/>
          <w:color w:val="000000"/>
          <w:sz w:val="24"/>
          <w:szCs w:val="24"/>
          <w:shd w:val="clear" w:color="auto" w:fill="FFFFFF"/>
        </w:rPr>
        <w:t xml:space="preserve"> și procesarea rezultatelor;</w:t>
      </w:r>
    </w:p>
    <w:p w:rsidR="009011CA" w:rsidRPr="000B0D94" w:rsidRDefault="00AC0074" w:rsidP="005A3A67">
      <w:pPr>
        <w:numPr>
          <w:ilvl w:val="0"/>
          <w:numId w:val="34"/>
        </w:numPr>
        <w:tabs>
          <w:tab w:val="left" w:pos="426"/>
        </w:tabs>
        <w:spacing w:after="120" w:line="240" w:lineRule="auto"/>
        <w:ind w:left="0" w:firstLine="288"/>
        <w:jc w:val="both"/>
        <w:rPr>
          <w:rFonts w:asciiTheme="majorHAnsi" w:hAnsiTheme="majorHAnsi" w:cstheme="majorHAnsi"/>
          <w:color w:val="000000"/>
          <w:sz w:val="24"/>
          <w:szCs w:val="24"/>
          <w:shd w:val="clear" w:color="auto" w:fill="FFFFFF"/>
        </w:rPr>
      </w:pPr>
      <w:r w:rsidRPr="000B0D94">
        <w:rPr>
          <w:rFonts w:ascii="Calibri Light" w:eastAsia="Calibri" w:hAnsi="Calibri Light" w:cs="Calibri Light"/>
          <w:sz w:val="24"/>
        </w:rPr>
        <w:t xml:space="preserve"> </w:t>
      </w:r>
      <w:r w:rsidR="008B478A" w:rsidRPr="000B0D94">
        <w:rPr>
          <w:rFonts w:asciiTheme="majorHAnsi" w:hAnsiTheme="majorHAnsi" w:cstheme="majorHAnsi"/>
          <w:color w:val="000000"/>
          <w:sz w:val="24"/>
          <w:szCs w:val="24"/>
          <w:shd w:val="clear" w:color="auto" w:fill="FFFFFF"/>
        </w:rPr>
        <w:t>s</w:t>
      </w:r>
      <w:r w:rsidR="009011CA" w:rsidRPr="000B0D94">
        <w:rPr>
          <w:rFonts w:asciiTheme="majorHAnsi" w:hAnsiTheme="majorHAnsi" w:cstheme="majorHAnsi"/>
          <w:color w:val="000000"/>
          <w:sz w:val="24"/>
          <w:szCs w:val="24"/>
          <w:shd w:val="clear" w:color="auto" w:fill="FFFFFF"/>
        </w:rPr>
        <w:t>tabilir</w:t>
      </w:r>
      <w:r w:rsidR="00BD3CD9" w:rsidRPr="000B0D94">
        <w:rPr>
          <w:rFonts w:asciiTheme="majorHAnsi" w:hAnsiTheme="majorHAnsi" w:cstheme="majorHAnsi"/>
          <w:color w:val="000000"/>
          <w:sz w:val="24"/>
          <w:szCs w:val="24"/>
          <w:shd w:val="clear" w:color="auto" w:fill="FFFFFF"/>
        </w:rPr>
        <w:t>ii</w:t>
      </w:r>
      <w:r w:rsidR="009011CA" w:rsidRPr="000B0D94">
        <w:rPr>
          <w:rFonts w:asciiTheme="majorHAnsi" w:hAnsiTheme="majorHAnsi" w:cstheme="majorHAnsi"/>
          <w:color w:val="000000"/>
          <w:sz w:val="24"/>
          <w:szCs w:val="24"/>
          <w:shd w:val="clear" w:color="auto" w:fill="FFFFFF"/>
        </w:rPr>
        <w:t xml:space="preserve"> componentelor semnificative de audit</w:t>
      </w:r>
      <w:r w:rsidR="00BD3CD9" w:rsidRPr="000B0D94">
        <w:rPr>
          <w:rFonts w:asciiTheme="majorHAnsi" w:hAnsiTheme="majorHAnsi" w:cstheme="majorHAnsi"/>
          <w:color w:val="000000"/>
          <w:sz w:val="24"/>
          <w:szCs w:val="24"/>
          <w:shd w:val="clear" w:color="auto" w:fill="FFFFFF"/>
        </w:rPr>
        <w:t>,</w:t>
      </w:r>
      <w:r w:rsidR="009011CA" w:rsidRPr="000B0D94">
        <w:rPr>
          <w:rFonts w:asciiTheme="majorHAnsi" w:hAnsiTheme="majorHAnsi" w:cstheme="majorHAnsi"/>
          <w:color w:val="000000"/>
          <w:sz w:val="24"/>
          <w:szCs w:val="24"/>
          <w:shd w:val="clear" w:color="auto" w:fill="FFFFFF"/>
        </w:rPr>
        <w:t xml:space="preserve"> prin utilizarea materialității calitative, fiind testate riscurile de neconformitate identificate în rezultatul aplicării raționamentului profesional, importanța domeniului mediului și așteptările/interesul publicului față de acesta.</w:t>
      </w:r>
    </w:p>
    <w:p w:rsidR="0001372E" w:rsidRPr="000B0D94" w:rsidRDefault="00D47076" w:rsidP="00920F1F">
      <w:pPr>
        <w:spacing w:after="120" w:line="240" w:lineRule="auto"/>
        <w:jc w:val="both"/>
        <w:rPr>
          <w:rFonts w:asciiTheme="majorHAnsi" w:hAnsiTheme="majorHAnsi" w:cstheme="majorHAnsi"/>
          <w:color w:val="000000"/>
          <w:sz w:val="24"/>
          <w:szCs w:val="24"/>
          <w:shd w:val="clear" w:color="auto" w:fill="FFFFFF"/>
        </w:rPr>
      </w:pPr>
      <w:r w:rsidRPr="000B0D94">
        <w:rPr>
          <w:rFonts w:asciiTheme="majorHAnsi" w:hAnsiTheme="majorHAnsi" w:cstheme="majorHAnsi"/>
          <w:color w:val="000000"/>
          <w:sz w:val="24"/>
          <w:szCs w:val="24"/>
          <w:shd w:val="clear" w:color="auto" w:fill="FFFFFF"/>
        </w:rPr>
        <w:t>Verificările auditului au vizat doar acele aspecte care au asigurat acumularea probelor necesare și suficiente pentru a răspunde la obiectivele specifice. Concomitent, activitatea de audit public extern a fost influențată  de neacordarea de către SFS a accesului echipei Curții de Conturi la unele surse informaționale deținute de entitate în scopul administrării evidenței fiscale.</w:t>
      </w:r>
    </w:p>
    <w:p w:rsidR="00920F1F" w:rsidRPr="000B0D94" w:rsidRDefault="00920F1F" w:rsidP="00920F1F">
      <w:pPr>
        <w:jc w:val="both"/>
      </w:pPr>
      <w:r w:rsidRPr="000B0D94">
        <w:rPr>
          <w:rFonts w:asciiTheme="majorHAnsi" w:hAnsiTheme="majorHAnsi" w:cstheme="majorHAnsi"/>
          <w:color w:val="000000"/>
          <w:sz w:val="24"/>
          <w:szCs w:val="24"/>
          <w:shd w:val="clear" w:color="auto" w:fill="FFFFFF"/>
        </w:rPr>
        <w:t xml:space="preserve">Drept surse ale criteriilor de audit s-au utilizat actele normative care reglementează procesul </w:t>
      </w:r>
      <w:r w:rsidR="00873ECF" w:rsidRPr="000B0D94">
        <w:rPr>
          <w:rFonts w:asciiTheme="majorHAnsi" w:hAnsiTheme="majorHAnsi" w:cstheme="majorHAnsi"/>
          <w:color w:val="000000"/>
          <w:sz w:val="24"/>
          <w:szCs w:val="24"/>
          <w:shd w:val="clear" w:color="auto" w:fill="FFFFFF"/>
        </w:rPr>
        <w:t>facilităților fiscale</w:t>
      </w:r>
      <w:r w:rsidRPr="000B0D94">
        <w:rPr>
          <w:rFonts w:asciiTheme="majorHAnsi" w:hAnsiTheme="majorHAnsi" w:cstheme="majorHAnsi"/>
          <w:color w:val="000000"/>
          <w:sz w:val="24"/>
          <w:szCs w:val="24"/>
          <w:shd w:val="clear" w:color="auto" w:fill="FFFFFF"/>
        </w:rPr>
        <w:t>, în special</w:t>
      </w:r>
      <w:r w:rsidR="00820519" w:rsidRPr="000B0D94">
        <w:rPr>
          <w:rFonts w:asciiTheme="majorHAnsi" w:hAnsiTheme="majorHAnsi" w:cstheme="majorHAnsi"/>
          <w:color w:val="000000"/>
          <w:sz w:val="24"/>
          <w:szCs w:val="24"/>
          <w:shd w:val="clear" w:color="auto" w:fill="FFFFFF"/>
        </w:rPr>
        <w:t>,</w:t>
      </w:r>
      <w:r w:rsidRPr="000B0D94">
        <w:rPr>
          <w:rFonts w:asciiTheme="majorHAnsi" w:hAnsiTheme="majorHAnsi" w:cstheme="majorHAnsi"/>
          <w:color w:val="000000"/>
          <w:sz w:val="24"/>
          <w:szCs w:val="24"/>
          <w:shd w:val="clear" w:color="auto" w:fill="FFFFFF"/>
        </w:rPr>
        <w:t xml:space="preserve"> </w:t>
      </w:r>
      <w:r w:rsidR="00873ECF" w:rsidRPr="000B0D94">
        <w:rPr>
          <w:rFonts w:asciiTheme="majorHAnsi" w:hAnsiTheme="majorHAnsi" w:cstheme="majorHAnsi"/>
          <w:color w:val="000000"/>
          <w:sz w:val="24"/>
          <w:szCs w:val="24"/>
          <w:shd w:val="clear" w:color="auto" w:fill="FFFFFF"/>
        </w:rPr>
        <w:t>Codul fiscal</w:t>
      </w:r>
      <w:r w:rsidR="004610A0" w:rsidRPr="000B0D94">
        <w:rPr>
          <w:rFonts w:asciiTheme="majorHAnsi" w:hAnsiTheme="majorHAnsi" w:cstheme="majorHAnsi"/>
          <w:color w:val="000000"/>
          <w:sz w:val="24"/>
          <w:szCs w:val="24"/>
          <w:shd w:val="clear" w:color="auto" w:fill="FFFFFF"/>
        </w:rPr>
        <w:t>, Legea nr.229 din 23.09.2010 privind controlul financiar public intern, bunele practici în domeniu</w:t>
      </w:r>
      <w:r w:rsidR="00565155" w:rsidRPr="000B0D94">
        <w:rPr>
          <w:rFonts w:asciiTheme="majorHAnsi" w:hAnsiTheme="majorHAnsi" w:cstheme="majorHAnsi"/>
          <w:color w:val="000000"/>
          <w:sz w:val="24"/>
          <w:szCs w:val="24"/>
          <w:shd w:val="clear" w:color="auto" w:fill="FFFFFF"/>
        </w:rPr>
        <w:t>, normele interne ale MF și SFS,</w:t>
      </w:r>
      <w:r w:rsidR="00EF790E" w:rsidRPr="000B0D94">
        <w:rPr>
          <w:rFonts w:asciiTheme="majorHAnsi" w:hAnsiTheme="majorHAnsi" w:cstheme="majorHAnsi"/>
          <w:color w:val="000000"/>
          <w:sz w:val="24"/>
          <w:szCs w:val="24"/>
          <w:shd w:val="clear" w:color="auto" w:fill="FFFFFF"/>
        </w:rPr>
        <w:t xml:space="preserve"> precum și </w:t>
      </w:r>
      <w:r w:rsidR="004610A0" w:rsidRPr="000B0D94">
        <w:rPr>
          <w:rFonts w:asciiTheme="majorHAnsi" w:eastAsia="Calibri" w:hAnsiTheme="majorHAnsi" w:cstheme="majorHAnsi"/>
          <w:sz w:val="24"/>
          <w:szCs w:val="24"/>
        </w:rPr>
        <w:t>politicile asumate de Guvern</w:t>
      </w:r>
      <w:r w:rsidRPr="000B0D94">
        <w:rPr>
          <w:rFonts w:asciiTheme="majorHAnsi" w:hAnsiTheme="majorHAnsi" w:cstheme="majorHAnsi"/>
          <w:color w:val="000000"/>
          <w:sz w:val="24"/>
          <w:szCs w:val="24"/>
          <w:shd w:val="clear" w:color="auto" w:fill="FFFFFF"/>
        </w:rPr>
        <w:t xml:space="preserve">. Informația integrală privind aria de cuprindere a auditului și criteriile de </w:t>
      </w:r>
      <w:r w:rsidRPr="000B0D94">
        <w:rPr>
          <w:rFonts w:asciiTheme="majorHAnsi" w:hAnsiTheme="majorHAnsi" w:cstheme="majorHAnsi"/>
          <w:color w:val="000000"/>
          <w:sz w:val="24"/>
          <w:szCs w:val="24"/>
          <w:shd w:val="clear" w:color="auto" w:fill="FFFFFF"/>
        </w:rPr>
        <w:lastRenderedPageBreak/>
        <w:t xml:space="preserve">evaluare a conformității </w:t>
      </w:r>
      <w:r w:rsidR="00392DC6" w:rsidRPr="000B0D94">
        <w:rPr>
          <w:rFonts w:asciiTheme="majorHAnsi" w:hAnsiTheme="majorHAnsi" w:cstheme="majorHAnsi"/>
          <w:color w:val="000000"/>
          <w:sz w:val="24"/>
          <w:szCs w:val="24"/>
          <w:shd w:val="clear" w:color="auto" w:fill="FFFFFF"/>
        </w:rPr>
        <w:t xml:space="preserve">acestui proces </w:t>
      </w:r>
      <w:r w:rsidRPr="000B0D94">
        <w:rPr>
          <w:rFonts w:asciiTheme="majorHAnsi" w:hAnsiTheme="majorHAnsi" w:cstheme="majorHAnsi"/>
          <w:color w:val="000000"/>
          <w:sz w:val="24"/>
          <w:szCs w:val="24"/>
          <w:shd w:val="clear" w:color="auto" w:fill="FFFFFF"/>
        </w:rPr>
        <w:t xml:space="preserve">este prezentată în Anexa nr. </w:t>
      </w:r>
      <w:r w:rsidR="001B1134" w:rsidRPr="000B0D94">
        <w:rPr>
          <w:rFonts w:asciiTheme="majorHAnsi" w:hAnsiTheme="majorHAnsi" w:cstheme="majorHAnsi"/>
          <w:color w:val="000000"/>
          <w:sz w:val="24"/>
          <w:szCs w:val="24"/>
          <w:shd w:val="clear" w:color="auto" w:fill="FFFFFF"/>
        </w:rPr>
        <w:t>2</w:t>
      </w:r>
      <w:r w:rsidRPr="000B0D94">
        <w:rPr>
          <w:rFonts w:asciiTheme="majorHAnsi" w:hAnsiTheme="majorHAnsi" w:cstheme="majorHAnsi"/>
          <w:color w:val="000000"/>
          <w:sz w:val="24"/>
          <w:szCs w:val="24"/>
          <w:shd w:val="clear" w:color="auto" w:fill="FFFFFF"/>
        </w:rPr>
        <w:t xml:space="preserve"> la </w:t>
      </w:r>
      <w:r w:rsidR="00BD2746" w:rsidRPr="000B0D94">
        <w:rPr>
          <w:rFonts w:asciiTheme="majorHAnsi" w:hAnsiTheme="majorHAnsi" w:cstheme="majorHAnsi"/>
          <w:color w:val="000000"/>
          <w:sz w:val="24"/>
          <w:szCs w:val="24"/>
          <w:shd w:val="clear" w:color="auto" w:fill="FFFFFF"/>
        </w:rPr>
        <w:t xml:space="preserve">prezentul </w:t>
      </w:r>
      <w:r w:rsidRPr="000B0D94">
        <w:rPr>
          <w:rFonts w:asciiTheme="majorHAnsi" w:hAnsiTheme="majorHAnsi" w:cstheme="majorHAnsi"/>
          <w:color w:val="000000"/>
          <w:sz w:val="24"/>
          <w:szCs w:val="24"/>
          <w:shd w:val="clear" w:color="auto" w:fill="FFFFFF"/>
        </w:rPr>
        <w:t>Raport</w:t>
      </w:r>
      <w:r w:rsidRPr="000B0D94">
        <w:rPr>
          <w:rFonts w:asciiTheme="majorHAnsi" w:hAnsiTheme="majorHAnsi" w:cstheme="majorHAnsi"/>
          <w:strike/>
          <w:color w:val="000000"/>
          <w:sz w:val="24"/>
          <w:szCs w:val="24"/>
          <w:shd w:val="clear" w:color="auto" w:fill="FFFFFF"/>
        </w:rPr>
        <w:t>ul</w:t>
      </w:r>
      <w:r w:rsidRPr="000B0D94">
        <w:rPr>
          <w:rFonts w:asciiTheme="majorHAnsi" w:hAnsiTheme="majorHAnsi" w:cstheme="majorHAnsi"/>
          <w:color w:val="000000"/>
          <w:sz w:val="24"/>
          <w:szCs w:val="24"/>
          <w:shd w:val="clear" w:color="auto" w:fill="FFFFFF"/>
        </w:rPr>
        <w:t xml:space="preserve"> de audit.</w:t>
      </w:r>
    </w:p>
    <w:p w:rsidR="00920F1F" w:rsidRPr="000B0D94" w:rsidRDefault="00920F1F" w:rsidP="00EE3D3B">
      <w:pPr>
        <w:pStyle w:val="Heading3"/>
        <w:rPr>
          <w:rFonts w:eastAsiaTheme="minorHAnsi" w:cstheme="majorHAnsi"/>
          <w:b/>
          <w:color w:val="2E74B5" w:themeColor="accent1" w:themeShade="BF"/>
          <w:shd w:val="clear" w:color="auto" w:fill="FFFFFF"/>
          <w:lang w:val="en-US"/>
        </w:rPr>
      </w:pPr>
      <w:bookmarkStart w:id="20" w:name="_Toc111467865"/>
      <w:r w:rsidRPr="000B0D94">
        <w:rPr>
          <w:rFonts w:eastAsiaTheme="minorHAnsi" w:cstheme="majorHAnsi"/>
          <w:b/>
          <w:color w:val="2E74B5" w:themeColor="accent1" w:themeShade="BF"/>
          <w:shd w:val="clear" w:color="auto" w:fill="FFFFFF"/>
        </w:rPr>
        <w:t>3.3. Responsabilitatea echipei de audit</w:t>
      </w:r>
      <w:bookmarkEnd w:id="20"/>
    </w:p>
    <w:p w:rsidR="00CC7136" w:rsidRDefault="00920F1F" w:rsidP="00CC7136">
      <w:pPr>
        <w:spacing w:line="276" w:lineRule="auto"/>
        <w:jc w:val="both"/>
        <w:rPr>
          <w:rFonts w:asciiTheme="majorHAnsi" w:eastAsia="Times New Roman" w:hAnsiTheme="majorHAnsi" w:cstheme="majorHAnsi"/>
          <w:sz w:val="24"/>
          <w:szCs w:val="24"/>
        </w:rPr>
      </w:pPr>
      <w:r w:rsidRPr="000B0D94">
        <w:rPr>
          <w:rFonts w:asciiTheme="majorHAnsi" w:hAnsiTheme="majorHAnsi" w:cstheme="majorHAnsi"/>
          <w:color w:val="000000"/>
          <w:sz w:val="24"/>
          <w:szCs w:val="24"/>
          <w:shd w:val="clear" w:color="auto" w:fill="FFFFFF"/>
        </w:rPr>
        <w:t>Responsabilitatea audi</w:t>
      </w:r>
      <w:r w:rsidRPr="00CB5F81">
        <w:rPr>
          <w:rFonts w:asciiTheme="majorHAnsi" w:hAnsiTheme="majorHAnsi" w:cstheme="majorHAnsi"/>
          <w:color w:val="000000"/>
          <w:sz w:val="24"/>
          <w:szCs w:val="24"/>
          <w:shd w:val="clear" w:color="auto" w:fill="FFFFFF"/>
        </w:rPr>
        <w:t xml:space="preserve">torului public este de a planifica și a realiza misiunea de audit în conformitate cu standardele în materie de audit public extern și cadrul normativ-metodologic instituțional aferent, cu obținerea probelor suficiente și adecvate, exprimarea unei concluzii concepute asupra </w:t>
      </w:r>
      <w:r w:rsidR="00D47076">
        <w:rPr>
          <w:rFonts w:asciiTheme="majorHAnsi" w:hAnsiTheme="majorHAnsi" w:cstheme="majorHAnsi"/>
          <w:color w:val="000000"/>
          <w:sz w:val="24"/>
          <w:szCs w:val="24"/>
          <w:shd w:val="clear" w:color="auto" w:fill="FFFFFF"/>
        </w:rPr>
        <w:t>conformității organizării și funcționării sistemului de facilități fiscale</w:t>
      </w:r>
      <w:r w:rsidR="008D1C20" w:rsidRPr="00CB5F81">
        <w:rPr>
          <w:rFonts w:asciiTheme="majorHAnsi" w:hAnsiTheme="majorHAnsi" w:cstheme="majorHAnsi"/>
          <w:color w:val="000000"/>
          <w:sz w:val="24"/>
          <w:szCs w:val="24"/>
          <w:shd w:val="clear" w:color="auto" w:fill="FFFFFF"/>
        </w:rPr>
        <w:t>.</w:t>
      </w:r>
      <w:r w:rsidRPr="00CB5F81">
        <w:rPr>
          <w:rFonts w:asciiTheme="majorHAnsi" w:hAnsiTheme="majorHAnsi" w:cstheme="majorHAnsi"/>
          <w:color w:val="000000"/>
          <w:sz w:val="24"/>
          <w:szCs w:val="24"/>
          <w:shd w:val="clear" w:color="auto" w:fill="FFFFFF"/>
        </w:rPr>
        <w:t xml:space="preserve"> Auditorul public nu este responsabil de prevenir</w:t>
      </w:r>
      <w:r w:rsidR="00CC7136" w:rsidRPr="00CB5F81">
        <w:rPr>
          <w:rFonts w:asciiTheme="majorHAnsi" w:hAnsiTheme="majorHAnsi" w:cstheme="majorHAnsi"/>
          <w:color w:val="000000"/>
          <w:sz w:val="24"/>
          <w:szCs w:val="24"/>
          <w:shd w:val="clear" w:color="auto" w:fill="FFFFFF"/>
        </w:rPr>
        <w:t>ea faptelor de fraudă și eroare</w:t>
      </w:r>
      <w:r w:rsidR="008D1C20" w:rsidRPr="00CB5F81">
        <w:rPr>
          <w:rFonts w:asciiTheme="majorHAnsi" w:hAnsiTheme="majorHAnsi" w:cstheme="majorHAnsi"/>
          <w:color w:val="000000"/>
          <w:sz w:val="24"/>
          <w:szCs w:val="24"/>
          <w:shd w:val="clear" w:color="auto" w:fill="FFFFFF"/>
        </w:rPr>
        <w:t>,</w:t>
      </w:r>
      <w:r w:rsidR="00CC7136" w:rsidRPr="00CB5F81">
        <w:rPr>
          <w:rFonts w:asciiTheme="majorHAnsi" w:hAnsiTheme="majorHAnsi" w:cstheme="majorHAnsi"/>
          <w:sz w:val="24"/>
          <w:szCs w:val="24"/>
        </w:rPr>
        <w:t xml:space="preserve"> a fost independent față de entitate</w:t>
      </w:r>
      <w:r w:rsidR="00820519">
        <w:rPr>
          <w:rFonts w:asciiTheme="majorHAnsi" w:hAnsiTheme="majorHAnsi" w:cstheme="majorHAnsi"/>
          <w:sz w:val="24"/>
          <w:szCs w:val="24"/>
        </w:rPr>
        <w:t>,</w:t>
      </w:r>
      <w:r w:rsidR="00CC7136" w:rsidRPr="00CB5F81">
        <w:rPr>
          <w:rFonts w:asciiTheme="majorHAnsi" w:hAnsiTheme="majorHAnsi" w:cstheme="majorHAnsi"/>
          <w:sz w:val="24"/>
          <w:szCs w:val="24"/>
        </w:rPr>
        <w:t xml:space="preserve"> </w:t>
      </w:r>
      <w:r w:rsidR="008D1C20" w:rsidRPr="00CB5F81">
        <w:rPr>
          <w:rFonts w:asciiTheme="majorHAnsi" w:hAnsiTheme="majorHAnsi" w:cstheme="majorHAnsi"/>
          <w:sz w:val="24"/>
          <w:szCs w:val="24"/>
        </w:rPr>
        <w:t xml:space="preserve">precum </w:t>
      </w:r>
      <w:r w:rsidR="00CC7136" w:rsidRPr="00CB5F81">
        <w:rPr>
          <w:rFonts w:asciiTheme="majorHAnsi" w:hAnsiTheme="majorHAnsi" w:cstheme="majorHAnsi"/>
          <w:sz w:val="24"/>
          <w:szCs w:val="24"/>
        </w:rPr>
        <w:t xml:space="preserve">și a îndeplinit responsabilitățile de etică în conformitate cu </w:t>
      </w:r>
      <w:r w:rsidR="00CC7136" w:rsidRPr="00CB5F81">
        <w:rPr>
          <w:rFonts w:asciiTheme="majorHAnsi" w:eastAsia="Times New Roman" w:hAnsiTheme="majorHAnsi" w:cstheme="majorHAnsi"/>
          <w:sz w:val="24"/>
          <w:szCs w:val="24"/>
        </w:rPr>
        <w:t>cerințele Codului etic al Curții de Conturi</w:t>
      </w:r>
      <w:r w:rsidR="00CC7136" w:rsidRPr="00CB5F81">
        <w:rPr>
          <w:rStyle w:val="FootnoteReference"/>
          <w:rFonts w:eastAsia="Times New Roman" w:cstheme="majorHAnsi"/>
          <w:szCs w:val="24"/>
        </w:rPr>
        <w:footnoteReference w:id="8"/>
      </w:r>
      <w:r w:rsidR="00CC7136" w:rsidRPr="00CB5F81">
        <w:rPr>
          <w:rFonts w:asciiTheme="majorHAnsi" w:eastAsia="Times New Roman" w:hAnsiTheme="majorHAnsi" w:cstheme="majorHAnsi"/>
          <w:sz w:val="24"/>
          <w:szCs w:val="24"/>
        </w:rPr>
        <w:t>.</w:t>
      </w:r>
    </w:p>
    <w:p w:rsidR="00EA6D3E" w:rsidRPr="00CB5F81" w:rsidRDefault="00EA6D3E" w:rsidP="008C1845">
      <w:pPr>
        <w:pStyle w:val="Heading1"/>
        <w:numPr>
          <w:ilvl w:val="0"/>
          <w:numId w:val="1"/>
        </w:numPr>
        <w:spacing w:before="0" w:after="160" w:line="276" w:lineRule="auto"/>
        <w:ind w:left="360" w:hanging="360"/>
        <w:rPr>
          <w:rFonts w:eastAsiaTheme="minorHAnsi" w:cstheme="majorHAnsi"/>
          <w:b/>
          <w:color w:val="002060"/>
          <w:sz w:val="28"/>
          <w:szCs w:val="28"/>
          <w:shd w:val="clear" w:color="auto" w:fill="FFFFFF"/>
          <w:lang w:val="ro-MD"/>
        </w:rPr>
      </w:pPr>
      <w:bookmarkStart w:id="21" w:name="_Toc111467866"/>
      <w:r w:rsidRPr="00CB5F81">
        <w:rPr>
          <w:rFonts w:eastAsiaTheme="minorHAnsi" w:cstheme="majorHAnsi"/>
          <w:b/>
          <w:color w:val="1F4E79" w:themeColor="accent1" w:themeShade="80"/>
          <w:sz w:val="28"/>
          <w:szCs w:val="28"/>
          <w:shd w:val="clear" w:color="auto" w:fill="FFFFFF"/>
          <w:lang w:val="ro-MD"/>
        </w:rPr>
        <w:t>CONSTATĂRI</w:t>
      </w:r>
      <w:bookmarkEnd w:id="21"/>
      <w:r w:rsidRPr="00CB5F81">
        <w:rPr>
          <w:rFonts w:eastAsiaTheme="minorHAnsi" w:cstheme="majorHAnsi"/>
          <w:b/>
          <w:color w:val="1F4E79" w:themeColor="accent1" w:themeShade="80"/>
          <w:sz w:val="28"/>
          <w:szCs w:val="28"/>
          <w:shd w:val="clear" w:color="auto" w:fill="FFFFFF"/>
          <w:lang w:val="ro-MD"/>
        </w:rPr>
        <w:t xml:space="preserve"> </w:t>
      </w:r>
    </w:p>
    <w:p w:rsidR="00D47076" w:rsidRPr="00D47076" w:rsidRDefault="00621CB4" w:rsidP="00D564A3">
      <w:pPr>
        <w:pStyle w:val="Heading2"/>
        <w:spacing w:after="120"/>
        <w:jc w:val="both"/>
        <w:rPr>
          <w:rFonts w:eastAsia="Times New Roman" w:cstheme="majorHAnsi"/>
          <w:i/>
          <w:sz w:val="28"/>
          <w:szCs w:val="28"/>
        </w:rPr>
      </w:pPr>
      <w:bookmarkStart w:id="22" w:name="_Toc111467867"/>
      <w:r>
        <w:rPr>
          <w:rFonts w:eastAsia="Times New Roman" w:cstheme="majorHAnsi"/>
          <w:b/>
          <w:sz w:val="28"/>
          <w:szCs w:val="28"/>
        </w:rPr>
        <w:t xml:space="preserve">4.1. </w:t>
      </w:r>
      <w:r w:rsidR="00065423" w:rsidRPr="00D47076">
        <w:rPr>
          <w:rFonts w:eastAsia="Times New Roman" w:cstheme="majorHAnsi"/>
          <w:b/>
          <w:sz w:val="28"/>
          <w:szCs w:val="28"/>
        </w:rPr>
        <w:t xml:space="preserve">OBIECTIVUL </w:t>
      </w:r>
      <w:r w:rsidR="003D691C">
        <w:rPr>
          <w:rFonts w:eastAsia="Times New Roman" w:cstheme="majorHAnsi"/>
          <w:b/>
          <w:sz w:val="28"/>
          <w:szCs w:val="28"/>
        </w:rPr>
        <w:t>nr</w:t>
      </w:r>
      <w:r w:rsidR="00065423" w:rsidRPr="00D47076">
        <w:rPr>
          <w:rFonts w:eastAsia="Times New Roman" w:cstheme="majorHAnsi"/>
          <w:b/>
          <w:sz w:val="28"/>
          <w:szCs w:val="28"/>
        </w:rPr>
        <w:t>.1:</w:t>
      </w:r>
      <w:r w:rsidR="00D47076" w:rsidRPr="00D47076">
        <w:rPr>
          <w:rFonts w:eastAsia="Times New Roman" w:cstheme="majorHAnsi"/>
          <w:i/>
          <w:sz w:val="28"/>
          <w:szCs w:val="28"/>
        </w:rPr>
        <w:t xml:space="preserve"> </w:t>
      </w:r>
      <w:r w:rsidR="00D47076" w:rsidRPr="00D47076">
        <w:rPr>
          <w:rFonts w:eastAsia="Times New Roman" w:cstheme="majorHAnsi"/>
          <w:b/>
          <w:sz w:val="28"/>
          <w:szCs w:val="28"/>
        </w:rPr>
        <w:t>Au fost implementate politici și instrumente care să asigure   conformitatea și corectitudinea  estimării  costurilor bugetare ale facilităților fiscale?</w:t>
      </w:r>
      <w:bookmarkEnd w:id="22"/>
    </w:p>
    <w:p w:rsidR="00416A61" w:rsidRPr="00CB5F81" w:rsidRDefault="00416A61" w:rsidP="00E571F2">
      <w:pPr>
        <w:shd w:val="clear" w:color="auto" w:fill="F2F2F2" w:themeFill="background1" w:themeFillShade="F2"/>
        <w:tabs>
          <w:tab w:val="left" w:pos="270"/>
        </w:tabs>
        <w:spacing w:after="120" w:line="276" w:lineRule="auto"/>
        <w:jc w:val="both"/>
        <w:rPr>
          <w:rFonts w:asciiTheme="majorHAnsi" w:eastAsiaTheme="minorEastAsia" w:hAnsiTheme="majorHAnsi" w:cstheme="majorHAnsi"/>
          <w:sz w:val="24"/>
          <w:szCs w:val="24"/>
          <w:lang w:eastAsia="ru-RU"/>
        </w:rPr>
      </w:pPr>
      <w:r w:rsidRPr="00CB5F81">
        <w:rPr>
          <w:rFonts w:asciiTheme="majorHAnsi" w:hAnsiTheme="majorHAnsi" w:cstheme="majorHAnsi"/>
          <w:sz w:val="24"/>
          <w:szCs w:val="24"/>
        </w:rPr>
        <w:t xml:space="preserve">Deși </w:t>
      </w:r>
      <w:r w:rsidRPr="00CB5F81">
        <w:rPr>
          <w:rFonts w:asciiTheme="majorHAnsi" w:eastAsia="Times New Roman" w:hAnsiTheme="majorHAnsi" w:cstheme="majorHAnsi"/>
          <w:sz w:val="24"/>
          <w:szCs w:val="24"/>
          <w:lang w:eastAsia="ru-RU"/>
        </w:rPr>
        <w:t>M</w:t>
      </w:r>
      <w:r w:rsidR="00087EF9">
        <w:rPr>
          <w:rFonts w:asciiTheme="majorHAnsi" w:eastAsia="Times New Roman" w:hAnsiTheme="majorHAnsi" w:cstheme="majorHAnsi"/>
          <w:sz w:val="24"/>
          <w:szCs w:val="24"/>
          <w:lang w:eastAsia="ru-RU"/>
        </w:rPr>
        <w:t xml:space="preserve">F </w:t>
      </w:r>
      <w:r w:rsidRPr="00CB5F81">
        <w:rPr>
          <w:rFonts w:asciiTheme="majorHAnsi" w:eastAsia="Times New Roman" w:hAnsiTheme="majorHAnsi" w:cstheme="majorHAnsi"/>
          <w:sz w:val="24"/>
          <w:szCs w:val="24"/>
          <w:lang w:eastAsia="ru-RU"/>
        </w:rPr>
        <w:t>și SFS</w:t>
      </w:r>
      <w:r w:rsidRPr="00CB5F81">
        <w:rPr>
          <w:rFonts w:asciiTheme="majorHAnsi" w:hAnsiTheme="majorHAnsi" w:cstheme="majorHAnsi"/>
          <w:sz w:val="24"/>
          <w:szCs w:val="24"/>
        </w:rPr>
        <w:t xml:space="preserve"> au demarat procesul de sistematizare și evaluare a costurilor bugetare a</w:t>
      </w:r>
      <w:r w:rsidR="00820519">
        <w:rPr>
          <w:rFonts w:asciiTheme="majorHAnsi" w:hAnsiTheme="majorHAnsi" w:cstheme="majorHAnsi"/>
          <w:sz w:val="24"/>
          <w:szCs w:val="24"/>
        </w:rPr>
        <w:t xml:space="preserve">le </w:t>
      </w:r>
      <w:r w:rsidRPr="00CB5F81">
        <w:rPr>
          <w:rFonts w:asciiTheme="majorHAnsi" w:hAnsiTheme="majorHAnsi" w:cstheme="majorHAnsi"/>
          <w:sz w:val="24"/>
          <w:szCs w:val="24"/>
        </w:rPr>
        <w:t xml:space="preserve"> facilităților fiscale,</w:t>
      </w:r>
      <w:r w:rsidR="00820519">
        <w:rPr>
          <w:rFonts w:asciiTheme="majorHAnsi" w:hAnsiTheme="majorHAnsi" w:cstheme="majorHAnsi"/>
          <w:sz w:val="24"/>
          <w:szCs w:val="24"/>
        </w:rPr>
        <w:t xml:space="preserve"> </w:t>
      </w:r>
      <w:r w:rsidRPr="00CB5F81">
        <w:rPr>
          <w:rFonts w:asciiTheme="majorHAnsi" w:hAnsiTheme="majorHAnsi" w:cstheme="majorHAnsi"/>
          <w:sz w:val="24"/>
          <w:szCs w:val="24"/>
        </w:rPr>
        <w:t>auditul atestă că efortul depu</w:t>
      </w:r>
      <w:r w:rsidR="00FC39D2">
        <w:rPr>
          <w:rFonts w:asciiTheme="majorHAnsi" w:hAnsiTheme="majorHAnsi" w:cstheme="majorHAnsi"/>
          <w:sz w:val="24"/>
          <w:szCs w:val="24"/>
        </w:rPr>
        <w:t>s de autorități este unul limitat</w:t>
      </w:r>
      <w:r w:rsidRPr="00CB5F81">
        <w:rPr>
          <w:rFonts w:asciiTheme="majorHAnsi" w:hAnsiTheme="majorHAnsi" w:cstheme="majorHAnsi"/>
          <w:sz w:val="24"/>
          <w:szCs w:val="24"/>
        </w:rPr>
        <w:t>,</w:t>
      </w:r>
      <w:r w:rsidR="00F51911" w:rsidRPr="00CB5F81">
        <w:rPr>
          <w:rFonts w:asciiTheme="majorHAnsi" w:hAnsiTheme="majorHAnsi" w:cstheme="majorHAnsi"/>
          <w:sz w:val="24"/>
          <w:szCs w:val="24"/>
        </w:rPr>
        <w:t xml:space="preserve"> nefiind înregistrate progrese</w:t>
      </w:r>
      <w:r w:rsidR="006E2C39">
        <w:rPr>
          <w:rFonts w:asciiTheme="majorHAnsi" w:hAnsiTheme="majorHAnsi" w:cstheme="majorHAnsi"/>
          <w:sz w:val="24"/>
          <w:szCs w:val="24"/>
        </w:rPr>
        <w:t>le</w:t>
      </w:r>
      <w:r w:rsidR="00F51911" w:rsidRPr="00CB5F81">
        <w:rPr>
          <w:rFonts w:asciiTheme="majorHAnsi" w:hAnsiTheme="majorHAnsi" w:cstheme="majorHAnsi"/>
          <w:sz w:val="24"/>
          <w:szCs w:val="24"/>
        </w:rPr>
        <w:t xml:space="preserve"> scontate</w:t>
      </w:r>
      <w:r w:rsidRPr="00CB5F81">
        <w:rPr>
          <w:rFonts w:asciiTheme="majorHAnsi" w:hAnsiTheme="majorHAnsi" w:cstheme="majorHAnsi"/>
          <w:sz w:val="24"/>
          <w:szCs w:val="24"/>
        </w:rPr>
        <w:t xml:space="preserve"> </w:t>
      </w:r>
      <w:r w:rsidR="00820519">
        <w:rPr>
          <w:rFonts w:asciiTheme="majorHAnsi" w:hAnsiTheme="majorHAnsi" w:cstheme="majorHAnsi"/>
          <w:sz w:val="24"/>
          <w:szCs w:val="24"/>
        </w:rPr>
        <w:t>în acest aspect</w:t>
      </w:r>
      <w:r w:rsidRPr="00CB5F81">
        <w:rPr>
          <w:rFonts w:asciiTheme="majorHAnsi" w:hAnsiTheme="majorHAnsi" w:cstheme="majorHAnsi"/>
          <w:sz w:val="24"/>
          <w:szCs w:val="24"/>
        </w:rPr>
        <w:t>.</w:t>
      </w:r>
      <w:r w:rsidR="00824FB9">
        <w:rPr>
          <w:rFonts w:asciiTheme="majorHAnsi" w:hAnsiTheme="majorHAnsi" w:cstheme="majorHAnsi"/>
          <w:sz w:val="24"/>
          <w:szCs w:val="24"/>
        </w:rPr>
        <w:t xml:space="preserve"> Astfel</w:t>
      </w:r>
      <w:r w:rsidR="00820519">
        <w:rPr>
          <w:rFonts w:asciiTheme="majorHAnsi" w:hAnsiTheme="majorHAnsi" w:cstheme="majorHAnsi"/>
          <w:sz w:val="24"/>
          <w:szCs w:val="24"/>
        </w:rPr>
        <w:t>,</w:t>
      </w:r>
      <w:r w:rsidR="00824FB9">
        <w:rPr>
          <w:rFonts w:asciiTheme="majorHAnsi" w:hAnsiTheme="majorHAnsi" w:cstheme="majorHAnsi"/>
          <w:sz w:val="24"/>
          <w:szCs w:val="24"/>
        </w:rPr>
        <w:t xml:space="preserve"> </w:t>
      </w:r>
      <w:r w:rsidRPr="00CB5F81">
        <w:rPr>
          <w:rFonts w:asciiTheme="majorHAnsi" w:eastAsiaTheme="minorEastAsia" w:hAnsiTheme="majorHAnsi" w:cstheme="majorHAnsi"/>
          <w:sz w:val="24"/>
          <w:szCs w:val="24"/>
          <w:lang w:eastAsia="ru-RU"/>
        </w:rPr>
        <w:t xml:space="preserve"> </w:t>
      </w:r>
      <w:r w:rsidR="00824FB9" w:rsidRPr="00CB5F81">
        <w:rPr>
          <w:rFonts w:asciiTheme="majorHAnsi" w:eastAsiaTheme="minorEastAsia" w:hAnsiTheme="majorHAnsi" w:cstheme="majorHAnsi"/>
          <w:sz w:val="24"/>
          <w:szCs w:val="24"/>
          <w:lang w:eastAsia="ru-RU"/>
        </w:rPr>
        <w:t xml:space="preserve">la 141 </w:t>
      </w:r>
      <w:r w:rsidR="00820519">
        <w:rPr>
          <w:rFonts w:asciiTheme="majorHAnsi" w:eastAsiaTheme="minorEastAsia" w:hAnsiTheme="majorHAnsi" w:cstheme="majorHAnsi"/>
          <w:sz w:val="24"/>
          <w:szCs w:val="24"/>
          <w:lang w:eastAsia="ru-RU"/>
        </w:rPr>
        <w:t xml:space="preserve">de </w:t>
      </w:r>
      <w:r w:rsidR="00824FB9" w:rsidRPr="00CB5F81">
        <w:rPr>
          <w:rFonts w:asciiTheme="majorHAnsi" w:eastAsiaTheme="minorEastAsia" w:hAnsiTheme="majorHAnsi" w:cstheme="majorHAnsi"/>
          <w:sz w:val="24"/>
          <w:szCs w:val="24"/>
          <w:lang w:eastAsia="ru-RU"/>
        </w:rPr>
        <w:t>facilități (65% din numărul total al facilităților administrate de SFS) nu s-au evaluat costuril</w:t>
      </w:r>
      <w:r w:rsidR="00D45DF9">
        <w:rPr>
          <w:rFonts w:asciiTheme="majorHAnsi" w:eastAsiaTheme="minorEastAsia" w:hAnsiTheme="majorHAnsi" w:cstheme="majorHAnsi"/>
          <w:sz w:val="24"/>
          <w:szCs w:val="24"/>
          <w:lang w:eastAsia="ru-RU"/>
        </w:rPr>
        <w:t>e</w:t>
      </w:r>
      <w:r w:rsidR="00824FB9" w:rsidRPr="00CB5F81">
        <w:rPr>
          <w:rFonts w:asciiTheme="majorHAnsi" w:eastAsiaTheme="minorEastAsia" w:hAnsiTheme="majorHAnsi" w:cstheme="majorHAnsi"/>
          <w:sz w:val="24"/>
          <w:szCs w:val="24"/>
          <w:lang w:eastAsia="ru-RU"/>
        </w:rPr>
        <w:t xml:space="preserve"> bugetare, </w:t>
      </w:r>
      <w:r w:rsidR="004E4664">
        <w:rPr>
          <w:rFonts w:asciiTheme="majorHAnsi" w:eastAsiaTheme="minorEastAsia" w:hAnsiTheme="majorHAnsi" w:cstheme="majorHAnsi"/>
          <w:sz w:val="24"/>
          <w:szCs w:val="24"/>
          <w:lang w:eastAsia="ru-RU"/>
        </w:rPr>
        <w:t>sau</w:t>
      </w:r>
      <w:r w:rsidR="00D45DF9">
        <w:rPr>
          <w:rFonts w:asciiTheme="majorHAnsi" w:eastAsiaTheme="minorEastAsia" w:hAnsiTheme="majorHAnsi" w:cstheme="majorHAnsi"/>
          <w:sz w:val="24"/>
          <w:szCs w:val="24"/>
          <w:lang w:eastAsia="ru-RU"/>
        </w:rPr>
        <w:t>,</w:t>
      </w:r>
      <w:r w:rsidR="004E4664">
        <w:rPr>
          <w:rFonts w:asciiTheme="majorHAnsi" w:eastAsiaTheme="minorEastAsia" w:hAnsiTheme="majorHAnsi" w:cstheme="majorHAnsi"/>
          <w:sz w:val="24"/>
          <w:szCs w:val="24"/>
          <w:lang w:eastAsia="ru-RU"/>
        </w:rPr>
        <w:t xml:space="preserve"> autoritățile vizate </w:t>
      </w:r>
      <w:r w:rsidR="00824FB9" w:rsidRPr="00CB5F81">
        <w:rPr>
          <w:rFonts w:asciiTheme="majorHAnsi" w:eastAsiaTheme="minorEastAsia" w:hAnsiTheme="majorHAnsi" w:cstheme="majorHAnsi"/>
          <w:sz w:val="24"/>
          <w:szCs w:val="24"/>
          <w:lang w:eastAsia="ru-RU"/>
        </w:rPr>
        <w:t>n</w:t>
      </w:r>
      <w:r w:rsidR="00D45DF9">
        <w:rPr>
          <w:rFonts w:asciiTheme="majorHAnsi" w:eastAsiaTheme="minorEastAsia" w:hAnsiTheme="majorHAnsi" w:cstheme="majorHAnsi"/>
          <w:sz w:val="24"/>
          <w:szCs w:val="24"/>
          <w:lang w:eastAsia="ru-RU"/>
        </w:rPr>
        <w:t xml:space="preserve">-au </w:t>
      </w:r>
      <w:r w:rsidR="002022E4">
        <w:rPr>
          <w:rFonts w:asciiTheme="majorHAnsi" w:eastAsiaTheme="minorEastAsia" w:hAnsiTheme="majorHAnsi" w:cstheme="majorHAnsi"/>
          <w:sz w:val="24"/>
          <w:szCs w:val="24"/>
          <w:lang w:eastAsia="ru-RU"/>
        </w:rPr>
        <w:t xml:space="preserve"> </w:t>
      </w:r>
      <w:r w:rsidR="00D45DF9">
        <w:rPr>
          <w:rFonts w:asciiTheme="majorHAnsi" w:eastAsiaTheme="minorEastAsia" w:hAnsiTheme="majorHAnsi" w:cstheme="majorHAnsi"/>
          <w:sz w:val="24"/>
          <w:szCs w:val="24"/>
          <w:lang w:eastAsia="ru-RU"/>
        </w:rPr>
        <w:t xml:space="preserve">implementat </w:t>
      </w:r>
      <w:r w:rsidR="002022E4">
        <w:rPr>
          <w:rFonts w:asciiTheme="majorHAnsi" w:eastAsiaTheme="minorEastAsia" w:hAnsiTheme="majorHAnsi" w:cstheme="majorHAnsi"/>
          <w:sz w:val="24"/>
          <w:szCs w:val="24"/>
          <w:lang w:eastAsia="ru-RU"/>
        </w:rPr>
        <w:t xml:space="preserve">pe deplin </w:t>
      </w:r>
      <w:r w:rsidR="00824FB9" w:rsidRPr="00CB5F81">
        <w:rPr>
          <w:rFonts w:asciiTheme="majorHAnsi" w:eastAsiaTheme="minorEastAsia" w:hAnsiTheme="majorHAnsi" w:cstheme="majorHAnsi"/>
          <w:sz w:val="24"/>
          <w:szCs w:val="24"/>
          <w:lang w:eastAsia="ru-RU"/>
        </w:rPr>
        <w:t>acțiun</w:t>
      </w:r>
      <w:r w:rsidR="00D45DF9">
        <w:rPr>
          <w:rFonts w:asciiTheme="majorHAnsi" w:eastAsiaTheme="minorEastAsia" w:hAnsiTheme="majorHAnsi" w:cstheme="majorHAnsi"/>
          <w:sz w:val="24"/>
          <w:szCs w:val="24"/>
          <w:lang w:eastAsia="ru-RU"/>
        </w:rPr>
        <w:t>ea</w:t>
      </w:r>
      <w:r w:rsidR="00824FB9" w:rsidRPr="00CB5F81">
        <w:rPr>
          <w:rFonts w:asciiTheme="majorHAnsi" w:eastAsiaTheme="minorEastAsia" w:hAnsiTheme="majorHAnsi" w:cstheme="majorHAnsi"/>
          <w:sz w:val="24"/>
          <w:szCs w:val="24"/>
          <w:lang w:eastAsia="ru-RU"/>
        </w:rPr>
        <w:t xml:space="preserve"> stipulat</w:t>
      </w:r>
      <w:r w:rsidR="00D45DF9">
        <w:rPr>
          <w:rFonts w:asciiTheme="majorHAnsi" w:eastAsiaTheme="minorEastAsia" w:hAnsiTheme="majorHAnsi" w:cstheme="majorHAnsi"/>
          <w:sz w:val="24"/>
          <w:szCs w:val="24"/>
          <w:lang w:eastAsia="ru-RU"/>
        </w:rPr>
        <w:t>ă</w:t>
      </w:r>
      <w:r w:rsidR="00824FB9" w:rsidRPr="00CB5F81">
        <w:rPr>
          <w:rFonts w:asciiTheme="majorHAnsi" w:eastAsiaTheme="minorEastAsia" w:hAnsiTheme="majorHAnsi" w:cstheme="majorHAnsi"/>
          <w:sz w:val="24"/>
          <w:szCs w:val="24"/>
          <w:lang w:eastAsia="ru-RU"/>
        </w:rPr>
        <w:t xml:space="preserve"> în Planul de acțiuni a</w:t>
      </w:r>
      <w:r w:rsidR="00D45DF9">
        <w:rPr>
          <w:rFonts w:asciiTheme="majorHAnsi" w:eastAsiaTheme="minorEastAsia" w:hAnsiTheme="majorHAnsi" w:cstheme="majorHAnsi"/>
          <w:sz w:val="24"/>
          <w:szCs w:val="24"/>
          <w:lang w:eastAsia="ru-RU"/>
        </w:rPr>
        <w:t>l</w:t>
      </w:r>
      <w:r w:rsidR="00824FB9" w:rsidRPr="00CB5F81">
        <w:rPr>
          <w:rFonts w:asciiTheme="majorHAnsi" w:eastAsiaTheme="minorEastAsia" w:hAnsiTheme="majorHAnsi" w:cstheme="majorHAnsi"/>
          <w:sz w:val="24"/>
          <w:szCs w:val="24"/>
          <w:lang w:eastAsia="ru-RU"/>
        </w:rPr>
        <w:t xml:space="preserve"> Guvernului pentru anii 2020-2023</w:t>
      </w:r>
      <w:r w:rsidR="00D45DF9">
        <w:rPr>
          <w:rFonts w:asciiTheme="majorHAnsi" w:eastAsiaTheme="minorEastAsia" w:hAnsiTheme="majorHAnsi" w:cstheme="majorHAnsi"/>
          <w:sz w:val="24"/>
          <w:szCs w:val="24"/>
          <w:lang w:eastAsia="ru-RU"/>
        </w:rPr>
        <w:t xml:space="preserve">, </w:t>
      </w:r>
      <w:r w:rsidR="00824FB9" w:rsidRPr="00CB5F81">
        <w:rPr>
          <w:rFonts w:asciiTheme="majorHAnsi" w:eastAsiaTheme="minorEastAsia" w:hAnsiTheme="majorHAnsi" w:cstheme="majorHAnsi"/>
          <w:sz w:val="24"/>
          <w:szCs w:val="24"/>
          <w:lang w:eastAsia="ru-RU"/>
        </w:rPr>
        <w:t xml:space="preserve"> care prevedea </w:t>
      </w:r>
      <w:r w:rsidR="00D45DF9">
        <w:rPr>
          <w:rFonts w:asciiTheme="majorHAnsi" w:eastAsiaTheme="minorEastAsia" w:hAnsiTheme="majorHAnsi" w:cstheme="majorHAnsi"/>
          <w:sz w:val="24"/>
          <w:szCs w:val="24"/>
          <w:lang w:eastAsia="ru-RU"/>
        </w:rPr>
        <w:t>„</w:t>
      </w:r>
      <w:r w:rsidR="00824FB9" w:rsidRPr="00CB5F81">
        <w:rPr>
          <w:rFonts w:asciiTheme="majorHAnsi" w:eastAsiaTheme="minorEastAsia" w:hAnsiTheme="majorHAnsi" w:cstheme="majorHAnsi"/>
          <w:sz w:val="24"/>
          <w:szCs w:val="24"/>
          <w:lang w:eastAsia="ru-RU"/>
        </w:rPr>
        <w:t>dezvoltarea unei baze de date a tuturor facilităților fiscale și vamale, cu estimarea costurilor bugetare aferente acestora”, termenul de realizare a căreia a fost stabilit pentru luna martie 2021.</w:t>
      </w:r>
      <w:r w:rsidR="00911DF8" w:rsidRPr="00911DF8">
        <w:rPr>
          <w:rFonts w:asciiTheme="majorHAnsi" w:eastAsiaTheme="minorEastAsia" w:hAnsiTheme="majorHAnsi" w:cstheme="majorHAnsi"/>
          <w:sz w:val="24"/>
          <w:szCs w:val="24"/>
          <w:lang w:eastAsia="ru-RU"/>
        </w:rPr>
        <w:t xml:space="preserve"> </w:t>
      </w:r>
      <w:r w:rsidR="00D45DF9">
        <w:rPr>
          <w:rFonts w:asciiTheme="majorHAnsi" w:eastAsiaTheme="minorEastAsia" w:hAnsiTheme="majorHAnsi" w:cstheme="majorHAnsi"/>
          <w:sz w:val="24"/>
          <w:szCs w:val="24"/>
          <w:lang w:eastAsia="ru-RU"/>
        </w:rPr>
        <w:t>A</w:t>
      </w:r>
      <w:r w:rsidR="00911DF8" w:rsidRPr="00DF20A5">
        <w:rPr>
          <w:rFonts w:asciiTheme="majorHAnsi" w:eastAsiaTheme="minorEastAsia" w:hAnsiTheme="majorHAnsi" w:cstheme="majorHAnsi"/>
          <w:sz w:val="24"/>
          <w:szCs w:val="24"/>
          <w:lang w:eastAsia="ru-RU"/>
        </w:rPr>
        <w:t xml:space="preserve">uditul atestă că nici la etapa </w:t>
      </w:r>
      <w:r w:rsidR="00D45DF9">
        <w:rPr>
          <w:rFonts w:asciiTheme="majorHAnsi" w:eastAsiaTheme="minorEastAsia" w:hAnsiTheme="majorHAnsi" w:cstheme="majorHAnsi"/>
          <w:sz w:val="24"/>
          <w:szCs w:val="24"/>
          <w:lang w:eastAsia="ru-RU"/>
        </w:rPr>
        <w:t xml:space="preserve">de </w:t>
      </w:r>
      <w:r w:rsidR="00911DF8" w:rsidRPr="00DF20A5">
        <w:rPr>
          <w:rFonts w:asciiTheme="majorHAnsi" w:eastAsiaTheme="minorEastAsia" w:hAnsiTheme="majorHAnsi" w:cstheme="majorHAnsi"/>
          <w:sz w:val="24"/>
          <w:szCs w:val="24"/>
          <w:lang w:eastAsia="ru-RU"/>
        </w:rPr>
        <w:t>realiz</w:t>
      </w:r>
      <w:r w:rsidR="00D45DF9">
        <w:rPr>
          <w:rFonts w:asciiTheme="majorHAnsi" w:eastAsiaTheme="minorEastAsia" w:hAnsiTheme="majorHAnsi" w:cstheme="majorHAnsi"/>
          <w:sz w:val="24"/>
          <w:szCs w:val="24"/>
          <w:lang w:eastAsia="ru-RU"/>
        </w:rPr>
        <w:t xml:space="preserve">are a </w:t>
      </w:r>
      <w:r w:rsidR="00911DF8" w:rsidRPr="00DF20A5">
        <w:rPr>
          <w:rFonts w:asciiTheme="majorHAnsi" w:eastAsiaTheme="minorEastAsia" w:hAnsiTheme="majorHAnsi" w:cstheme="majorHAnsi"/>
          <w:sz w:val="24"/>
          <w:szCs w:val="24"/>
          <w:lang w:eastAsia="ru-RU"/>
        </w:rPr>
        <w:t xml:space="preserve">auditului nu există o viziune  per ansamblu asupra spectrului de facilități necuantificate (un studiu), precum și o proiecție a viitoarelor acțiuni în vederea realizării acestui  deziderat.  </w:t>
      </w:r>
    </w:p>
    <w:p w:rsidR="00416A61" w:rsidRDefault="00087EF9" w:rsidP="00E571F2">
      <w:pPr>
        <w:shd w:val="clear" w:color="auto" w:fill="F2F2F2" w:themeFill="background1" w:themeFillShade="F2"/>
        <w:tabs>
          <w:tab w:val="left" w:pos="270"/>
        </w:tabs>
        <w:spacing w:after="120" w:line="276" w:lineRule="auto"/>
        <w:jc w:val="both"/>
        <w:rPr>
          <w:rFonts w:asciiTheme="majorHAnsi" w:eastAsiaTheme="minorEastAsia" w:hAnsiTheme="majorHAnsi" w:cstheme="majorHAnsi"/>
          <w:sz w:val="24"/>
          <w:szCs w:val="24"/>
          <w:lang w:eastAsia="ru-RU"/>
        </w:rPr>
      </w:pPr>
      <w:r>
        <w:rPr>
          <w:rFonts w:asciiTheme="majorHAnsi" w:eastAsiaTheme="minorEastAsia" w:hAnsiTheme="majorHAnsi" w:cstheme="majorHAnsi"/>
          <w:sz w:val="24"/>
          <w:szCs w:val="24"/>
          <w:lang w:val="ro-RO" w:eastAsia="ru-RU"/>
        </w:rPr>
        <w:t xml:space="preserve">În </w:t>
      </w:r>
      <w:r w:rsidRPr="003F23A8">
        <w:rPr>
          <w:rFonts w:asciiTheme="majorHAnsi" w:eastAsiaTheme="minorEastAsia" w:hAnsiTheme="majorHAnsi" w:cstheme="majorHAnsi"/>
          <w:sz w:val="24"/>
          <w:szCs w:val="24"/>
          <w:lang w:val="ro-RO" w:eastAsia="ru-RU"/>
        </w:rPr>
        <w:t xml:space="preserve">timp ce pentru </w:t>
      </w:r>
      <w:r w:rsidR="000007C5" w:rsidRPr="003F23A8">
        <w:rPr>
          <w:rFonts w:asciiTheme="majorHAnsi" w:eastAsiaTheme="minorEastAsia" w:hAnsiTheme="majorHAnsi" w:cstheme="majorHAnsi"/>
          <w:sz w:val="24"/>
          <w:szCs w:val="24"/>
          <w:lang w:eastAsia="ru-RU"/>
        </w:rPr>
        <w:t xml:space="preserve">76 de facilități fiscale, </w:t>
      </w:r>
      <w:r w:rsidRPr="003F23A8">
        <w:rPr>
          <w:rFonts w:asciiTheme="majorHAnsi" w:eastAsiaTheme="minorEastAsia" w:hAnsiTheme="majorHAnsi" w:cstheme="majorHAnsi"/>
          <w:sz w:val="24"/>
          <w:szCs w:val="24"/>
          <w:lang w:val="ro-RO" w:eastAsia="ru-RU"/>
        </w:rPr>
        <w:t>SFS</w:t>
      </w:r>
      <w:r w:rsidR="006E2C39" w:rsidRPr="003F23A8">
        <w:rPr>
          <w:rFonts w:asciiTheme="majorHAnsi" w:eastAsiaTheme="minorEastAsia" w:hAnsiTheme="majorHAnsi" w:cstheme="majorHAnsi"/>
          <w:sz w:val="24"/>
          <w:szCs w:val="24"/>
          <w:lang w:val="ro-RO" w:eastAsia="ru-RU"/>
        </w:rPr>
        <w:t>,</w:t>
      </w:r>
      <w:r w:rsidRPr="003F23A8">
        <w:rPr>
          <w:rFonts w:asciiTheme="majorHAnsi" w:eastAsiaTheme="minorEastAsia" w:hAnsiTheme="majorHAnsi" w:cstheme="majorHAnsi"/>
          <w:sz w:val="24"/>
          <w:szCs w:val="24"/>
          <w:lang w:val="ro-RO" w:eastAsia="ru-RU"/>
        </w:rPr>
        <w:t xml:space="preserve"> î</w:t>
      </w:r>
      <w:r w:rsidR="00416A61" w:rsidRPr="003F23A8">
        <w:rPr>
          <w:rFonts w:asciiTheme="majorHAnsi" w:eastAsiaTheme="minorEastAsia" w:hAnsiTheme="majorHAnsi" w:cstheme="majorHAnsi"/>
          <w:sz w:val="24"/>
          <w:szCs w:val="24"/>
          <w:lang w:eastAsia="ru-RU"/>
        </w:rPr>
        <w:t xml:space="preserve">n anul 2020, </w:t>
      </w:r>
      <w:r w:rsidRPr="003F23A8">
        <w:rPr>
          <w:rFonts w:asciiTheme="majorHAnsi" w:eastAsiaTheme="minorEastAsia" w:hAnsiTheme="majorHAnsi" w:cstheme="majorHAnsi"/>
          <w:sz w:val="24"/>
          <w:szCs w:val="24"/>
          <w:lang w:eastAsia="ru-RU"/>
        </w:rPr>
        <w:t xml:space="preserve"> a </w:t>
      </w:r>
      <w:r w:rsidR="00C12882" w:rsidRPr="003F23A8">
        <w:rPr>
          <w:rFonts w:asciiTheme="majorHAnsi" w:eastAsiaTheme="minorEastAsia" w:hAnsiTheme="majorHAnsi" w:cstheme="majorHAnsi"/>
          <w:sz w:val="24"/>
          <w:szCs w:val="24"/>
          <w:lang w:eastAsia="ru-RU"/>
        </w:rPr>
        <w:t>e</w:t>
      </w:r>
      <w:r w:rsidRPr="003F23A8">
        <w:rPr>
          <w:rFonts w:asciiTheme="majorHAnsi" w:eastAsiaTheme="minorEastAsia" w:hAnsiTheme="majorHAnsi" w:cstheme="majorHAnsi"/>
          <w:sz w:val="24"/>
          <w:szCs w:val="24"/>
          <w:lang w:eastAsia="ru-RU"/>
        </w:rPr>
        <w:t>stimat</w:t>
      </w:r>
      <w:r w:rsidR="00416A61" w:rsidRPr="003F23A8">
        <w:rPr>
          <w:rFonts w:asciiTheme="majorHAnsi" w:eastAsiaTheme="minorEastAsia" w:hAnsiTheme="majorHAnsi" w:cstheme="majorHAnsi"/>
          <w:sz w:val="24"/>
          <w:szCs w:val="24"/>
          <w:lang w:eastAsia="ru-RU"/>
        </w:rPr>
        <w:t xml:space="preserve"> și </w:t>
      </w:r>
      <w:r w:rsidR="00F14BD2" w:rsidRPr="003F23A8">
        <w:rPr>
          <w:rFonts w:asciiTheme="majorHAnsi" w:eastAsiaTheme="minorEastAsia" w:hAnsiTheme="majorHAnsi" w:cstheme="majorHAnsi"/>
          <w:sz w:val="24"/>
          <w:szCs w:val="24"/>
          <w:lang w:eastAsia="ru-RU"/>
        </w:rPr>
        <w:t xml:space="preserve">a </w:t>
      </w:r>
      <w:r w:rsidR="00416A61" w:rsidRPr="003F23A8">
        <w:rPr>
          <w:rFonts w:asciiTheme="majorHAnsi" w:eastAsiaTheme="minorEastAsia" w:hAnsiTheme="majorHAnsi" w:cstheme="majorHAnsi"/>
          <w:sz w:val="24"/>
          <w:szCs w:val="24"/>
          <w:lang w:eastAsia="ru-RU"/>
        </w:rPr>
        <w:t xml:space="preserve">raportat costurile bugetare în sumă de 2,3 </w:t>
      </w:r>
      <w:r w:rsidR="000401E1" w:rsidRPr="003F23A8">
        <w:rPr>
          <w:rFonts w:asciiTheme="majorHAnsi" w:eastAsiaTheme="minorEastAsia" w:hAnsiTheme="majorHAnsi" w:cstheme="majorHAnsi"/>
          <w:sz w:val="24"/>
          <w:szCs w:val="24"/>
          <w:lang w:eastAsia="ru-RU"/>
        </w:rPr>
        <w:t>ml</w:t>
      </w:r>
      <w:r w:rsidR="00F14BD2" w:rsidRPr="003F23A8">
        <w:rPr>
          <w:rFonts w:asciiTheme="majorHAnsi" w:eastAsiaTheme="minorEastAsia" w:hAnsiTheme="majorHAnsi" w:cstheme="majorHAnsi"/>
          <w:sz w:val="24"/>
          <w:szCs w:val="24"/>
          <w:lang w:eastAsia="ru-RU"/>
        </w:rPr>
        <w:t>r</w:t>
      </w:r>
      <w:r w:rsidR="000401E1" w:rsidRPr="003F23A8">
        <w:rPr>
          <w:rFonts w:asciiTheme="majorHAnsi" w:eastAsiaTheme="minorEastAsia" w:hAnsiTheme="majorHAnsi" w:cstheme="majorHAnsi"/>
          <w:sz w:val="24"/>
          <w:szCs w:val="24"/>
          <w:lang w:eastAsia="ru-RU"/>
        </w:rPr>
        <w:t>d</w:t>
      </w:r>
      <w:r w:rsidR="00416A61" w:rsidRPr="003F23A8">
        <w:rPr>
          <w:rFonts w:asciiTheme="majorHAnsi" w:eastAsiaTheme="minorEastAsia" w:hAnsiTheme="majorHAnsi" w:cstheme="majorHAnsi"/>
          <w:sz w:val="24"/>
          <w:szCs w:val="24"/>
          <w:lang w:eastAsia="ru-RU"/>
        </w:rPr>
        <w:t xml:space="preserve">. </w:t>
      </w:r>
      <w:r w:rsidR="00F51911" w:rsidRPr="003F23A8">
        <w:rPr>
          <w:rFonts w:asciiTheme="majorHAnsi" w:eastAsiaTheme="minorEastAsia" w:hAnsiTheme="majorHAnsi" w:cstheme="majorHAnsi"/>
          <w:sz w:val="24"/>
          <w:szCs w:val="24"/>
          <w:lang w:eastAsia="ru-RU"/>
        </w:rPr>
        <w:t>l</w:t>
      </w:r>
      <w:r w:rsidR="00416A61" w:rsidRPr="003F23A8">
        <w:rPr>
          <w:rFonts w:asciiTheme="majorHAnsi" w:eastAsiaTheme="minorEastAsia" w:hAnsiTheme="majorHAnsi" w:cstheme="majorHAnsi"/>
          <w:sz w:val="24"/>
          <w:szCs w:val="24"/>
          <w:lang w:eastAsia="ru-RU"/>
        </w:rPr>
        <w:t>ei</w:t>
      </w:r>
      <w:r w:rsidR="000007C5" w:rsidRPr="003F23A8">
        <w:rPr>
          <w:rFonts w:asciiTheme="majorHAnsi" w:eastAsiaTheme="minorEastAsia" w:hAnsiTheme="majorHAnsi" w:cstheme="majorHAnsi"/>
          <w:sz w:val="24"/>
          <w:szCs w:val="24"/>
          <w:lang w:eastAsia="ru-RU"/>
        </w:rPr>
        <w:t>,</w:t>
      </w:r>
      <w:r w:rsidRPr="003F23A8">
        <w:rPr>
          <w:rFonts w:asciiTheme="majorHAnsi" w:eastAsiaTheme="minorEastAsia" w:hAnsiTheme="majorHAnsi" w:cstheme="majorHAnsi"/>
          <w:sz w:val="24"/>
          <w:szCs w:val="24"/>
          <w:lang w:eastAsia="ru-RU"/>
        </w:rPr>
        <w:t xml:space="preserve"> </w:t>
      </w:r>
      <w:r w:rsidR="006159E4" w:rsidRPr="003F23A8">
        <w:rPr>
          <w:rFonts w:asciiTheme="majorHAnsi" w:eastAsiaTheme="minorEastAsia" w:hAnsiTheme="majorHAnsi" w:cstheme="majorHAnsi"/>
          <w:sz w:val="24"/>
          <w:szCs w:val="24"/>
          <w:lang w:eastAsia="ru-RU"/>
        </w:rPr>
        <w:t xml:space="preserve">auditul </w:t>
      </w:r>
      <w:r w:rsidR="00C12882" w:rsidRPr="003F23A8">
        <w:rPr>
          <w:rFonts w:asciiTheme="majorHAnsi" w:eastAsiaTheme="minorEastAsia" w:hAnsiTheme="majorHAnsi" w:cstheme="majorHAnsi"/>
          <w:sz w:val="24"/>
          <w:szCs w:val="24"/>
          <w:lang w:eastAsia="ru-RU"/>
        </w:rPr>
        <w:t>a</w:t>
      </w:r>
      <w:r w:rsidR="00C12882">
        <w:rPr>
          <w:rFonts w:asciiTheme="majorHAnsi" w:eastAsiaTheme="minorEastAsia" w:hAnsiTheme="majorHAnsi" w:cstheme="majorHAnsi"/>
          <w:sz w:val="24"/>
          <w:szCs w:val="24"/>
          <w:lang w:eastAsia="ru-RU"/>
        </w:rPr>
        <w:t xml:space="preserve"> constat</w:t>
      </w:r>
      <w:r>
        <w:rPr>
          <w:rFonts w:asciiTheme="majorHAnsi" w:eastAsiaTheme="minorEastAsia" w:hAnsiTheme="majorHAnsi" w:cstheme="majorHAnsi"/>
          <w:sz w:val="24"/>
          <w:szCs w:val="24"/>
          <w:lang w:eastAsia="ru-RU"/>
        </w:rPr>
        <w:t>at</w:t>
      </w:r>
      <w:r w:rsidR="00C12882">
        <w:rPr>
          <w:rFonts w:asciiTheme="majorHAnsi" w:eastAsiaTheme="minorEastAsia" w:hAnsiTheme="majorHAnsi" w:cstheme="majorHAnsi"/>
          <w:sz w:val="24"/>
          <w:szCs w:val="24"/>
          <w:lang w:eastAsia="ru-RU"/>
        </w:rPr>
        <w:t xml:space="preserve"> </w:t>
      </w:r>
      <w:r w:rsidR="006159E4">
        <w:rPr>
          <w:rFonts w:asciiTheme="majorHAnsi" w:eastAsiaTheme="minorEastAsia" w:hAnsiTheme="majorHAnsi" w:cstheme="majorHAnsi"/>
          <w:sz w:val="24"/>
          <w:szCs w:val="24"/>
          <w:lang w:eastAsia="ru-RU"/>
        </w:rPr>
        <w:t xml:space="preserve">că </w:t>
      </w:r>
      <w:r w:rsidR="00C12882">
        <w:rPr>
          <w:rFonts w:asciiTheme="majorHAnsi" w:eastAsiaTheme="minorEastAsia" w:hAnsiTheme="majorHAnsi" w:cstheme="majorHAnsi"/>
          <w:sz w:val="24"/>
          <w:szCs w:val="24"/>
          <w:lang w:eastAsia="ru-RU"/>
        </w:rPr>
        <w:t>aceste date nu oferă o imagine corectă</w:t>
      </w:r>
      <w:r w:rsidR="00824FB9">
        <w:rPr>
          <w:rFonts w:asciiTheme="majorHAnsi" w:eastAsiaTheme="minorEastAsia" w:hAnsiTheme="majorHAnsi" w:cstheme="majorHAnsi"/>
          <w:sz w:val="24"/>
          <w:szCs w:val="24"/>
          <w:lang w:eastAsia="ru-RU"/>
        </w:rPr>
        <w:t xml:space="preserve"> și </w:t>
      </w:r>
      <w:r w:rsidR="00416A61" w:rsidRPr="00CB5F81">
        <w:rPr>
          <w:rFonts w:asciiTheme="majorHAnsi" w:eastAsiaTheme="minorEastAsia" w:hAnsiTheme="majorHAnsi" w:cstheme="majorHAnsi"/>
          <w:sz w:val="24"/>
          <w:szCs w:val="24"/>
          <w:lang w:eastAsia="ru-RU"/>
        </w:rPr>
        <w:t>completă</w:t>
      </w:r>
      <w:r w:rsidR="00C52D1E">
        <w:rPr>
          <w:rFonts w:asciiTheme="majorHAnsi" w:eastAsiaTheme="minorEastAsia" w:hAnsiTheme="majorHAnsi" w:cstheme="majorHAnsi"/>
          <w:sz w:val="24"/>
          <w:szCs w:val="24"/>
          <w:lang w:eastAsia="ru-RU"/>
        </w:rPr>
        <w:t xml:space="preserve">, </w:t>
      </w:r>
      <w:r w:rsidR="004E4664">
        <w:rPr>
          <w:rFonts w:asciiTheme="majorHAnsi" w:eastAsiaTheme="minorEastAsia" w:hAnsiTheme="majorHAnsi" w:cstheme="majorHAnsi"/>
          <w:sz w:val="24"/>
          <w:szCs w:val="24"/>
          <w:lang w:eastAsia="ru-RU"/>
        </w:rPr>
        <w:t xml:space="preserve"> </w:t>
      </w:r>
      <w:r w:rsidR="004E4664" w:rsidRPr="00CB5F81">
        <w:rPr>
          <w:rFonts w:asciiTheme="majorHAnsi" w:eastAsiaTheme="minorEastAsia" w:hAnsiTheme="majorHAnsi" w:cstheme="majorHAnsi"/>
          <w:sz w:val="24"/>
          <w:szCs w:val="24"/>
          <w:lang w:eastAsia="ru-RU"/>
        </w:rPr>
        <w:t>la unele</w:t>
      </w:r>
      <w:r w:rsidR="00C52D1E">
        <w:rPr>
          <w:rFonts w:asciiTheme="majorHAnsi" w:eastAsiaTheme="minorEastAsia" w:hAnsiTheme="majorHAnsi" w:cstheme="majorHAnsi"/>
          <w:sz w:val="24"/>
          <w:szCs w:val="24"/>
          <w:lang w:eastAsia="ru-RU"/>
        </w:rPr>
        <w:t xml:space="preserve"> tipuri de </w:t>
      </w:r>
      <w:r w:rsidR="004E4664" w:rsidRPr="00CB5F81">
        <w:rPr>
          <w:rFonts w:asciiTheme="majorHAnsi" w:eastAsiaTheme="minorEastAsia" w:hAnsiTheme="majorHAnsi" w:cstheme="majorHAnsi"/>
          <w:sz w:val="24"/>
          <w:szCs w:val="24"/>
          <w:lang w:eastAsia="ru-RU"/>
        </w:rPr>
        <w:t>f</w:t>
      </w:r>
      <w:r w:rsidR="004E4664">
        <w:rPr>
          <w:rFonts w:asciiTheme="majorHAnsi" w:eastAsiaTheme="minorEastAsia" w:hAnsiTheme="majorHAnsi" w:cstheme="majorHAnsi"/>
          <w:sz w:val="24"/>
          <w:szCs w:val="24"/>
          <w:lang w:eastAsia="ru-RU"/>
        </w:rPr>
        <w:t>acilități</w:t>
      </w:r>
      <w:r w:rsidR="00C52D1E">
        <w:rPr>
          <w:rFonts w:asciiTheme="majorHAnsi" w:eastAsiaTheme="minorEastAsia" w:hAnsiTheme="majorHAnsi" w:cstheme="majorHAnsi"/>
          <w:sz w:val="24"/>
          <w:szCs w:val="24"/>
          <w:lang w:eastAsia="ru-RU"/>
        </w:rPr>
        <w:t xml:space="preserve"> valoarea </w:t>
      </w:r>
      <w:r w:rsidR="004E4664">
        <w:rPr>
          <w:rFonts w:asciiTheme="majorHAnsi" w:eastAsiaTheme="minorEastAsia" w:hAnsiTheme="majorHAnsi" w:cstheme="majorHAnsi"/>
          <w:sz w:val="24"/>
          <w:szCs w:val="24"/>
          <w:lang w:eastAsia="ru-RU"/>
        </w:rPr>
        <w:t xml:space="preserve">fiind </w:t>
      </w:r>
      <w:r w:rsidR="004E4664" w:rsidRPr="00CB5F81">
        <w:rPr>
          <w:rFonts w:asciiTheme="majorHAnsi" w:eastAsiaTheme="minorEastAsia" w:hAnsiTheme="majorHAnsi" w:cstheme="majorHAnsi"/>
          <w:sz w:val="24"/>
          <w:szCs w:val="24"/>
          <w:lang w:eastAsia="ru-RU"/>
        </w:rPr>
        <w:t xml:space="preserve">majorată cu </w:t>
      </w:r>
      <w:r w:rsidR="00D6107B" w:rsidRPr="00B312B6">
        <w:rPr>
          <w:rFonts w:asciiTheme="majorHAnsi" w:eastAsiaTheme="minorEastAsia" w:hAnsiTheme="majorHAnsi" w:cstheme="majorHAnsi"/>
          <w:sz w:val="24"/>
          <w:szCs w:val="24"/>
          <w:lang w:eastAsia="ru-RU"/>
        </w:rPr>
        <w:t xml:space="preserve"> 519,7 mil. lei, la altel</w:t>
      </w:r>
      <w:r w:rsidR="00D6107B">
        <w:rPr>
          <w:rFonts w:asciiTheme="majorHAnsi" w:eastAsiaTheme="minorEastAsia" w:hAnsiTheme="majorHAnsi" w:cstheme="majorHAnsi"/>
          <w:sz w:val="24"/>
          <w:szCs w:val="24"/>
          <w:lang w:eastAsia="ru-RU"/>
        </w:rPr>
        <w:t>e</w:t>
      </w:r>
      <w:r w:rsidR="009D7CB5">
        <w:rPr>
          <w:rFonts w:asciiTheme="majorHAnsi" w:eastAsiaTheme="minorEastAsia" w:hAnsiTheme="majorHAnsi" w:cstheme="majorHAnsi"/>
          <w:sz w:val="24"/>
          <w:szCs w:val="24"/>
          <w:lang w:eastAsia="ru-RU"/>
        </w:rPr>
        <w:t xml:space="preserve"> - </w:t>
      </w:r>
      <w:r w:rsidR="00D6107B">
        <w:rPr>
          <w:rFonts w:asciiTheme="majorHAnsi" w:eastAsiaTheme="minorEastAsia" w:hAnsiTheme="majorHAnsi" w:cstheme="majorHAnsi"/>
          <w:sz w:val="24"/>
          <w:szCs w:val="24"/>
          <w:lang w:eastAsia="ru-RU"/>
        </w:rPr>
        <w:t>subestimat</w:t>
      </w:r>
      <w:r w:rsidR="009D7CB5">
        <w:rPr>
          <w:rFonts w:asciiTheme="majorHAnsi" w:eastAsiaTheme="minorEastAsia" w:hAnsiTheme="majorHAnsi" w:cstheme="majorHAnsi"/>
          <w:sz w:val="24"/>
          <w:szCs w:val="24"/>
          <w:lang w:eastAsia="ru-RU"/>
        </w:rPr>
        <w:t>ă</w:t>
      </w:r>
      <w:r w:rsidR="00D6107B">
        <w:rPr>
          <w:rFonts w:asciiTheme="majorHAnsi" w:eastAsiaTheme="minorEastAsia" w:hAnsiTheme="majorHAnsi" w:cstheme="majorHAnsi"/>
          <w:sz w:val="24"/>
          <w:szCs w:val="24"/>
          <w:lang w:eastAsia="ru-RU"/>
        </w:rPr>
        <w:t xml:space="preserve"> cu 537,1 </w:t>
      </w:r>
      <w:r w:rsidR="00D6107B" w:rsidRPr="00B312B6">
        <w:rPr>
          <w:rFonts w:asciiTheme="majorHAnsi" w:eastAsiaTheme="minorEastAsia" w:hAnsiTheme="majorHAnsi" w:cstheme="majorHAnsi"/>
          <w:sz w:val="24"/>
          <w:szCs w:val="24"/>
          <w:lang w:eastAsia="ru-RU"/>
        </w:rPr>
        <w:t xml:space="preserve">mil. lei, </w:t>
      </w:r>
      <w:r w:rsidR="00D6107B">
        <w:rPr>
          <w:rFonts w:asciiTheme="majorHAnsi" w:eastAsiaTheme="minorEastAsia" w:hAnsiTheme="majorHAnsi" w:cstheme="majorHAnsi"/>
          <w:sz w:val="24"/>
          <w:szCs w:val="24"/>
          <w:lang w:eastAsia="ru-RU"/>
        </w:rPr>
        <w:t xml:space="preserve">concomitent </w:t>
      </w:r>
      <w:r w:rsidR="00D6107B" w:rsidRPr="00B312B6">
        <w:rPr>
          <w:rFonts w:asciiTheme="majorHAnsi" w:eastAsiaTheme="minorEastAsia" w:hAnsiTheme="majorHAnsi" w:cstheme="majorHAnsi"/>
          <w:sz w:val="24"/>
          <w:szCs w:val="24"/>
          <w:lang w:eastAsia="ru-RU"/>
        </w:rPr>
        <w:t xml:space="preserve">neexistând </w:t>
      </w:r>
      <w:r w:rsidR="00D6107B">
        <w:rPr>
          <w:rFonts w:asciiTheme="majorHAnsi" w:eastAsiaTheme="minorEastAsia" w:hAnsiTheme="majorHAnsi" w:cstheme="majorHAnsi"/>
          <w:sz w:val="24"/>
          <w:szCs w:val="24"/>
          <w:lang w:eastAsia="ru-RU"/>
        </w:rPr>
        <w:t xml:space="preserve">calcule </w:t>
      </w:r>
      <w:r w:rsidR="00D6107B" w:rsidRPr="00B312B6">
        <w:rPr>
          <w:rFonts w:asciiTheme="majorHAnsi" w:eastAsiaTheme="minorEastAsia" w:hAnsiTheme="majorHAnsi" w:cstheme="majorHAnsi"/>
          <w:sz w:val="24"/>
          <w:szCs w:val="24"/>
          <w:lang w:eastAsia="ru-RU"/>
        </w:rPr>
        <w:t>justificate la</w:t>
      </w:r>
      <w:r w:rsidR="00D6107B">
        <w:rPr>
          <w:rFonts w:asciiTheme="majorHAnsi" w:eastAsiaTheme="minorEastAsia" w:hAnsiTheme="majorHAnsi" w:cstheme="majorHAnsi"/>
          <w:sz w:val="24"/>
          <w:szCs w:val="24"/>
          <w:lang w:eastAsia="ru-RU"/>
        </w:rPr>
        <w:t xml:space="preserve"> unele facilități raportate în sumă de 977,9 </w:t>
      </w:r>
      <w:r w:rsidR="00D6107B" w:rsidRPr="00B312B6">
        <w:rPr>
          <w:rFonts w:asciiTheme="majorHAnsi" w:eastAsiaTheme="minorEastAsia" w:hAnsiTheme="majorHAnsi" w:cstheme="majorHAnsi"/>
          <w:sz w:val="24"/>
          <w:szCs w:val="24"/>
          <w:lang w:eastAsia="ru-RU"/>
        </w:rPr>
        <w:t xml:space="preserve"> mil</w:t>
      </w:r>
      <w:r w:rsidR="00D6107B">
        <w:rPr>
          <w:rFonts w:asciiTheme="majorHAnsi" w:eastAsiaTheme="minorEastAsia" w:hAnsiTheme="majorHAnsi" w:cstheme="majorHAnsi"/>
          <w:sz w:val="24"/>
          <w:szCs w:val="24"/>
          <w:lang w:eastAsia="ru-RU"/>
        </w:rPr>
        <w:t>.</w:t>
      </w:r>
      <w:r w:rsidR="00D6107B" w:rsidRPr="00B312B6">
        <w:rPr>
          <w:rFonts w:asciiTheme="majorHAnsi" w:eastAsiaTheme="minorEastAsia" w:hAnsiTheme="majorHAnsi" w:cstheme="majorHAnsi"/>
          <w:sz w:val="24"/>
          <w:szCs w:val="24"/>
          <w:lang w:eastAsia="ru-RU"/>
        </w:rPr>
        <w:t xml:space="preserve"> lei</w:t>
      </w:r>
      <w:r w:rsidR="00D6107B">
        <w:rPr>
          <w:rFonts w:asciiTheme="majorHAnsi" w:eastAsiaTheme="minorEastAsia" w:hAnsiTheme="majorHAnsi" w:cstheme="majorHAnsi"/>
          <w:sz w:val="24"/>
          <w:szCs w:val="24"/>
          <w:lang w:eastAsia="ru-RU"/>
        </w:rPr>
        <w:t>.</w:t>
      </w:r>
    </w:p>
    <w:p w:rsidR="002B22FF" w:rsidRDefault="00C52D1E" w:rsidP="002B22FF">
      <w:pPr>
        <w:shd w:val="clear" w:color="auto" w:fill="F2F2F2" w:themeFill="background1" w:themeFillShade="F2"/>
        <w:tabs>
          <w:tab w:val="left" w:pos="270"/>
        </w:tabs>
        <w:spacing w:after="120" w:line="276" w:lineRule="auto"/>
        <w:jc w:val="both"/>
        <w:rPr>
          <w:rFonts w:asciiTheme="majorHAnsi" w:eastAsiaTheme="minorEastAsia" w:hAnsiTheme="majorHAnsi" w:cstheme="majorHAnsi"/>
          <w:sz w:val="24"/>
          <w:szCs w:val="24"/>
          <w:lang w:eastAsia="ru-RU"/>
        </w:rPr>
      </w:pPr>
      <w:r>
        <w:rPr>
          <w:rFonts w:asciiTheme="majorHAnsi" w:eastAsiaTheme="minorEastAsia" w:hAnsiTheme="majorHAnsi" w:cstheme="majorHAnsi"/>
          <w:sz w:val="24"/>
          <w:szCs w:val="24"/>
          <w:lang w:eastAsia="ru-RU"/>
        </w:rPr>
        <w:t xml:space="preserve"> Deficiențele identificate de audit au fost generate </w:t>
      </w:r>
      <w:r w:rsidR="004E4664" w:rsidRPr="004E4664">
        <w:rPr>
          <w:rFonts w:asciiTheme="majorHAnsi" w:eastAsiaTheme="minorEastAsia" w:hAnsiTheme="majorHAnsi" w:cstheme="majorHAnsi"/>
          <w:sz w:val="24"/>
          <w:szCs w:val="24"/>
          <w:lang w:eastAsia="ru-RU"/>
        </w:rPr>
        <w:t>de următorii factori</w:t>
      </w:r>
      <w:r>
        <w:rPr>
          <w:rFonts w:asciiTheme="majorHAnsi" w:eastAsiaTheme="minorEastAsia" w:hAnsiTheme="majorHAnsi" w:cstheme="majorHAnsi"/>
          <w:sz w:val="24"/>
          <w:szCs w:val="24"/>
          <w:lang w:eastAsia="ru-RU"/>
        </w:rPr>
        <w:t xml:space="preserve"> conecși funcționalității controlului intern: </w:t>
      </w:r>
      <w:r w:rsidR="004E4664" w:rsidRPr="00002CB4">
        <w:rPr>
          <w:rFonts w:asciiTheme="majorHAnsi" w:eastAsiaTheme="minorEastAsia" w:hAnsiTheme="majorHAnsi" w:cstheme="majorHAnsi"/>
          <w:b/>
          <w:sz w:val="24"/>
          <w:szCs w:val="24"/>
          <w:lang w:eastAsia="ru-RU"/>
        </w:rPr>
        <w:t xml:space="preserve"> </w:t>
      </w:r>
      <w:r w:rsidR="00FB2DBE" w:rsidRPr="00002CB4">
        <w:rPr>
          <w:rFonts w:asciiTheme="majorHAnsi" w:eastAsiaTheme="minorEastAsia" w:hAnsiTheme="majorHAnsi" w:cstheme="majorHAnsi"/>
          <w:b/>
          <w:sz w:val="24"/>
          <w:szCs w:val="24"/>
          <w:lang w:eastAsia="ru-RU"/>
        </w:rPr>
        <w:t>(i)</w:t>
      </w:r>
      <w:r w:rsidR="00FB2DBE" w:rsidRPr="00CB5F81">
        <w:rPr>
          <w:rFonts w:asciiTheme="majorHAnsi" w:eastAsiaTheme="minorEastAsia" w:hAnsiTheme="majorHAnsi" w:cstheme="majorHAnsi"/>
          <w:sz w:val="24"/>
          <w:szCs w:val="24"/>
          <w:lang w:eastAsia="ru-RU"/>
        </w:rPr>
        <w:tab/>
      </w:r>
      <w:r w:rsidR="00002CB4">
        <w:rPr>
          <w:rFonts w:asciiTheme="majorHAnsi" w:eastAsiaTheme="minorEastAsia" w:hAnsiTheme="majorHAnsi" w:cstheme="majorHAnsi"/>
          <w:sz w:val="24"/>
          <w:szCs w:val="24"/>
          <w:lang w:eastAsia="ru-RU"/>
        </w:rPr>
        <w:t>l</w:t>
      </w:r>
      <w:r w:rsidR="00416A61" w:rsidRPr="00CB5F81">
        <w:rPr>
          <w:rFonts w:asciiTheme="majorHAnsi" w:eastAsiaTheme="minorEastAsia" w:hAnsiTheme="majorHAnsi" w:cstheme="majorHAnsi"/>
          <w:sz w:val="24"/>
          <w:szCs w:val="24"/>
          <w:lang w:eastAsia="ru-RU"/>
        </w:rPr>
        <w:t xml:space="preserve">ipsa cadrului normativ care să </w:t>
      </w:r>
      <w:r w:rsidR="00872971" w:rsidRPr="00CB5F81">
        <w:rPr>
          <w:rFonts w:asciiTheme="majorHAnsi" w:eastAsiaTheme="minorEastAsia" w:hAnsiTheme="majorHAnsi" w:cstheme="majorHAnsi"/>
          <w:sz w:val="24"/>
          <w:szCs w:val="24"/>
          <w:lang w:eastAsia="ru-RU"/>
        </w:rPr>
        <w:t>reglementeze</w:t>
      </w:r>
      <w:r w:rsidR="00416A61" w:rsidRPr="00CB5F81">
        <w:rPr>
          <w:rFonts w:asciiTheme="majorHAnsi" w:eastAsiaTheme="minorEastAsia" w:hAnsiTheme="majorHAnsi" w:cstheme="majorHAnsi"/>
          <w:sz w:val="24"/>
          <w:szCs w:val="24"/>
          <w:lang w:eastAsia="ru-RU"/>
        </w:rPr>
        <w:t xml:space="preserve"> procesul de estimare/ evidență</w:t>
      </w:r>
      <w:r w:rsidR="00FB2DBE" w:rsidRPr="00CB5F81">
        <w:rPr>
          <w:rFonts w:asciiTheme="majorHAnsi" w:eastAsiaTheme="minorEastAsia" w:hAnsiTheme="majorHAnsi" w:cstheme="majorHAnsi"/>
          <w:sz w:val="24"/>
          <w:szCs w:val="24"/>
          <w:lang w:eastAsia="ru-RU"/>
        </w:rPr>
        <w:t xml:space="preserve">, </w:t>
      </w:r>
      <w:r w:rsidR="00416A61" w:rsidRPr="00CB5F81">
        <w:rPr>
          <w:rFonts w:asciiTheme="majorHAnsi" w:eastAsiaTheme="minorEastAsia" w:hAnsiTheme="majorHAnsi" w:cstheme="majorHAnsi"/>
          <w:sz w:val="24"/>
          <w:szCs w:val="24"/>
          <w:lang w:eastAsia="ru-RU"/>
        </w:rPr>
        <w:t>rapor</w:t>
      </w:r>
      <w:r w:rsidR="00FB2DBE" w:rsidRPr="00CB5F81">
        <w:rPr>
          <w:rFonts w:asciiTheme="majorHAnsi" w:eastAsiaTheme="minorEastAsia" w:hAnsiTheme="majorHAnsi" w:cstheme="majorHAnsi"/>
          <w:sz w:val="24"/>
          <w:szCs w:val="24"/>
          <w:lang w:eastAsia="ru-RU"/>
        </w:rPr>
        <w:t>tare și evaluare a</w:t>
      </w:r>
      <w:r w:rsidR="003D4202" w:rsidRPr="00CB5F81">
        <w:rPr>
          <w:rFonts w:asciiTheme="majorHAnsi" w:eastAsiaTheme="minorEastAsia" w:hAnsiTheme="majorHAnsi" w:cstheme="majorHAnsi"/>
          <w:sz w:val="24"/>
          <w:szCs w:val="24"/>
          <w:lang w:eastAsia="ru-RU"/>
        </w:rPr>
        <w:t xml:space="preserve"> impactului din acordarea </w:t>
      </w:r>
      <w:r w:rsidR="00FB2DBE" w:rsidRPr="00CB5F81">
        <w:rPr>
          <w:rFonts w:asciiTheme="majorHAnsi" w:eastAsiaTheme="minorEastAsia" w:hAnsiTheme="majorHAnsi" w:cstheme="majorHAnsi"/>
          <w:sz w:val="24"/>
          <w:szCs w:val="24"/>
          <w:lang w:eastAsia="ru-RU"/>
        </w:rPr>
        <w:t>facilităților,</w:t>
      </w:r>
      <w:r w:rsidR="00416A61" w:rsidRPr="00CB5F81">
        <w:rPr>
          <w:rFonts w:asciiTheme="majorHAnsi" w:eastAsiaTheme="minorEastAsia" w:hAnsiTheme="majorHAnsi" w:cstheme="majorHAnsi"/>
          <w:sz w:val="24"/>
          <w:szCs w:val="24"/>
          <w:lang w:eastAsia="ru-RU"/>
        </w:rPr>
        <w:t xml:space="preserve"> precum </w:t>
      </w:r>
      <w:r w:rsidR="00FB2DBE" w:rsidRPr="00CB5F81">
        <w:rPr>
          <w:rFonts w:asciiTheme="majorHAnsi" w:eastAsiaTheme="minorEastAsia" w:hAnsiTheme="majorHAnsi" w:cstheme="majorHAnsi"/>
          <w:sz w:val="24"/>
          <w:szCs w:val="24"/>
          <w:lang w:eastAsia="ru-RU"/>
        </w:rPr>
        <w:t xml:space="preserve">și </w:t>
      </w:r>
      <w:r w:rsidR="00416A61" w:rsidRPr="00CB5F81">
        <w:rPr>
          <w:rFonts w:asciiTheme="majorHAnsi" w:eastAsiaTheme="minorEastAsia" w:hAnsiTheme="majorHAnsi" w:cstheme="majorHAnsi"/>
          <w:sz w:val="24"/>
          <w:szCs w:val="24"/>
          <w:lang w:eastAsia="ru-RU"/>
        </w:rPr>
        <w:t>stabilirea re</w:t>
      </w:r>
      <w:r w:rsidR="002022E4">
        <w:rPr>
          <w:rFonts w:asciiTheme="majorHAnsi" w:eastAsiaTheme="minorEastAsia" w:hAnsiTheme="majorHAnsi" w:cstheme="majorHAnsi"/>
          <w:sz w:val="24"/>
          <w:szCs w:val="24"/>
          <w:lang w:eastAsia="ru-RU"/>
        </w:rPr>
        <w:t>sponsabilităților pă</w:t>
      </w:r>
      <w:r w:rsidR="00416A61" w:rsidRPr="00CB5F81">
        <w:rPr>
          <w:rFonts w:asciiTheme="majorHAnsi" w:eastAsiaTheme="minorEastAsia" w:hAnsiTheme="majorHAnsi" w:cstheme="majorHAnsi"/>
          <w:sz w:val="24"/>
          <w:szCs w:val="24"/>
          <w:lang w:eastAsia="ru-RU"/>
        </w:rPr>
        <w:t>rților implicate</w:t>
      </w:r>
      <w:r w:rsidR="00FB2DBE" w:rsidRPr="00CB5F81">
        <w:rPr>
          <w:rFonts w:asciiTheme="majorHAnsi" w:eastAsiaTheme="minorEastAsia" w:hAnsiTheme="majorHAnsi" w:cstheme="majorHAnsi"/>
          <w:sz w:val="24"/>
          <w:szCs w:val="24"/>
          <w:lang w:eastAsia="ru-RU"/>
        </w:rPr>
        <w:t xml:space="preserve"> în aceste procese;</w:t>
      </w:r>
      <w:r w:rsidR="00002CB4">
        <w:rPr>
          <w:rFonts w:asciiTheme="majorHAnsi" w:eastAsiaTheme="minorEastAsia" w:hAnsiTheme="majorHAnsi" w:cstheme="majorHAnsi"/>
          <w:b/>
          <w:sz w:val="24"/>
          <w:szCs w:val="24"/>
          <w:lang w:eastAsia="ru-RU"/>
        </w:rPr>
        <w:t>(</w:t>
      </w:r>
      <w:r w:rsidR="00416A61" w:rsidRPr="00CB5F81">
        <w:rPr>
          <w:rFonts w:asciiTheme="majorHAnsi" w:eastAsiaTheme="minorEastAsia" w:hAnsiTheme="majorHAnsi" w:cstheme="majorHAnsi"/>
          <w:b/>
          <w:sz w:val="24"/>
          <w:szCs w:val="24"/>
          <w:lang w:eastAsia="ru-RU"/>
        </w:rPr>
        <w:t xml:space="preserve">ii) </w:t>
      </w:r>
      <w:r w:rsidR="00416A61" w:rsidRPr="00CB5F81">
        <w:rPr>
          <w:rFonts w:asciiTheme="majorHAnsi" w:eastAsiaTheme="minorEastAsia" w:hAnsiTheme="majorHAnsi" w:cstheme="majorHAnsi"/>
          <w:sz w:val="24"/>
          <w:szCs w:val="24"/>
          <w:lang w:eastAsia="ru-RU"/>
        </w:rPr>
        <w:t>complexitatea și aspectele deficitare în implementarea unor instrumente și mecani</w:t>
      </w:r>
      <w:r w:rsidR="00FB2DBE" w:rsidRPr="00CB5F81">
        <w:rPr>
          <w:rFonts w:asciiTheme="majorHAnsi" w:eastAsiaTheme="minorEastAsia" w:hAnsiTheme="majorHAnsi" w:cstheme="majorHAnsi"/>
          <w:sz w:val="24"/>
          <w:szCs w:val="24"/>
          <w:lang w:eastAsia="ru-RU"/>
        </w:rPr>
        <w:t>sme de estimare a facilităților;</w:t>
      </w:r>
      <w:r w:rsidR="00416A61" w:rsidRPr="00CB5F81">
        <w:rPr>
          <w:rFonts w:asciiTheme="majorHAnsi" w:eastAsiaTheme="minorEastAsia" w:hAnsiTheme="majorHAnsi" w:cstheme="majorHAnsi"/>
          <w:b/>
          <w:sz w:val="24"/>
          <w:szCs w:val="24"/>
          <w:lang w:eastAsia="ru-RU"/>
        </w:rPr>
        <w:t>(iii)</w:t>
      </w:r>
      <w:r w:rsidR="00291095" w:rsidRPr="00CB5F81">
        <w:rPr>
          <w:rFonts w:asciiTheme="majorHAnsi" w:eastAsiaTheme="minorEastAsia" w:hAnsiTheme="majorHAnsi" w:cstheme="majorHAnsi"/>
          <w:sz w:val="24"/>
          <w:szCs w:val="24"/>
          <w:lang w:eastAsia="ru-RU"/>
        </w:rPr>
        <w:t xml:space="preserve"> </w:t>
      </w:r>
      <w:r w:rsidR="00FB2DBE" w:rsidRPr="00CB5F81">
        <w:rPr>
          <w:rFonts w:asciiTheme="majorHAnsi" w:eastAsiaTheme="minorEastAsia" w:hAnsiTheme="majorHAnsi" w:cstheme="majorHAnsi"/>
          <w:sz w:val="24"/>
          <w:szCs w:val="24"/>
          <w:lang w:eastAsia="ru-RU"/>
        </w:rPr>
        <w:t>lipsa normelor metodologice interne</w:t>
      </w:r>
      <w:r w:rsidR="00EC1EAF">
        <w:rPr>
          <w:rFonts w:asciiTheme="majorHAnsi" w:eastAsiaTheme="minorEastAsia" w:hAnsiTheme="majorHAnsi" w:cstheme="majorHAnsi"/>
          <w:sz w:val="24"/>
          <w:szCs w:val="24"/>
          <w:lang w:eastAsia="ru-RU"/>
        </w:rPr>
        <w:t xml:space="preserve"> </w:t>
      </w:r>
      <w:r w:rsidR="00FB2DBE" w:rsidRPr="00CB5F81">
        <w:rPr>
          <w:rFonts w:asciiTheme="majorHAnsi" w:eastAsiaTheme="minorEastAsia" w:hAnsiTheme="majorHAnsi" w:cstheme="majorHAnsi"/>
          <w:sz w:val="24"/>
          <w:szCs w:val="24"/>
          <w:lang w:eastAsia="ru-RU"/>
        </w:rPr>
        <w:t>care ar reglementa mecanismul de estimare a costurilor pentru facilitățile raportate</w:t>
      </w:r>
      <w:r w:rsidR="00AA3824" w:rsidRPr="00CB5F81">
        <w:rPr>
          <w:rFonts w:asciiTheme="majorHAnsi" w:eastAsiaTheme="minorEastAsia" w:hAnsiTheme="majorHAnsi" w:cstheme="majorHAnsi"/>
          <w:sz w:val="24"/>
          <w:szCs w:val="24"/>
          <w:lang w:eastAsia="ru-RU"/>
        </w:rPr>
        <w:t>;</w:t>
      </w:r>
      <w:r w:rsidR="00AA3824" w:rsidRPr="00CB5F81">
        <w:rPr>
          <w:rFonts w:asciiTheme="majorHAnsi" w:eastAsiaTheme="minorEastAsia" w:hAnsiTheme="majorHAnsi" w:cstheme="majorHAnsi"/>
          <w:b/>
          <w:sz w:val="24"/>
          <w:szCs w:val="24"/>
          <w:lang w:eastAsia="ru-RU"/>
        </w:rPr>
        <w:t>(iv</w:t>
      </w:r>
      <w:r w:rsidR="00AA3824" w:rsidRPr="00CB5F81">
        <w:rPr>
          <w:rFonts w:asciiTheme="majorHAnsi" w:eastAsiaTheme="minorEastAsia" w:hAnsiTheme="majorHAnsi" w:cstheme="majorHAnsi"/>
          <w:sz w:val="24"/>
          <w:szCs w:val="24"/>
          <w:lang w:eastAsia="ru-RU"/>
        </w:rPr>
        <w:t>) lipsa în cadrul SFS a unei structuri</w:t>
      </w:r>
      <w:r w:rsidR="00D140F6" w:rsidRPr="00CB5F81">
        <w:rPr>
          <w:rFonts w:asciiTheme="majorHAnsi" w:eastAsiaTheme="minorEastAsia" w:hAnsiTheme="majorHAnsi" w:cstheme="majorHAnsi"/>
          <w:sz w:val="24"/>
          <w:szCs w:val="24"/>
          <w:lang w:eastAsia="ru-RU"/>
        </w:rPr>
        <w:t xml:space="preserve"> analitice care ar asigura monitorizarea corectitudinii datelor raportate de agenții economici</w:t>
      </w:r>
      <w:r w:rsidR="006076E7" w:rsidRPr="00CB5F81">
        <w:rPr>
          <w:rFonts w:asciiTheme="majorHAnsi" w:eastAsiaTheme="minorEastAsia" w:hAnsiTheme="majorHAnsi" w:cstheme="majorHAnsi"/>
          <w:sz w:val="24"/>
          <w:szCs w:val="24"/>
          <w:lang w:eastAsia="ru-RU"/>
        </w:rPr>
        <w:t xml:space="preserve">; </w:t>
      </w:r>
      <w:r w:rsidR="00FB2DBE" w:rsidRPr="00CB5F81">
        <w:rPr>
          <w:rFonts w:asciiTheme="majorHAnsi" w:eastAsiaTheme="minorEastAsia" w:hAnsiTheme="majorHAnsi" w:cstheme="majorHAnsi"/>
          <w:b/>
          <w:sz w:val="24"/>
          <w:szCs w:val="24"/>
          <w:lang w:eastAsia="ru-RU"/>
        </w:rPr>
        <w:t>(v)</w:t>
      </w:r>
      <w:r w:rsidR="00291095" w:rsidRPr="00CB5F81">
        <w:rPr>
          <w:rFonts w:asciiTheme="majorHAnsi" w:eastAsiaTheme="minorEastAsia" w:hAnsiTheme="majorHAnsi" w:cstheme="majorHAnsi"/>
          <w:b/>
          <w:sz w:val="24"/>
          <w:szCs w:val="24"/>
          <w:lang w:eastAsia="ru-RU"/>
        </w:rPr>
        <w:t xml:space="preserve"> </w:t>
      </w:r>
      <w:r w:rsidR="00FB2DBE" w:rsidRPr="00CB5F81">
        <w:rPr>
          <w:rFonts w:asciiTheme="majorHAnsi" w:eastAsiaTheme="minorEastAsia" w:hAnsiTheme="majorHAnsi" w:cstheme="majorHAnsi"/>
          <w:sz w:val="24"/>
          <w:szCs w:val="24"/>
          <w:lang w:eastAsia="ru-RU"/>
        </w:rPr>
        <w:t xml:space="preserve">lipsa de </w:t>
      </w:r>
      <w:r w:rsidR="00291095" w:rsidRPr="00CB5F81">
        <w:rPr>
          <w:rFonts w:asciiTheme="majorHAnsi" w:eastAsiaTheme="minorEastAsia" w:hAnsiTheme="majorHAnsi" w:cstheme="majorHAnsi"/>
          <w:sz w:val="24"/>
          <w:szCs w:val="24"/>
          <w:lang w:eastAsia="ru-RU"/>
        </w:rPr>
        <w:t xml:space="preserve">responsabilitate </w:t>
      </w:r>
      <w:r w:rsidR="00FB2DBE" w:rsidRPr="00CB5F81">
        <w:rPr>
          <w:rFonts w:asciiTheme="majorHAnsi" w:eastAsiaTheme="minorEastAsia" w:hAnsiTheme="majorHAnsi" w:cstheme="majorHAnsi"/>
          <w:sz w:val="24"/>
          <w:szCs w:val="24"/>
          <w:lang w:eastAsia="ru-RU"/>
        </w:rPr>
        <w:t xml:space="preserve">din partea autorităților implicate în procesul de </w:t>
      </w:r>
      <w:r w:rsidR="00291095" w:rsidRPr="00CB5F81">
        <w:rPr>
          <w:rFonts w:asciiTheme="majorHAnsi" w:eastAsiaTheme="minorEastAsia" w:hAnsiTheme="majorHAnsi" w:cstheme="majorHAnsi"/>
          <w:sz w:val="24"/>
          <w:szCs w:val="24"/>
          <w:lang w:eastAsia="ru-RU"/>
        </w:rPr>
        <w:t>evaluare</w:t>
      </w:r>
      <w:r w:rsidR="00FB2DBE" w:rsidRPr="00CB5F81">
        <w:rPr>
          <w:rFonts w:asciiTheme="majorHAnsi" w:eastAsiaTheme="minorEastAsia" w:hAnsiTheme="majorHAnsi" w:cstheme="majorHAnsi"/>
          <w:sz w:val="24"/>
          <w:szCs w:val="24"/>
          <w:lang w:eastAsia="ru-RU"/>
        </w:rPr>
        <w:t xml:space="preserve"> </w:t>
      </w:r>
      <w:r w:rsidR="00291095" w:rsidRPr="00CB5F81">
        <w:rPr>
          <w:rFonts w:asciiTheme="majorHAnsi" w:eastAsiaTheme="minorEastAsia" w:hAnsiTheme="majorHAnsi" w:cstheme="majorHAnsi"/>
          <w:sz w:val="24"/>
          <w:szCs w:val="24"/>
          <w:lang w:eastAsia="ru-RU"/>
        </w:rPr>
        <w:t>a costurilor bugetare a</w:t>
      </w:r>
      <w:r w:rsidR="009D7CB5">
        <w:rPr>
          <w:rFonts w:asciiTheme="majorHAnsi" w:eastAsiaTheme="minorEastAsia" w:hAnsiTheme="majorHAnsi" w:cstheme="majorHAnsi"/>
          <w:sz w:val="24"/>
          <w:szCs w:val="24"/>
          <w:lang w:eastAsia="ru-RU"/>
        </w:rPr>
        <w:t>le</w:t>
      </w:r>
      <w:r w:rsidR="00291095" w:rsidRPr="00CB5F81">
        <w:rPr>
          <w:rFonts w:asciiTheme="majorHAnsi" w:eastAsiaTheme="minorEastAsia" w:hAnsiTheme="majorHAnsi" w:cstheme="majorHAnsi"/>
          <w:sz w:val="24"/>
          <w:szCs w:val="24"/>
          <w:lang w:eastAsia="ru-RU"/>
        </w:rPr>
        <w:t xml:space="preserve"> facilităților fiscale existente</w:t>
      </w:r>
      <w:r w:rsidR="006076E7" w:rsidRPr="00CB5F81">
        <w:rPr>
          <w:rFonts w:asciiTheme="majorHAnsi" w:eastAsiaTheme="minorEastAsia" w:hAnsiTheme="majorHAnsi" w:cstheme="majorHAnsi"/>
          <w:sz w:val="24"/>
          <w:szCs w:val="24"/>
          <w:lang w:eastAsia="ru-RU"/>
        </w:rPr>
        <w:t>.</w:t>
      </w:r>
    </w:p>
    <w:p w:rsidR="00291095" w:rsidRPr="00CB5F81" w:rsidRDefault="00291095" w:rsidP="002B22FF">
      <w:pPr>
        <w:shd w:val="clear" w:color="auto" w:fill="F2F2F2" w:themeFill="background1" w:themeFillShade="F2"/>
        <w:tabs>
          <w:tab w:val="left" w:pos="270"/>
        </w:tabs>
        <w:spacing w:after="0" w:line="276" w:lineRule="auto"/>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lastRenderedPageBreak/>
        <w:t xml:space="preserve">Drept rezultat, acest proces </w:t>
      </w:r>
      <w:r w:rsidR="00F51911" w:rsidRPr="00CB5F81">
        <w:rPr>
          <w:rFonts w:asciiTheme="majorHAnsi" w:eastAsiaTheme="minorEastAsia" w:hAnsiTheme="majorHAnsi" w:cstheme="majorHAnsi"/>
          <w:sz w:val="24"/>
          <w:szCs w:val="24"/>
          <w:lang w:eastAsia="ru-RU"/>
        </w:rPr>
        <w:t xml:space="preserve">este </w:t>
      </w:r>
      <w:r w:rsidRPr="00CB5F81">
        <w:rPr>
          <w:rFonts w:asciiTheme="majorHAnsi" w:eastAsiaTheme="minorEastAsia" w:hAnsiTheme="majorHAnsi" w:cstheme="majorHAnsi"/>
          <w:sz w:val="24"/>
          <w:szCs w:val="24"/>
          <w:lang w:eastAsia="ru-RU"/>
        </w:rPr>
        <w:t>expus lacunelor</w:t>
      </w:r>
      <w:r w:rsidR="00F51911" w:rsidRPr="00CB5F81">
        <w:rPr>
          <w:rFonts w:asciiTheme="majorHAnsi" w:eastAsiaTheme="minorEastAsia" w:hAnsiTheme="majorHAnsi" w:cstheme="majorHAnsi"/>
          <w:sz w:val="24"/>
          <w:szCs w:val="24"/>
          <w:lang w:eastAsia="ru-RU"/>
        </w:rPr>
        <w:t xml:space="preserve"> și deficienț</w:t>
      </w:r>
      <w:r w:rsidR="009D7CB5">
        <w:rPr>
          <w:rFonts w:asciiTheme="majorHAnsi" w:eastAsiaTheme="minorEastAsia" w:hAnsiTheme="majorHAnsi" w:cstheme="majorHAnsi"/>
          <w:sz w:val="24"/>
          <w:szCs w:val="24"/>
          <w:lang w:eastAsia="ru-RU"/>
        </w:rPr>
        <w:t>e</w:t>
      </w:r>
      <w:r w:rsidR="00F51911" w:rsidRPr="00CB5F81">
        <w:rPr>
          <w:rFonts w:asciiTheme="majorHAnsi" w:eastAsiaTheme="minorEastAsia" w:hAnsiTheme="majorHAnsi" w:cstheme="majorHAnsi"/>
          <w:sz w:val="24"/>
          <w:szCs w:val="24"/>
          <w:lang w:eastAsia="ru-RU"/>
        </w:rPr>
        <w:t>lor</w:t>
      </w:r>
      <w:r w:rsidRPr="00CB5F81">
        <w:rPr>
          <w:rFonts w:asciiTheme="majorHAnsi" w:eastAsiaTheme="minorEastAsia" w:hAnsiTheme="majorHAnsi" w:cstheme="majorHAnsi"/>
          <w:sz w:val="24"/>
          <w:szCs w:val="24"/>
          <w:lang w:eastAsia="ru-RU"/>
        </w:rPr>
        <w:t>,</w:t>
      </w:r>
      <w:r w:rsidR="00F51911" w:rsidRPr="00CB5F81">
        <w:rPr>
          <w:rFonts w:asciiTheme="majorHAnsi" w:eastAsiaTheme="minorEastAsia" w:hAnsiTheme="majorHAnsi" w:cstheme="majorHAnsi"/>
          <w:sz w:val="24"/>
          <w:szCs w:val="24"/>
          <w:lang w:eastAsia="ru-RU"/>
        </w:rPr>
        <w:t xml:space="preserve"> fiind unul netransparent</w:t>
      </w:r>
      <w:r w:rsidR="00F51911" w:rsidRPr="003B791A">
        <w:rPr>
          <w:rFonts w:asciiTheme="majorHAnsi" w:eastAsiaTheme="minorEastAsia" w:hAnsiTheme="majorHAnsi" w:cstheme="majorHAnsi"/>
          <w:sz w:val="24"/>
          <w:szCs w:val="24"/>
          <w:lang w:eastAsia="ru-RU"/>
        </w:rPr>
        <w:t xml:space="preserve">, </w:t>
      </w:r>
      <w:r w:rsidR="00DF469E" w:rsidRPr="003B791A">
        <w:rPr>
          <w:rFonts w:asciiTheme="majorHAnsi" w:eastAsiaTheme="minorEastAsia" w:hAnsiTheme="majorHAnsi" w:cstheme="majorHAnsi"/>
          <w:sz w:val="24"/>
          <w:szCs w:val="24"/>
          <w:lang w:eastAsia="ru-RU"/>
        </w:rPr>
        <w:t>fapt ce generează lipsa unui</w:t>
      </w:r>
      <w:r w:rsidR="00DF469E">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 xml:space="preserve"> tablou integru privind</w:t>
      </w:r>
      <w:r w:rsidR="00EC1EAF">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costurile bugetare a</w:t>
      </w:r>
      <w:r w:rsidR="00451432">
        <w:rPr>
          <w:rFonts w:asciiTheme="majorHAnsi" w:eastAsiaTheme="minorEastAsia" w:hAnsiTheme="majorHAnsi" w:cstheme="majorHAnsi"/>
          <w:sz w:val="24"/>
          <w:szCs w:val="24"/>
          <w:lang w:eastAsia="ru-RU"/>
        </w:rPr>
        <w:t>le</w:t>
      </w:r>
      <w:r w:rsidRPr="00CB5F81">
        <w:rPr>
          <w:rFonts w:asciiTheme="majorHAnsi" w:eastAsiaTheme="minorEastAsia" w:hAnsiTheme="majorHAnsi" w:cstheme="majorHAnsi"/>
          <w:sz w:val="24"/>
          <w:szCs w:val="24"/>
          <w:lang w:eastAsia="ru-RU"/>
        </w:rPr>
        <w:t xml:space="preserve"> facilităților instituite.</w:t>
      </w:r>
    </w:p>
    <w:p w:rsidR="00FF2231" w:rsidRPr="00CB5F81" w:rsidRDefault="00E51231" w:rsidP="00040BCB">
      <w:pPr>
        <w:pStyle w:val="Heading3"/>
        <w:numPr>
          <w:ilvl w:val="2"/>
          <w:numId w:val="21"/>
        </w:numPr>
        <w:tabs>
          <w:tab w:val="left" w:pos="360"/>
          <w:tab w:val="left" w:pos="540"/>
          <w:tab w:val="left" w:pos="630"/>
        </w:tabs>
        <w:spacing w:before="240" w:after="120" w:line="240" w:lineRule="auto"/>
        <w:ind w:left="0" w:firstLine="0"/>
        <w:jc w:val="both"/>
        <w:rPr>
          <w:rFonts w:eastAsia="Times New Roman"/>
          <w:b/>
          <w:color w:val="2E74B5" w:themeColor="accent1" w:themeShade="BF"/>
        </w:rPr>
      </w:pPr>
      <w:bookmarkStart w:id="23" w:name="_Toc111467868"/>
      <w:r w:rsidRPr="00CB5F81">
        <w:rPr>
          <w:rFonts w:eastAsia="Times New Roman"/>
          <w:b/>
          <w:color w:val="2E74B5" w:themeColor="accent1" w:themeShade="BF"/>
        </w:rPr>
        <w:t>Cadrul normativ care reglementează sistemul de facilități</w:t>
      </w:r>
      <w:r w:rsidR="00F050CB" w:rsidRPr="00CB5F81">
        <w:rPr>
          <w:rFonts w:eastAsia="Times New Roman"/>
          <w:b/>
          <w:color w:val="2E74B5" w:themeColor="accent1" w:themeShade="BF"/>
        </w:rPr>
        <w:t xml:space="preserve"> este lacunar</w:t>
      </w:r>
      <w:r w:rsidR="00EE222F" w:rsidRPr="00CB5F81">
        <w:rPr>
          <w:rFonts w:eastAsia="Times New Roman"/>
          <w:b/>
          <w:color w:val="2E74B5" w:themeColor="accent1" w:themeShade="BF"/>
        </w:rPr>
        <w:t xml:space="preserve"> și poartă un caracter fragmentat</w:t>
      </w:r>
      <w:bookmarkEnd w:id="23"/>
    </w:p>
    <w:p w:rsidR="00040DBB" w:rsidRPr="00CB5F81" w:rsidRDefault="00040DBB" w:rsidP="00FF2231">
      <w:pPr>
        <w:spacing w:after="120"/>
        <w:jc w:val="both"/>
        <w:rPr>
          <w:rFonts w:asciiTheme="majorHAnsi" w:eastAsiaTheme="minorEastAsia" w:hAnsiTheme="majorHAnsi" w:cstheme="majorHAnsi"/>
          <w:color w:val="333333"/>
          <w:sz w:val="24"/>
          <w:szCs w:val="24"/>
          <w:shd w:val="clear" w:color="auto" w:fill="FFFFFF"/>
        </w:rPr>
      </w:pPr>
      <w:r w:rsidRPr="00CB5F81">
        <w:rPr>
          <w:rFonts w:asciiTheme="majorHAnsi" w:eastAsia="Times New Roman" w:hAnsiTheme="majorHAnsi" w:cstheme="majorHAnsi"/>
          <w:sz w:val="24"/>
          <w:szCs w:val="24"/>
        </w:rPr>
        <w:t xml:space="preserve">Cadrul normativ existent reglementează fragmentat și neclar sistemul de </w:t>
      </w:r>
      <w:r w:rsidR="002022E4">
        <w:rPr>
          <w:rFonts w:asciiTheme="majorHAnsi" w:eastAsia="Times New Roman" w:hAnsiTheme="majorHAnsi" w:cstheme="majorHAnsi"/>
          <w:sz w:val="24"/>
          <w:szCs w:val="24"/>
        </w:rPr>
        <w:t xml:space="preserve">aplicare </w:t>
      </w:r>
      <w:r w:rsidRPr="00CB5F81">
        <w:rPr>
          <w:rFonts w:asciiTheme="majorHAnsi" w:eastAsia="Times New Roman" w:hAnsiTheme="majorHAnsi" w:cstheme="majorHAnsi"/>
          <w:sz w:val="24"/>
          <w:szCs w:val="24"/>
        </w:rPr>
        <w:t>a facilităților fiscale,</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unele prevederi aferente acestuia</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conținându-se în</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 xml:space="preserve">Codul fiscal, alte norme se deduc din prevederile </w:t>
      </w:r>
      <w:r w:rsidRPr="00303FD0">
        <w:rPr>
          <w:rFonts w:asciiTheme="majorHAnsi" w:eastAsia="Times New Roman" w:hAnsiTheme="majorHAnsi" w:cstheme="majorHAnsi"/>
          <w:sz w:val="24"/>
          <w:szCs w:val="24"/>
        </w:rPr>
        <w:t xml:space="preserve">Legii </w:t>
      </w:r>
      <w:r w:rsidR="0074792E" w:rsidRPr="000B0D94">
        <w:rPr>
          <w:rFonts w:asciiTheme="majorHAnsi" w:eastAsia="Times New Roman" w:hAnsiTheme="majorHAnsi" w:cstheme="majorHAnsi"/>
          <w:sz w:val="24"/>
          <w:szCs w:val="24"/>
        </w:rPr>
        <w:t>finanțelor publice și responsabilității</w:t>
      </w:r>
      <w:r w:rsidR="0074792E" w:rsidRPr="00303FD0">
        <w:rPr>
          <w:rFonts w:asciiTheme="majorHAnsi" w:eastAsia="Times New Roman" w:hAnsiTheme="majorHAnsi" w:cstheme="majorHAnsi"/>
          <w:sz w:val="24"/>
          <w:szCs w:val="24"/>
        </w:rPr>
        <w:t xml:space="preserve"> bugetar- fiscale</w:t>
      </w:r>
      <w:r w:rsidR="0074792E" w:rsidRPr="000B0D94">
        <w:rPr>
          <w:rFonts w:asciiTheme="majorHAnsi" w:eastAsia="Times New Roman" w:hAnsiTheme="majorHAnsi" w:cstheme="majorHAnsi"/>
          <w:sz w:val="24"/>
          <w:szCs w:val="24"/>
        </w:rPr>
        <w:t xml:space="preserve"> </w:t>
      </w:r>
      <w:r w:rsidR="00451432" w:rsidRPr="00303FD0">
        <w:rPr>
          <w:rFonts w:asciiTheme="majorHAnsi" w:eastAsia="Times New Roman" w:hAnsiTheme="majorHAnsi" w:cstheme="majorHAnsi"/>
          <w:sz w:val="24"/>
          <w:szCs w:val="24"/>
        </w:rPr>
        <w:t>nr.</w:t>
      </w:r>
      <w:r w:rsidRPr="00303FD0">
        <w:rPr>
          <w:rFonts w:asciiTheme="majorHAnsi" w:eastAsia="Times New Roman" w:hAnsiTheme="majorHAnsi" w:cstheme="majorHAnsi"/>
          <w:sz w:val="24"/>
          <w:szCs w:val="24"/>
        </w:rPr>
        <w:t>181/2014</w:t>
      </w:r>
      <w:r w:rsidRPr="00303FD0">
        <w:rPr>
          <w:vertAlign w:val="superscript"/>
        </w:rPr>
        <w:footnoteReference w:id="9"/>
      </w:r>
      <w:r w:rsidRPr="00303FD0">
        <w:rPr>
          <w:rFonts w:asciiTheme="majorHAnsi" w:eastAsia="Times New Roman" w:hAnsiTheme="majorHAnsi" w:cstheme="majorHAnsi"/>
          <w:sz w:val="24"/>
          <w:szCs w:val="24"/>
        </w:rPr>
        <w:t xml:space="preserve">. O parte a facilităților fiscale </w:t>
      </w:r>
      <w:r w:rsidR="002022E4" w:rsidRPr="00303FD0">
        <w:rPr>
          <w:rFonts w:asciiTheme="majorHAnsi" w:eastAsia="Times New Roman" w:hAnsiTheme="majorHAnsi" w:cstheme="majorHAnsi"/>
          <w:sz w:val="24"/>
          <w:szCs w:val="24"/>
        </w:rPr>
        <w:t>i</w:t>
      </w:r>
      <w:r w:rsidR="002022E4" w:rsidRPr="00705DD0">
        <w:rPr>
          <w:rFonts w:asciiTheme="majorHAnsi" w:eastAsia="Times New Roman" w:hAnsiTheme="majorHAnsi" w:cstheme="majorHAnsi"/>
          <w:sz w:val="24"/>
          <w:szCs w:val="24"/>
        </w:rPr>
        <w:t xml:space="preserve">au forma </w:t>
      </w:r>
      <w:r w:rsidRPr="00705DD0">
        <w:rPr>
          <w:rFonts w:asciiTheme="majorHAnsi" w:eastAsia="Times New Roman" w:hAnsiTheme="majorHAnsi" w:cstheme="majorHAnsi"/>
          <w:sz w:val="24"/>
          <w:szCs w:val="24"/>
        </w:rPr>
        <w:t>ajutor</w:t>
      </w:r>
      <w:r w:rsidR="002022E4" w:rsidRPr="00705DD0">
        <w:rPr>
          <w:rFonts w:asciiTheme="majorHAnsi" w:eastAsia="Times New Roman" w:hAnsiTheme="majorHAnsi" w:cstheme="majorHAnsi"/>
          <w:sz w:val="24"/>
          <w:szCs w:val="24"/>
        </w:rPr>
        <w:t>ului</w:t>
      </w:r>
      <w:r w:rsidRPr="00705DD0">
        <w:rPr>
          <w:rFonts w:asciiTheme="majorHAnsi" w:eastAsia="Times New Roman" w:hAnsiTheme="majorHAnsi" w:cstheme="majorHAnsi"/>
          <w:sz w:val="24"/>
          <w:szCs w:val="24"/>
        </w:rPr>
        <w:t xml:space="preserve"> de stat, prin</w:t>
      </w:r>
      <w:r w:rsidR="00EC1EAF" w:rsidRPr="00705DD0">
        <w:rPr>
          <w:rFonts w:asciiTheme="majorHAnsi" w:eastAsia="Times New Roman" w:hAnsiTheme="majorHAnsi" w:cstheme="majorHAnsi"/>
          <w:sz w:val="24"/>
          <w:szCs w:val="24"/>
        </w:rPr>
        <w:t xml:space="preserve"> </w:t>
      </w:r>
      <w:r w:rsidRPr="00705DD0">
        <w:rPr>
          <w:rFonts w:asciiTheme="majorHAnsi" w:eastAsia="Times New Roman" w:hAnsiTheme="majorHAnsi" w:cstheme="majorHAnsi"/>
          <w:sz w:val="24"/>
          <w:szCs w:val="24"/>
        </w:rPr>
        <w:t>Legea nr.139/2012</w:t>
      </w:r>
      <w:r w:rsidRPr="00303FD0">
        <w:rPr>
          <w:vertAlign w:val="superscript"/>
        </w:rPr>
        <w:footnoteReference w:id="10"/>
      </w:r>
      <w:r w:rsidRPr="00303FD0">
        <w:rPr>
          <w:rFonts w:asciiTheme="majorHAnsi" w:eastAsia="Times New Roman" w:hAnsiTheme="majorHAnsi" w:cstheme="majorHAnsi"/>
          <w:sz w:val="24"/>
          <w:szCs w:val="24"/>
        </w:rPr>
        <w:t xml:space="preserve">, fiind stabilite </w:t>
      </w:r>
      <w:r w:rsidRPr="00303FD0">
        <w:rPr>
          <w:rFonts w:asciiTheme="majorHAnsi" w:eastAsiaTheme="minorEastAsia" w:hAnsiTheme="majorHAnsi" w:cstheme="majorHAnsi"/>
          <w:color w:val="333333"/>
          <w:sz w:val="24"/>
          <w:szCs w:val="24"/>
          <w:shd w:val="clear" w:color="auto" w:fill="FFFFFF"/>
        </w:rPr>
        <w:t>modalitățile</w:t>
      </w:r>
      <w:r w:rsidRPr="00CB5F81">
        <w:rPr>
          <w:rFonts w:asciiTheme="majorHAnsi" w:eastAsiaTheme="minorEastAsia" w:hAnsiTheme="majorHAnsi" w:cstheme="majorHAnsi"/>
          <w:color w:val="333333"/>
          <w:sz w:val="24"/>
          <w:szCs w:val="24"/>
          <w:shd w:val="clear" w:color="auto" w:fill="FFFFFF"/>
        </w:rPr>
        <w:t xml:space="preserve"> de autorizare, monitorizare și raportare a ajutorului de stat acordat beneficiarilor din toate sectoarele economiei naționale.</w:t>
      </w:r>
    </w:p>
    <w:p w:rsidR="00E7564C" w:rsidRPr="00CB5F81" w:rsidRDefault="00EE222F" w:rsidP="00E50AFA">
      <w:pPr>
        <w:pStyle w:val="NormalWeb"/>
        <w:spacing w:after="120"/>
        <w:ind w:firstLine="0"/>
        <w:rPr>
          <w:rFonts w:asciiTheme="majorHAnsi" w:hAnsiTheme="majorHAnsi" w:cstheme="majorHAnsi"/>
          <w:lang w:val="ro-MD"/>
        </w:rPr>
      </w:pPr>
      <w:r w:rsidRPr="00CB5F81">
        <w:rPr>
          <w:rFonts w:asciiTheme="majorHAnsi" w:eastAsia="Times New Roman" w:hAnsiTheme="majorHAnsi" w:cstheme="majorHAnsi"/>
          <w:lang w:val="ro-MD"/>
        </w:rPr>
        <w:t>În contextul expus</w:t>
      </w:r>
      <w:r w:rsidR="0074792E">
        <w:rPr>
          <w:rFonts w:asciiTheme="majorHAnsi" w:eastAsia="Times New Roman" w:hAnsiTheme="majorHAnsi" w:cstheme="majorHAnsi"/>
          <w:lang w:val="ro-MD"/>
        </w:rPr>
        <w:t>,</w:t>
      </w:r>
      <w:r w:rsidRPr="00CB5F81">
        <w:rPr>
          <w:rFonts w:asciiTheme="majorHAnsi" w:eastAsia="Times New Roman" w:hAnsiTheme="majorHAnsi" w:cstheme="majorHAnsi"/>
          <w:lang w:val="ro-MD"/>
        </w:rPr>
        <w:t xml:space="preserve"> se menționează </w:t>
      </w:r>
      <w:r w:rsidR="00E13076" w:rsidRPr="00CB5F81">
        <w:rPr>
          <w:rFonts w:asciiTheme="majorHAnsi" w:eastAsia="Times New Roman" w:hAnsiTheme="majorHAnsi" w:cstheme="majorHAnsi"/>
          <w:lang w:val="ro-MD"/>
        </w:rPr>
        <w:t>că</w:t>
      </w:r>
      <w:r w:rsidR="002B0039" w:rsidRPr="00CB5F81">
        <w:rPr>
          <w:rFonts w:asciiTheme="majorHAnsi" w:eastAsia="Times New Roman" w:hAnsiTheme="majorHAnsi" w:cstheme="majorHAnsi"/>
          <w:lang w:val="ro-MD"/>
        </w:rPr>
        <w:t xml:space="preserve"> prevederile Legii </w:t>
      </w:r>
      <w:r w:rsidR="00DD63AA">
        <w:rPr>
          <w:rFonts w:asciiTheme="majorHAnsi" w:eastAsia="Times New Roman" w:hAnsiTheme="majorHAnsi" w:cstheme="majorHAnsi"/>
          <w:lang w:val="ro-MD"/>
        </w:rPr>
        <w:t>nr.</w:t>
      </w:r>
      <w:r w:rsidR="002B0039" w:rsidRPr="00CB5F81">
        <w:rPr>
          <w:rFonts w:asciiTheme="majorHAnsi" w:eastAsia="Times New Roman" w:hAnsiTheme="majorHAnsi" w:cstheme="majorHAnsi"/>
          <w:lang w:val="ro-MD"/>
        </w:rPr>
        <w:t>181/2014</w:t>
      </w:r>
      <w:r w:rsidR="00872971" w:rsidRPr="00CB5F81">
        <w:rPr>
          <w:rFonts w:asciiTheme="majorHAnsi" w:eastAsia="Times New Roman" w:hAnsiTheme="majorHAnsi" w:cstheme="majorHAnsi"/>
          <w:lang w:val="ro-MD"/>
        </w:rPr>
        <w:t xml:space="preserve"> nu conțin</w:t>
      </w:r>
      <w:r w:rsidR="000C2934" w:rsidRPr="00CB5F81">
        <w:rPr>
          <w:rFonts w:asciiTheme="majorHAnsi" w:eastAsia="Times New Roman" w:hAnsiTheme="majorHAnsi" w:cstheme="majorHAnsi"/>
          <w:lang w:val="ro-MD"/>
        </w:rPr>
        <w:t xml:space="preserve"> norme</w:t>
      </w:r>
      <w:r w:rsidR="00872971" w:rsidRPr="00CB5F81">
        <w:rPr>
          <w:rFonts w:asciiTheme="majorHAnsi" w:eastAsia="Times New Roman" w:hAnsiTheme="majorHAnsi" w:cstheme="majorHAnsi"/>
          <w:lang w:val="ro-MD"/>
        </w:rPr>
        <w:t xml:space="preserve"> </w:t>
      </w:r>
      <w:r w:rsidR="000C2934" w:rsidRPr="00CB5F81">
        <w:rPr>
          <w:rFonts w:asciiTheme="majorHAnsi" w:eastAsia="Times New Roman" w:hAnsiTheme="majorHAnsi" w:cstheme="majorHAnsi"/>
          <w:lang w:val="ro-MD"/>
        </w:rPr>
        <w:t>specifice</w:t>
      </w:r>
      <w:r w:rsidR="008F0701" w:rsidRPr="00CB5F81">
        <w:rPr>
          <w:rFonts w:asciiTheme="majorHAnsi" w:eastAsia="Times New Roman" w:hAnsiTheme="majorHAnsi" w:cstheme="majorHAnsi"/>
          <w:lang w:val="ro-MD"/>
        </w:rPr>
        <w:t xml:space="preserve"> </w:t>
      </w:r>
      <w:r w:rsidR="00B23BC8" w:rsidRPr="00CB5F81">
        <w:rPr>
          <w:rFonts w:asciiTheme="majorHAnsi" w:eastAsia="Times New Roman" w:hAnsiTheme="majorHAnsi" w:cstheme="majorHAnsi"/>
          <w:lang w:val="ro-MD"/>
        </w:rPr>
        <w:t>de gestionare a sistemului de</w:t>
      </w:r>
      <w:r w:rsidR="00EC1EAF">
        <w:rPr>
          <w:rFonts w:asciiTheme="majorHAnsi" w:eastAsia="Times New Roman" w:hAnsiTheme="majorHAnsi" w:cstheme="majorHAnsi"/>
          <w:lang w:val="ro-MD"/>
        </w:rPr>
        <w:t xml:space="preserve"> </w:t>
      </w:r>
      <w:r w:rsidR="000C6E19" w:rsidRPr="00CB5F81">
        <w:rPr>
          <w:rFonts w:asciiTheme="majorHAnsi" w:eastAsia="Times New Roman" w:hAnsiTheme="majorHAnsi" w:cstheme="majorHAnsi"/>
          <w:lang w:val="ro-MD"/>
        </w:rPr>
        <w:t xml:space="preserve">facilități, </w:t>
      </w:r>
      <w:r w:rsidR="00B23BC8" w:rsidRPr="00CB5F81">
        <w:rPr>
          <w:rFonts w:asciiTheme="majorHAnsi" w:eastAsia="Times New Roman" w:hAnsiTheme="majorHAnsi" w:cstheme="majorHAnsi"/>
          <w:lang w:val="ro-MD"/>
        </w:rPr>
        <w:t>care să cuprindă etapele de planificare, instituire,</w:t>
      </w:r>
      <w:r w:rsidR="008F0701" w:rsidRPr="00CB5F81">
        <w:rPr>
          <w:rFonts w:asciiTheme="majorHAnsi" w:eastAsia="Times New Roman" w:hAnsiTheme="majorHAnsi" w:cstheme="majorHAnsi"/>
          <w:lang w:val="ro-MD"/>
        </w:rPr>
        <w:t xml:space="preserve"> evidență</w:t>
      </w:r>
      <w:r w:rsidR="00B23BC8" w:rsidRPr="00CB5F81">
        <w:rPr>
          <w:rFonts w:asciiTheme="majorHAnsi" w:eastAsia="Times New Roman" w:hAnsiTheme="majorHAnsi" w:cstheme="majorHAnsi"/>
          <w:lang w:val="ro-MD"/>
        </w:rPr>
        <w:t>,</w:t>
      </w:r>
      <w:r w:rsidR="008F0701" w:rsidRPr="00CB5F81">
        <w:rPr>
          <w:rFonts w:asciiTheme="majorHAnsi" w:eastAsia="Times New Roman" w:hAnsiTheme="majorHAnsi" w:cstheme="majorHAnsi"/>
          <w:lang w:val="ro-MD"/>
        </w:rPr>
        <w:t xml:space="preserve"> raportare a facilităților fiscale</w:t>
      </w:r>
      <w:r w:rsidR="00B23BC8" w:rsidRPr="00CB5F81">
        <w:rPr>
          <w:rFonts w:asciiTheme="majorHAnsi" w:eastAsia="Times New Roman" w:hAnsiTheme="majorHAnsi" w:cstheme="majorHAnsi"/>
          <w:lang w:val="ro-MD"/>
        </w:rPr>
        <w:t>, dar și reglementări privind periodicitatea evaluării impactului</w:t>
      </w:r>
      <w:r w:rsidR="000C6E19" w:rsidRPr="00CB5F81">
        <w:rPr>
          <w:rFonts w:asciiTheme="majorHAnsi" w:eastAsia="Times New Roman" w:hAnsiTheme="majorHAnsi" w:cstheme="majorHAnsi"/>
          <w:lang w:val="ro-MD"/>
        </w:rPr>
        <w:t xml:space="preserve"> rezultat</w:t>
      </w:r>
      <w:r w:rsidR="00B23BC8" w:rsidRPr="00CB5F81">
        <w:rPr>
          <w:rFonts w:asciiTheme="majorHAnsi" w:eastAsia="Times New Roman" w:hAnsiTheme="majorHAnsi" w:cstheme="majorHAnsi"/>
          <w:lang w:val="ro-MD"/>
        </w:rPr>
        <w:t xml:space="preserve"> din acordarea acestora</w:t>
      </w:r>
      <w:r w:rsidR="000C6E19" w:rsidRPr="00CB5F81">
        <w:rPr>
          <w:rFonts w:asciiTheme="majorHAnsi" w:eastAsia="Times New Roman" w:hAnsiTheme="majorHAnsi" w:cstheme="majorHAnsi"/>
          <w:lang w:val="ro-MD"/>
        </w:rPr>
        <w:t>, în vederea adoptării unor decizii privind menținerea înlesnirilor, sau anularea lor</w:t>
      </w:r>
      <w:r w:rsidR="008F0701" w:rsidRPr="00CB5F81">
        <w:rPr>
          <w:rFonts w:asciiTheme="majorHAnsi" w:eastAsia="Times New Roman" w:hAnsiTheme="majorHAnsi" w:cstheme="majorHAnsi"/>
          <w:lang w:val="ro-MD"/>
        </w:rPr>
        <w:t>.</w:t>
      </w:r>
      <w:r w:rsidR="006E59E2" w:rsidRPr="00CB5F81">
        <w:rPr>
          <w:rFonts w:asciiTheme="majorHAnsi" w:eastAsia="Times New Roman" w:hAnsiTheme="majorHAnsi" w:cstheme="majorHAnsi"/>
          <w:lang w:val="ro-MD"/>
        </w:rPr>
        <w:t xml:space="preserve"> </w:t>
      </w:r>
      <w:r w:rsidR="000C6E19" w:rsidRPr="00CB5F81">
        <w:rPr>
          <w:rFonts w:asciiTheme="majorHAnsi" w:eastAsia="Times New Roman" w:hAnsiTheme="majorHAnsi" w:cstheme="majorHAnsi"/>
          <w:lang w:val="ro-MD"/>
        </w:rPr>
        <w:t>Deși a</w:t>
      </w:r>
      <w:r w:rsidR="00E41C7E" w:rsidRPr="00CB5F81">
        <w:rPr>
          <w:rFonts w:asciiTheme="majorHAnsi" w:eastAsia="Times New Roman" w:hAnsiTheme="majorHAnsi" w:cstheme="majorHAnsi"/>
          <w:lang w:val="ro-MD"/>
        </w:rPr>
        <w:t>ct</w:t>
      </w:r>
      <w:r w:rsidR="000C6E19" w:rsidRPr="00CB5F81">
        <w:rPr>
          <w:rFonts w:asciiTheme="majorHAnsi" w:eastAsia="Times New Roman" w:hAnsiTheme="majorHAnsi" w:cstheme="majorHAnsi"/>
          <w:lang w:val="ro-MD"/>
        </w:rPr>
        <w:t>ul</w:t>
      </w:r>
      <w:r w:rsidR="00E41C7E" w:rsidRPr="00CB5F81">
        <w:rPr>
          <w:rFonts w:asciiTheme="majorHAnsi" w:eastAsia="Times New Roman" w:hAnsiTheme="majorHAnsi" w:cstheme="majorHAnsi"/>
          <w:lang w:val="ro-MD"/>
        </w:rPr>
        <w:t xml:space="preserve"> juridic </w:t>
      </w:r>
      <w:r w:rsidR="006D44CB" w:rsidRPr="00CB5F81">
        <w:rPr>
          <w:rFonts w:asciiTheme="majorHAnsi" w:eastAsia="Times New Roman" w:hAnsiTheme="majorHAnsi" w:cstheme="majorHAnsi"/>
          <w:lang w:val="ro-MD"/>
        </w:rPr>
        <w:t xml:space="preserve">prenotat </w:t>
      </w:r>
      <w:r w:rsidR="006076E7" w:rsidRPr="00CB5F81">
        <w:rPr>
          <w:rFonts w:asciiTheme="majorHAnsi" w:eastAsia="Times New Roman" w:hAnsiTheme="majorHAnsi" w:cstheme="majorHAnsi"/>
          <w:lang w:val="ro-MD"/>
        </w:rPr>
        <w:t xml:space="preserve">conține </w:t>
      </w:r>
      <w:r w:rsidR="00E41C7E" w:rsidRPr="00CB5F81">
        <w:rPr>
          <w:rFonts w:asciiTheme="majorHAnsi" w:eastAsia="Times New Roman" w:hAnsiTheme="majorHAnsi" w:cstheme="majorHAnsi"/>
          <w:lang w:val="ro-MD"/>
        </w:rPr>
        <w:t xml:space="preserve">norme aferente elaborării politicii bugetar-fiscale, responsabilitate care revine </w:t>
      </w:r>
      <w:r w:rsidR="00B247E6" w:rsidRPr="00CB5F81">
        <w:rPr>
          <w:rFonts w:asciiTheme="majorHAnsi" w:eastAsia="Times New Roman" w:hAnsiTheme="majorHAnsi" w:cstheme="majorHAnsi"/>
          <w:lang w:val="ro-MD"/>
        </w:rPr>
        <w:t>MF</w:t>
      </w:r>
      <w:r w:rsidR="00E50AFA" w:rsidRPr="00CB5F81">
        <w:rPr>
          <w:rFonts w:asciiTheme="majorHAnsi" w:eastAsia="Times New Roman" w:hAnsiTheme="majorHAnsi" w:cstheme="majorHAnsi"/>
          <w:lang w:val="ro-MD"/>
        </w:rPr>
        <w:t xml:space="preserve"> și care</w:t>
      </w:r>
      <w:r w:rsidR="00E41C7E" w:rsidRPr="00CB5F81">
        <w:rPr>
          <w:rFonts w:asciiTheme="majorHAnsi" w:eastAsia="Times New Roman" w:hAnsiTheme="majorHAnsi" w:cstheme="majorHAnsi"/>
          <w:lang w:val="ro-MD"/>
        </w:rPr>
        <w:t xml:space="preserve"> </w:t>
      </w:r>
      <w:r w:rsidR="00E50AFA" w:rsidRPr="00CB5F81">
        <w:rPr>
          <w:rFonts w:asciiTheme="majorHAnsi" w:hAnsiTheme="majorHAnsi" w:cstheme="majorHAnsi"/>
          <w:lang w:val="ro-MD"/>
        </w:rPr>
        <w:t xml:space="preserve">cuprinde și </w:t>
      </w:r>
      <w:r w:rsidR="00E41C7E" w:rsidRPr="00CB5F81">
        <w:rPr>
          <w:rFonts w:asciiTheme="majorHAnsi" w:hAnsiTheme="majorHAnsi" w:cstheme="majorHAnsi"/>
          <w:lang w:val="ro-MD"/>
        </w:rPr>
        <w:t xml:space="preserve">politicile convergente </w:t>
      </w:r>
      <w:r w:rsidR="00E41C7E" w:rsidRPr="00CB5F81">
        <w:rPr>
          <w:rFonts w:asciiTheme="majorHAnsi" w:eastAsia="Times New Roman" w:hAnsiTheme="majorHAnsi" w:cstheme="majorHAnsi"/>
          <w:lang w:val="ro-MD"/>
        </w:rPr>
        <w:t>facilităților fiscale</w:t>
      </w:r>
      <w:r w:rsidR="006D44CB" w:rsidRPr="00CB5F81">
        <w:rPr>
          <w:rFonts w:asciiTheme="majorHAnsi" w:eastAsia="Times New Roman" w:hAnsiTheme="majorHAnsi" w:cstheme="majorHAnsi"/>
          <w:lang w:val="ro-MD"/>
        </w:rPr>
        <w:t xml:space="preserve">, acestea sunt de un context general și </w:t>
      </w:r>
      <w:r w:rsidR="000C6E19" w:rsidRPr="00CB5F81">
        <w:rPr>
          <w:rFonts w:asciiTheme="majorHAnsi" w:eastAsia="Times New Roman" w:hAnsiTheme="majorHAnsi" w:cstheme="majorHAnsi"/>
          <w:lang w:val="ro-MD"/>
        </w:rPr>
        <w:t xml:space="preserve">nu acoperă aspectele unei bune guvernanțe </w:t>
      </w:r>
      <w:r w:rsidR="006D44CB" w:rsidRPr="00CB5F81">
        <w:rPr>
          <w:rFonts w:asciiTheme="majorHAnsi" w:eastAsia="Times New Roman" w:hAnsiTheme="majorHAnsi" w:cstheme="majorHAnsi"/>
          <w:lang w:val="ro-MD"/>
        </w:rPr>
        <w:t xml:space="preserve">a </w:t>
      </w:r>
      <w:r w:rsidR="000C6E19" w:rsidRPr="00CB5F81">
        <w:rPr>
          <w:rFonts w:asciiTheme="majorHAnsi" w:eastAsia="Times New Roman" w:hAnsiTheme="majorHAnsi" w:cstheme="majorHAnsi"/>
          <w:lang w:val="ro-MD"/>
        </w:rPr>
        <w:t>facilități</w:t>
      </w:r>
      <w:r w:rsidR="006D44CB" w:rsidRPr="00CB5F81">
        <w:rPr>
          <w:rFonts w:asciiTheme="majorHAnsi" w:eastAsia="Times New Roman" w:hAnsiTheme="majorHAnsi" w:cstheme="majorHAnsi"/>
          <w:lang w:val="ro-MD"/>
        </w:rPr>
        <w:t>lor</w:t>
      </w:r>
      <w:r w:rsidR="000C6E19" w:rsidRPr="00CB5F81">
        <w:rPr>
          <w:rFonts w:asciiTheme="majorHAnsi" w:eastAsia="Times New Roman" w:hAnsiTheme="majorHAnsi" w:cstheme="majorHAnsi"/>
          <w:lang w:val="ro-MD"/>
        </w:rPr>
        <w:t xml:space="preserve"> fiscale</w:t>
      </w:r>
      <w:r w:rsidR="006D44CB" w:rsidRPr="00CB5F81">
        <w:rPr>
          <w:rFonts w:asciiTheme="majorHAnsi" w:eastAsia="Times New Roman" w:hAnsiTheme="majorHAnsi" w:cstheme="majorHAnsi"/>
          <w:lang w:val="ro-MD"/>
        </w:rPr>
        <w:t xml:space="preserve">, care reprezintă costuri pentru BPN. </w:t>
      </w:r>
    </w:p>
    <w:p w:rsidR="00E7564C" w:rsidRPr="00CB5F81" w:rsidRDefault="00A356B8" w:rsidP="003D020E">
      <w:pPr>
        <w:pStyle w:val="NormalWeb"/>
        <w:spacing w:after="120"/>
        <w:ind w:firstLine="0"/>
        <w:rPr>
          <w:rFonts w:asciiTheme="majorHAnsi" w:eastAsia="Times New Roman" w:hAnsiTheme="majorHAnsi" w:cstheme="majorHAnsi"/>
          <w:lang w:val="ro-MD"/>
        </w:rPr>
      </w:pPr>
      <w:r w:rsidRPr="00CB5F81">
        <w:rPr>
          <w:rFonts w:asciiTheme="majorHAnsi" w:eastAsia="Times New Roman" w:hAnsiTheme="majorHAnsi" w:cstheme="majorHAnsi"/>
          <w:lang w:val="ro-MD"/>
        </w:rPr>
        <w:t>După cum s-a menționat</w:t>
      </w:r>
      <w:r w:rsidR="006076E7" w:rsidRPr="00CB5F81">
        <w:rPr>
          <w:rFonts w:asciiTheme="majorHAnsi" w:eastAsia="Times New Roman" w:hAnsiTheme="majorHAnsi" w:cstheme="majorHAnsi"/>
          <w:lang w:val="ro-MD"/>
        </w:rPr>
        <w:t xml:space="preserve"> în prezentul R</w:t>
      </w:r>
      <w:r w:rsidR="00E50AFA" w:rsidRPr="00CB5F81">
        <w:rPr>
          <w:rFonts w:asciiTheme="majorHAnsi" w:eastAsia="Times New Roman" w:hAnsiTheme="majorHAnsi" w:cstheme="majorHAnsi"/>
          <w:lang w:val="ro-MD"/>
        </w:rPr>
        <w:t>aport</w:t>
      </w:r>
      <w:r w:rsidRPr="00CB5F81">
        <w:rPr>
          <w:rFonts w:asciiTheme="majorHAnsi" w:eastAsia="Times New Roman" w:hAnsiTheme="majorHAnsi" w:cstheme="majorHAnsi"/>
          <w:lang w:val="ro-MD"/>
        </w:rPr>
        <w:t xml:space="preserve"> </w:t>
      </w:r>
      <w:r w:rsidR="006076E7" w:rsidRPr="00CB5F81">
        <w:rPr>
          <w:rFonts w:asciiTheme="majorHAnsi" w:eastAsia="Times New Roman" w:hAnsiTheme="majorHAnsi" w:cstheme="majorHAnsi"/>
          <w:lang w:val="ro-MD"/>
        </w:rPr>
        <w:t xml:space="preserve">de audit </w:t>
      </w:r>
      <w:r w:rsidR="0074792E">
        <w:rPr>
          <w:rFonts w:asciiTheme="majorHAnsi" w:eastAsia="Times New Roman" w:hAnsiTheme="majorHAnsi" w:cstheme="majorHAnsi"/>
          <w:lang w:val="ro-MD"/>
        </w:rPr>
        <w:t>,</w:t>
      </w:r>
      <w:r w:rsidR="002022E4">
        <w:rPr>
          <w:rFonts w:asciiTheme="majorHAnsi" w:eastAsia="Times New Roman" w:hAnsiTheme="majorHAnsi" w:cstheme="majorHAnsi"/>
          <w:lang w:val="ro-MD"/>
        </w:rPr>
        <w:t xml:space="preserve"> Codul fiscal conține doar </w:t>
      </w:r>
      <w:r w:rsidRPr="00CB5F81">
        <w:rPr>
          <w:rFonts w:asciiTheme="majorHAnsi" w:eastAsia="Times New Roman" w:hAnsiTheme="majorHAnsi" w:cstheme="majorHAnsi"/>
          <w:lang w:val="ro-MD"/>
        </w:rPr>
        <w:t>n</w:t>
      </w:r>
      <w:r w:rsidR="00E7564C" w:rsidRPr="00CB5F81">
        <w:rPr>
          <w:rFonts w:asciiTheme="majorHAnsi" w:eastAsia="Times New Roman" w:hAnsiTheme="majorHAnsi" w:cstheme="majorHAnsi"/>
          <w:lang w:val="ro-MD"/>
        </w:rPr>
        <w:t xml:space="preserve">oțiunea </w:t>
      </w:r>
      <w:r w:rsidR="000C2934" w:rsidRPr="00CB5F81">
        <w:rPr>
          <w:rFonts w:asciiTheme="majorHAnsi" w:eastAsia="Times New Roman" w:hAnsiTheme="majorHAnsi" w:cstheme="majorHAnsi"/>
          <w:lang w:val="ro-MD"/>
        </w:rPr>
        <w:t xml:space="preserve">și </w:t>
      </w:r>
      <w:r w:rsidR="003D020E" w:rsidRPr="00CB5F81">
        <w:rPr>
          <w:rFonts w:asciiTheme="majorHAnsi" w:eastAsia="Times New Roman" w:hAnsiTheme="majorHAnsi" w:cstheme="majorHAnsi"/>
          <w:lang w:val="ro-MD"/>
        </w:rPr>
        <w:t xml:space="preserve">tipurile de facilități </w:t>
      </w:r>
      <w:r w:rsidR="000C2934" w:rsidRPr="00CB5F81">
        <w:rPr>
          <w:rFonts w:asciiTheme="majorHAnsi" w:eastAsia="Times New Roman" w:hAnsiTheme="majorHAnsi" w:cstheme="majorHAnsi"/>
          <w:lang w:val="ro-MD"/>
        </w:rPr>
        <w:t>fiscale</w:t>
      </w:r>
      <w:r w:rsidR="002022E4">
        <w:rPr>
          <w:rFonts w:asciiTheme="majorHAnsi" w:eastAsia="Times New Roman" w:hAnsiTheme="majorHAnsi" w:cstheme="majorHAnsi"/>
          <w:lang w:val="ro-MD"/>
        </w:rPr>
        <w:t xml:space="preserve">. Alte </w:t>
      </w:r>
      <w:r w:rsidR="003D020E" w:rsidRPr="00CB5F81">
        <w:rPr>
          <w:rFonts w:asciiTheme="majorHAnsi" w:eastAsia="Times New Roman" w:hAnsiTheme="majorHAnsi" w:cstheme="majorHAnsi"/>
          <w:lang w:val="ro-MD"/>
        </w:rPr>
        <w:t xml:space="preserve">reglementări </w:t>
      </w:r>
      <w:r w:rsidR="0074792E">
        <w:rPr>
          <w:rFonts w:asciiTheme="majorHAnsi" w:eastAsia="Times New Roman" w:hAnsiTheme="majorHAnsi" w:cstheme="majorHAnsi"/>
          <w:lang w:val="ro-MD"/>
        </w:rPr>
        <w:t>în ce privește</w:t>
      </w:r>
      <w:r w:rsidR="000C2934" w:rsidRPr="00CB5F81">
        <w:rPr>
          <w:rFonts w:asciiTheme="majorHAnsi" w:eastAsia="Times New Roman" w:hAnsiTheme="majorHAnsi" w:cstheme="majorHAnsi"/>
          <w:lang w:val="ro-MD"/>
        </w:rPr>
        <w:t xml:space="preserve"> evidența</w:t>
      </w:r>
      <w:r w:rsidR="003D020E" w:rsidRPr="00CB5F81">
        <w:rPr>
          <w:rFonts w:asciiTheme="majorHAnsi" w:eastAsia="Times New Roman" w:hAnsiTheme="majorHAnsi" w:cstheme="majorHAnsi"/>
          <w:lang w:val="ro-MD"/>
        </w:rPr>
        <w:t xml:space="preserve"> facilităților fiscale și raport</w:t>
      </w:r>
      <w:r w:rsidR="002022E4">
        <w:rPr>
          <w:rFonts w:asciiTheme="majorHAnsi" w:eastAsia="Times New Roman" w:hAnsiTheme="majorHAnsi" w:cstheme="majorHAnsi"/>
          <w:lang w:val="ro-MD"/>
        </w:rPr>
        <w:t xml:space="preserve">area </w:t>
      </w:r>
      <w:r w:rsidR="003D020E" w:rsidRPr="00CB5F81">
        <w:rPr>
          <w:rFonts w:asciiTheme="majorHAnsi" w:eastAsia="Times New Roman" w:hAnsiTheme="majorHAnsi" w:cstheme="majorHAnsi"/>
          <w:lang w:val="ro-MD"/>
        </w:rPr>
        <w:t xml:space="preserve"> valorii acestora</w:t>
      </w:r>
      <w:r w:rsidR="002022E4">
        <w:rPr>
          <w:rFonts w:asciiTheme="majorHAnsi" w:eastAsia="Times New Roman" w:hAnsiTheme="majorHAnsi" w:cstheme="majorHAnsi"/>
          <w:lang w:val="ro-MD"/>
        </w:rPr>
        <w:t xml:space="preserve"> nu sunt statuate în cadrul normativ aferent</w:t>
      </w:r>
      <w:r w:rsidR="003D020E" w:rsidRPr="00CB5F81">
        <w:rPr>
          <w:rFonts w:asciiTheme="majorHAnsi" w:eastAsia="Times New Roman" w:hAnsiTheme="majorHAnsi" w:cstheme="majorHAnsi"/>
          <w:lang w:val="ro-MD"/>
        </w:rPr>
        <w:t>.</w:t>
      </w:r>
    </w:p>
    <w:p w:rsidR="00296F27" w:rsidRPr="00CB5F81" w:rsidRDefault="003D020E" w:rsidP="00E7564C">
      <w:pPr>
        <w:pStyle w:val="NormalWeb"/>
        <w:spacing w:after="120"/>
        <w:ind w:firstLine="0"/>
        <w:rPr>
          <w:rFonts w:asciiTheme="majorHAnsi" w:eastAsia="Times New Roman" w:hAnsiTheme="majorHAnsi" w:cstheme="majorHAnsi"/>
          <w:bCs/>
          <w:lang w:val="ro-MD"/>
        </w:rPr>
      </w:pPr>
      <w:r w:rsidRPr="00CB5F81">
        <w:rPr>
          <w:rFonts w:asciiTheme="majorHAnsi" w:eastAsia="Times New Roman" w:hAnsiTheme="majorHAnsi" w:cstheme="majorHAnsi"/>
          <w:bCs/>
          <w:lang w:val="ro-MD"/>
        </w:rPr>
        <w:t>Despre necesitatea elaborării și promovării unui cadru de reglementare privind planificarea, estimarea și aprobarea facilităților fiscale</w:t>
      </w:r>
      <w:r w:rsidR="0074792E">
        <w:rPr>
          <w:rFonts w:asciiTheme="majorHAnsi" w:eastAsia="Times New Roman" w:hAnsiTheme="majorHAnsi" w:cstheme="majorHAnsi"/>
          <w:bCs/>
          <w:lang w:val="ro-MD"/>
        </w:rPr>
        <w:t>,</w:t>
      </w:r>
      <w:r w:rsidRPr="00CB5F81">
        <w:rPr>
          <w:rFonts w:asciiTheme="majorHAnsi" w:eastAsia="Times New Roman" w:hAnsiTheme="majorHAnsi" w:cstheme="majorHAnsi"/>
          <w:bCs/>
          <w:lang w:val="ro-MD"/>
        </w:rPr>
        <w:t xml:space="preserve"> cu stabilirea responsabilităților părților implicate în acest proces, ținând cont de bunele practici, Curtea de Conturi</w:t>
      </w:r>
      <w:r w:rsidR="006076E7" w:rsidRPr="00CB5F81">
        <w:rPr>
          <w:rFonts w:asciiTheme="majorHAnsi" w:eastAsia="Times New Roman" w:hAnsiTheme="majorHAnsi" w:cstheme="majorHAnsi"/>
          <w:bCs/>
          <w:lang w:val="ro-MD"/>
        </w:rPr>
        <w:t>,</w:t>
      </w:r>
      <w:r w:rsidR="00EC1EAF">
        <w:rPr>
          <w:rFonts w:asciiTheme="majorHAnsi" w:eastAsia="Times New Roman" w:hAnsiTheme="majorHAnsi" w:cstheme="majorHAnsi"/>
          <w:bCs/>
          <w:lang w:val="ro-MD"/>
        </w:rPr>
        <w:t xml:space="preserve"> </w:t>
      </w:r>
      <w:r w:rsidRPr="00CB5F81">
        <w:rPr>
          <w:rFonts w:asciiTheme="majorHAnsi" w:eastAsia="Times New Roman" w:hAnsiTheme="majorHAnsi" w:cstheme="majorHAnsi"/>
          <w:bCs/>
          <w:lang w:val="ro-MD"/>
        </w:rPr>
        <w:t>în cadrul unei misiuni de audit tematice desfășurate în anul 2016,</w:t>
      </w:r>
      <w:r w:rsidR="006076E7" w:rsidRPr="00CB5F81">
        <w:rPr>
          <w:rFonts w:asciiTheme="majorHAnsi" w:eastAsia="Times New Roman" w:hAnsiTheme="majorHAnsi" w:cstheme="majorHAnsi"/>
          <w:bCs/>
          <w:lang w:val="ro-MD"/>
        </w:rPr>
        <w:t xml:space="preserve"> a menționat acest fapt</w:t>
      </w:r>
      <w:r w:rsidR="0074792E">
        <w:rPr>
          <w:rFonts w:asciiTheme="majorHAnsi" w:eastAsia="Times New Roman" w:hAnsiTheme="majorHAnsi" w:cstheme="majorHAnsi"/>
          <w:bCs/>
          <w:lang w:val="ro-MD"/>
        </w:rPr>
        <w:t>,</w:t>
      </w:r>
      <w:r w:rsidRPr="00CB5F81">
        <w:rPr>
          <w:rFonts w:asciiTheme="majorHAnsi" w:eastAsia="Times New Roman" w:hAnsiTheme="majorHAnsi" w:cstheme="majorHAnsi"/>
          <w:bCs/>
          <w:lang w:val="ro-MD"/>
        </w:rPr>
        <w:t xml:space="preserve"> fiind înaintate</w:t>
      </w:r>
      <w:r w:rsidR="006076E7" w:rsidRPr="00CB5F81">
        <w:rPr>
          <w:rFonts w:asciiTheme="majorHAnsi" w:eastAsia="Times New Roman" w:hAnsiTheme="majorHAnsi" w:cstheme="majorHAnsi"/>
          <w:bCs/>
          <w:lang w:val="ro-MD"/>
        </w:rPr>
        <w:t xml:space="preserve"> în acest sens</w:t>
      </w:r>
      <w:r w:rsidRPr="00CB5F81">
        <w:rPr>
          <w:rFonts w:asciiTheme="majorHAnsi" w:eastAsia="Times New Roman" w:hAnsiTheme="majorHAnsi" w:cstheme="majorHAnsi"/>
          <w:bCs/>
          <w:lang w:val="ro-MD"/>
        </w:rPr>
        <w:t xml:space="preserve"> și recomandări specifice</w:t>
      </w:r>
      <w:r w:rsidRPr="00CB5F81">
        <w:rPr>
          <w:rStyle w:val="FootnoteReference"/>
          <w:rFonts w:asciiTheme="majorHAnsi" w:eastAsia="Times New Roman" w:hAnsiTheme="majorHAnsi" w:cstheme="majorHAnsi"/>
          <w:bCs/>
          <w:lang w:val="ro-MD"/>
        </w:rPr>
        <w:footnoteReference w:id="11"/>
      </w:r>
      <w:r w:rsidRPr="00CB5F81">
        <w:rPr>
          <w:rFonts w:asciiTheme="majorHAnsi" w:eastAsia="Times New Roman" w:hAnsiTheme="majorHAnsi" w:cstheme="majorHAnsi"/>
          <w:bCs/>
          <w:lang w:val="ro-MD"/>
        </w:rPr>
        <w:t>. În cadrul prezentului audit s-a constatat că lacune</w:t>
      </w:r>
      <w:r w:rsidR="006076E7" w:rsidRPr="00CB5F81">
        <w:rPr>
          <w:rFonts w:asciiTheme="majorHAnsi" w:eastAsia="Times New Roman" w:hAnsiTheme="majorHAnsi" w:cstheme="majorHAnsi"/>
          <w:bCs/>
          <w:lang w:val="ro-MD"/>
        </w:rPr>
        <w:t>le</w:t>
      </w:r>
      <w:r w:rsidRPr="00CB5F81">
        <w:rPr>
          <w:rFonts w:asciiTheme="majorHAnsi" w:eastAsia="Times New Roman" w:hAnsiTheme="majorHAnsi" w:cstheme="majorHAnsi"/>
          <w:bCs/>
          <w:lang w:val="ro-MD"/>
        </w:rPr>
        <w:t xml:space="preserve"> și viduri</w:t>
      </w:r>
      <w:r w:rsidR="006076E7" w:rsidRPr="00CB5F81">
        <w:rPr>
          <w:rFonts w:asciiTheme="majorHAnsi" w:eastAsia="Times New Roman" w:hAnsiTheme="majorHAnsi" w:cstheme="majorHAnsi"/>
          <w:bCs/>
          <w:lang w:val="ro-MD"/>
        </w:rPr>
        <w:t>le</w:t>
      </w:r>
      <w:r w:rsidRPr="00CB5F81">
        <w:rPr>
          <w:rFonts w:asciiTheme="majorHAnsi" w:eastAsia="Times New Roman" w:hAnsiTheme="majorHAnsi" w:cstheme="majorHAnsi"/>
          <w:bCs/>
          <w:lang w:val="ro-MD"/>
        </w:rPr>
        <w:t xml:space="preserve"> legislative</w:t>
      </w:r>
      <w:r w:rsidR="0074792E">
        <w:rPr>
          <w:rFonts w:asciiTheme="majorHAnsi" w:eastAsia="Times New Roman" w:hAnsiTheme="majorHAnsi" w:cstheme="majorHAnsi"/>
          <w:bCs/>
          <w:lang w:val="ro-MD"/>
        </w:rPr>
        <w:t>,</w:t>
      </w:r>
      <w:r w:rsidR="0007312B" w:rsidRPr="00CB5F81">
        <w:rPr>
          <w:rFonts w:asciiTheme="majorHAnsi" w:eastAsia="Times New Roman" w:hAnsiTheme="majorHAnsi" w:cstheme="majorHAnsi"/>
          <w:bCs/>
          <w:lang w:val="ro-MD"/>
        </w:rPr>
        <w:t xml:space="preserve"> </w:t>
      </w:r>
      <w:r w:rsidR="0074792E">
        <w:rPr>
          <w:rFonts w:asciiTheme="majorHAnsi" w:eastAsia="Times New Roman" w:hAnsiTheme="majorHAnsi" w:cstheme="majorHAnsi"/>
          <w:bCs/>
          <w:lang w:val="ro-MD"/>
        </w:rPr>
        <w:t>e</w:t>
      </w:r>
      <w:r w:rsidR="0007312B" w:rsidRPr="00CB5F81">
        <w:rPr>
          <w:rFonts w:asciiTheme="majorHAnsi" w:eastAsia="Times New Roman" w:hAnsiTheme="majorHAnsi" w:cstheme="majorHAnsi"/>
          <w:bCs/>
          <w:lang w:val="ro-MD"/>
        </w:rPr>
        <w:t>nunțate anterior,</w:t>
      </w:r>
      <w:r w:rsidRPr="00CB5F81">
        <w:rPr>
          <w:rFonts w:asciiTheme="majorHAnsi" w:eastAsia="Times New Roman" w:hAnsiTheme="majorHAnsi" w:cstheme="majorHAnsi"/>
          <w:bCs/>
          <w:lang w:val="ro-MD"/>
        </w:rPr>
        <w:t xml:space="preserve"> persistă și cauzează derapaje în buna administrare a sistemului de facilități fiscale.</w:t>
      </w:r>
    </w:p>
    <w:p w:rsidR="00296F27" w:rsidRPr="00CB5F81" w:rsidRDefault="00296F27" w:rsidP="00E7564C">
      <w:pPr>
        <w:pStyle w:val="NormalWeb"/>
        <w:spacing w:after="120"/>
        <w:ind w:firstLine="0"/>
        <w:rPr>
          <w:rFonts w:asciiTheme="majorHAnsi" w:eastAsia="Times New Roman" w:hAnsiTheme="majorHAnsi" w:cstheme="majorHAnsi"/>
          <w:bCs/>
          <w:lang w:val="ro-MD"/>
        </w:rPr>
      </w:pPr>
      <w:r w:rsidRPr="00CB5F81">
        <w:rPr>
          <w:rFonts w:asciiTheme="majorHAnsi" w:eastAsia="Times New Roman" w:hAnsiTheme="majorHAnsi" w:cstheme="majorHAnsi"/>
          <w:bCs/>
          <w:lang w:val="ro-MD"/>
        </w:rPr>
        <w:t xml:space="preserve">La fel, despre necesitatea completării </w:t>
      </w:r>
      <w:r w:rsidRPr="00CB5F81">
        <w:rPr>
          <w:rFonts w:asciiTheme="majorHAnsi" w:eastAsia="Times New Roman" w:hAnsiTheme="majorHAnsi" w:cstheme="majorHAnsi"/>
          <w:lang w:val="ro-MD"/>
        </w:rPr>
        <w:t xml:space="preserve">Legii </w:t>
      </w:r>
      <w:r w:rsidR="0074792E">
        <w:rPr>
          <w:rFonts w:asciiTheme="majorHAnsi" w:eastAsia="Times New Roman" w:hAnsiTheme="majorHAnsi" w:cstheme="majorHAnsi"/>
          <w:lang w:val="ro-MD"/>
        </w:rPr>
        <w:t>nr.</w:t>
      </w:r>
      <w:r w:rsidRPr="00CB5F81">
        <w:rPr>
          <w:rFonts w:asciiTheme="majorHAnsi" w:eastAsia="Times New Roman" w:hAnsiTheme="majorHAnsi" w:cstheme="majorHAnsi"/>
          <w:lang w:val="ro-MD"/>
        </w:rPr>
        <w:t xml:space="preserve">181/2014 cu norme care </w:t>
      </w:r>
      <w:r w:rsidR="0007312B" w:rsidRPr="00CB5F81">
        <w:rPr>
          <w:rFonts w:asciiTheme="majorHAnsi" w:eastAsia="Times New Roman" w:hAnsiTheme="majorHAnsi" w:cstheme="majorHAnsi"/>
          <w:lang w:val="ro-MD"/>
        </w:rPr>
        <w:t xml:space="preserve">ar reglementa </w:t>
      </w:r>
      <w:r w:rsidRPr="00CB5F81">
        <w:rPr>
          <w:rFonts w:asciiTheme="majorHAnsi" w:eastAsia="Times New Roman" w:hAnsiTheme="majorHAnsi" w:cstheme="majorHAnsi"/>
          <w:lang w:val="ro-MD"/>
        </w:rPr>
        <w:t>evaluarea costurilor facilităților fiscale și asigurarea unei transparențe în utilizarea banului public s-a semnalat și de către organizațiile reprezentante a</w:t>
      </w:r>
      <w:r w:rsidR="00240F3F">
        <w:rPr>
          <w:rFonts w:asciiTheme="majorHAnsi" w:eastAsia="Times New Roman" w:hAnsiTheme="majorHAnsi" w:cstheme="majorHAnsi"/>
          <w:lang w:val="ro-MD"/>
        </w:rPr>
        <w:t>le</w:t>
      </w:r>
      <w:r w:rsidRPr="00CB5F81">
        <w:rPr>
          <w:rFonts w:asciiTheme="majorHAnsi" w:eastAsia="Times New Roman" w:hAnsiTheme="majorHAnsi" w:cstheme="majorHAnsi"/>
          <w:lang w:val="ro-MD"/>
        </w:rPr>
        <w:t xml:space="preserve"> societății civile în anul 2021</w:t>
      </w:r>
      <w:r w:rsidRPr="00CB5F81">
        <w:rPr>
          <w:rStyle w:val="FootnoteReference"/>
          <w:rFonts w:asciiTheme="majorHAnsi" w:eastAsia="Times New Roman" w:hAnsiTheme="majorHAnsi" w:cstheme="majorHAnsi"/>
          <w:lang w:val="ro-MD"/>
        </w:rPr>
        <w:footnoteReference w:id="12"/>
      </w:r>
      <w:r w:rsidRPr="00CB5F81">
        <w:rPr>
          <w:rFonts w:asciiTheme="majorHAnsi" w:eastAsia="Times New Roman" w:hAnsiTheme="majorHAnsi" w:cstheme="majorHAnsi"/>
          <w:lang w:val="ro-MD"/>
        </w:rPr>
        <w:t>.</w:t>
      </w:r>
      <w:r w:rsidR="00EC1EAF">
        <w:rPr>
          <w:rFonts w:asciiTheme="majorHAnsi" w:eastAsia="Times New Roman" w:hAnsiTheme="majorHAnsi" w:cstheme="majorHAnsi"/>
          <w:lang w:val="ro-MD"/>
        </w:rPr>
        <w:t xml:space="preserve"> </w:t>
      </w:r>
    </w:p>
    <w:p w:rsidR="00291095" w:rsidRPr="00CB5F81" w:rsidRDefault="00291095" w:rsidP="00040BCB">
      <w:pPr>
        <w:pStyle w:val="NormalWeb"/>
        <w:spacing w:after="120"/>
        <w:ind w:firstLine="0"/>
        <w:rPr>
          <w:rFonts w:asciiTheme="majorHAnsi" w:hAnsiTheme="majorHAnsi" w:cstheme="majorHAnsi"/>
          <w:color w:val="000000"/>
          <w:lang w:val="ro-MD"/>
        </w:rPr>
      </w:pPr>
      <w:r w:rsidRPr="00CB5F81">
        <w:rPr>
          <w:rFonts w:asciiTheme="majorHAnsi" w:hAnsiTheme="majorHAnsi" w:cstheme="majorHAnsi"/>
          <w:lang w:val="ro-MD"/>
        </w:rPr>
        <w:t xml:space="preserve">Semnarea Acordului </w:t>
      </w:r>
      <w:r w:rsidRPr="00303FD0">
        <w:rPr>
          <w:rFonts w:asciiTheme="majorHAnsi" w:hAnsiTheme="majorHAnsi" w:cstheme="majorHAnsi"/>
          <w:lang w:val="ro-MD"/>
        </w:rPr>
        <w:t xml:space="preserve">de asociere </w:t>
      </w:r>
      <w:r w:rsidR="00303FD0" w:rsidRPr="000B0D94">
        <w:rPr>
          <w:rFonts w:asciiTheme="majorHAnsi" w:hAnsiTheme="majorHAnsi" w:cstheme="majorHAnsi"/>
          <w:lang w:val="ro-MD"/>
        </w:rPr>
        <w:t xml:space="preserve">încheiat între </w:t>
      </w:r>
      <w:r w:rsidRPr="00303FD0">
        <w:rPr>
          <w:rFonts w:asciiTheme="majorHAnsi" w:hAnsiTheme="majorHAnsi" w:cstheme="majorHAnsi"/>
          <w:lang w:val="ro-MD"/>
        </w:rPr>
        <w:t>R</w:t>
      </w:r>
      <w:r w:rsidR="00E04E1E">
        <w:rPr>
          <w:rFonts w:asciiTheme="majorHAnsi" w:hAnsiTheme="majorHAnsi" w:cstheme="majorHAnsi"/>
          <w:lang w:val="ro-MD"/>
        </w:rPr>
        <w:t xml:space="preserve">epublica </w:t>
      </w:r>
      <w:r w:rsidRPr="00303FD0">
        <w:rPr>
          <w:rFonts w:asciiTheme="majorHAnsi" w:hAnsiTheme="majorHAnsi" w:cstheme="majorHAnsi"/>
          <w:lang w:val="ro-MD"/>
        </w:rPr>
        <w:t>M</w:t>
      </w:r>
      <w:r w:rsidR="00E04E1E">
        <w:rPr>
          <w:rFonts w:asciiTheme="majorHAnsi" w:hAnsiTheme="majorHAnsi" w:cstheme="majorHAnsi"/>
          <w:lang w:val="ro-MD"/>
        </w:rPr>
        <w:t>oldova</w:t>
      </w:r>
      <w:r w:rsidR="00303FD0" w:rsidRPr="000B0D94">
        <w:rPr>
          <w:rFonts w:asciiTheme="majorHAnsi" w:hAnsiTheme="majorHAnsi" w:cstheme="majorHAnsi"/>
          <w:lang w:val="ro-MD"/>
        </w:rPr>
        <w:t xml:space="preserve"> și </w:t>
      </w:r>
      <w:r w:rsidRPr="00303FD0">
        <w:rPr>
          <w:rFonts w:asciiTheme="majorHAnsi" w:hAnsiTheme="majorHAnsi" w:cstheme="majorHAnsi"/>
          <w:lang w:val="ro-MD"/>
        </w:rPr>
        <w:t>U</w:t>
      </w:r>
      <w:r w:rsidR="00E04E1E">
        <w:rPr>
          <w:rFonts w:asciiTheme="majorHAnsi" w:hAnsiTheme="majorHAnsi" w:cstheme="majorHAnsi"/>
          <w:lang w:val="ro-MD"/>
        </w:rPr>
        <w:t xml:space="preserve">niunea </w:t>
      </w:r>
      <w:r w:rsidRPr="00303FD0">
        <w:rPr>
          <w:rFonts w:asciiTheme="majorHAnsi" w:hAnsiTheme="majorHAnsi" w:cstheme="majorHAnsi"/>
          <w:lang w:val="ro-MD"/>
        </w:rPr>
        <w:t>E</w:t>
      </w:r>
      <w:r w:rsidR="00E04E1E">
        <w:rPr>
          <w:rFonts w:asciiTheme="majorHAnsi" w:hAnsiTheme="majorHAnsi" w:cstheme="majorHAnsi"/>
          <w:lang w:val="ro-MD"/>
        </w:rPr>
        <w:t>uropeană</w:t>
      </w:r>
      <w:r w:rsidRPr="00303FD0">
        <w:rPr>
          <w:rFonts w:asciiTheme="majorHAnsi" w:hAnsiTheme="majorHAnsi" w:cstheme="majorHAnsi"/>
          <w:lang w:val="ro-MD"/>
        </w:rPr>
        <w:t xml:space="preserve"> a condiționat</w:t>
      </w:r>
      <w:r w:rsidRPr="00CB5F81">
        <w:rPr>
          <w:rFonts w:asciiTheme="majorHAnsi" w:hAnsiTheme="majorHAnsi" w:cstheme="majorHAnsi"/>
          <w:lang w:val="ro-MD"/>
        </w:rPr>
        <w:t xml:space="preserve"> </w:t>
      </w:r>
      <w:r w:rsidRPr="00CB5F81">
        <w:rPr>
          <w:rFonts w:asciiTheme="majorHAnsi" w:hAnsiTheme="majorHAnsi" w:cstheme="majorHAnsi"/>
          <w:color w:val="000000"/>
          <w:lang w:val="ro-MD"/>
        </w:rPr>
        <w:t xml:space="preserve">armonizarea legislației fiscale </w:t>
      </w:r>
      <w:r w:rsidR="00240F3F">
        <w:rPr>
          <w:rFonts w:asciiTheme="majorHAnsi" w:hAnsiTheme="majorHAnsi" w:cstheme="majorHAnsi"/>
          <w:color w:val="000000"/>
          <w:lang w:val="ro-MD"/>
        </w:rPr>
        <w:t>cu</w:t>
      </w:r>
      <w:r w:rsidRPr="00CB5F81">
        <w:rPr>
          <w:rFonts w:asciiTheme="majorHAnsi" w:hAnsiTheme="majorHAnsi" w:cstheme="majorHAnsi"/>
          <w:color w:val="000000"/>
          <w:lang w:val="ro-MD"/>
        </w:rPr>
        <w:t xml:space="preserve"> bunele p</w:t>
      </w:r>
      <w:r w:rsidR="002022E4">
        <w:rPr>
          <w:rFonts w:asciiTheme="majorHAnsi" w:hAnsiTheme="majorHAnsi" w:cstheme="majorHAnsi"/>
          <w:color w:val="000000"/>
          <w:lang w:val="ro-MD"/>
        </w:rPr>
        <w:t>ractici stabile și previzibile</w:t>
      </w:r>
      <w:r w:rsidR="00240F3F">
        <w:rPr>
          <w:rFonts w:asciiTheme="majorHAnsi" w:hAnsiTheme="majorHAnsi" w:cstheme="majorHAnsi"/>
          <w:color w:val="000000"/>
          <w:lang w:val="ro-MD"/>
        </w:rPr>
        <w:t>. Î</w:t>
      </w:r>
      <w:r w:rsidR="002022E4">
        <w:rPr>
          <w:rFonts w:asciiTheme="majorHAnsi" w:hAnsiTheme="majorHAnsi" w:cstheme="majorHAnsi"/>
          <w:color w:val="000000"/>
          <w:lang w:val="ro-MD"/>
        </w:rPr>
        <w:t>n acest sens</w:t>
      </w:r>
      <w:r w:rsidR="00240F3F">
        <w:rPr>
          <w:rFonts w:asciiTheme="majorHAnsi" w:hAnsiTheme="majorHAnsi" w:cstheme="majorHAnsi"/>
          <w:color w:val="000000"/>
          <w:lang w:val="ro-MD"/>
        </w:rPr>
        <w:t>,</w:t>
      </w:r>
      <w:r w:rsidR="002022E4">
        <w:rPr>
          <w:rFonts w:asciiTheme="majorHAnsi" w:hAnsiTheme="majorHAnsi" w:cstheme="majorHAnsi"/>
          <w:color w:val="000000"/>
          <w:lang w:val="ro-MD"/>
        </w:rPr>
        <w:t xml:space="preserve"> o</w:t>
      </w:r>
      <w:r w:rsidR="00C918EF" w:rsidRPr="00CB5F81">
        <w:rPr>
          <w:rFonts w:asciiTheme="majorHAnsi" w:hAnsiTheme="majorHAnsi" w:cstheme="majorHAnsi"/>
          <w:color w:val="000000"/>
          <w:lang w:val="ro-MD"/>
        </w:rPr>
        <w:t xml:space="preserve"> activitate asumată de Guvern </w:t>
      </w:r>
      <w:r w:rsidR="00AF6084" w:rsidRPr="00CB5F81">
        <w:rPr>
          <w:rFonts w:asciiTheme="majorHAnsi" w:hAnsiTheme="majorHAnsi" w:cstheme="majorHAnsi"/>
          <w:color w:val="000000"/>
          <w:lang w:val="ro-MD"/>
        </w:rPr>
        <w:t xml:space="preserve">privind administrarea eficientă a impozitelor și taxelor </w:t>
      </w:r>
      <w:r w:rsidR="00C918EF" w:rsidRPr="00CB5F81">
        <w:rPr>
          <w:rFonts w:asciiTheme="majorHAnsi" w:hAnsiTheme="majorHAnsi" w:cstheme="majorHAnsi"/>
          <w:color w:val="000000"/>
          <w:lang w:val="ro-MD"/>
        </w:rPr>
        <w:t xml:space="preserve">ține de elaborarea unui nou </w:t>
      </w:r>
      <w:r w:rsidR="00AF6084" w:rsidRPr="00CB5F81">
        <w:rPr>
          <w:rFonts w:asciiTheme="majorHAnsi" w:hAnsiTheme="majorHAnsi" w:cstheme="majorHAnsi"/>
          <w:color w:val="000000"/>
          <w:lang w:val="ro-MD"/>
        </w:rPr>
        <w:t xml:space="preserve">Cod fiscal. În </w:t>
      </w:r>
      <w:r w:rsidRPr="00CB5F81">
        <w:rPr>
          <w:rFonts w:asciiTheme="majorHAnsi" w:hAnsiTheme="majorHAnsi" w:cstheme="majorHAnsi"/>
          <w:color w:val="000000"/>
          <w:lang w:val="ro-MD"/>
        </w:rPr>
        <w:t>condiții</w:t>
      </w:r>
      <w:r w:rsidR="00240F3F">
        <w:rPr>
          <w:rFonts w:asciiTheme="majorHAnsi" w:hAnsiTheme="majorHAnsi" w:cstheme="majorHAnsi"/>
          <w:color w:val="000000"/>
          <w:lang w:val="ro-MD"/>
        </w:rPr>
        <w:t>le date,</w:t>
      </w:r>
      <w:r w:rsidRPr="00CB5F81">
        <w:rPr>
          <w:rFonts w:asciiTheme="majorHAnsi" w:hAnsiTheme="majorHAnsi" w:cstheme="majorHAnsi"/>
          <w:color w:val="000000"/>
          <w:lang w:val="ro-MD"/>
        </w:rPr>
        <w:t xml:space="preserve"> este imper</w:t>
      </w:r>
      <w:r w:rsidR="00C918EF" w:rsidRPr="00CB5F81">
        <w:rPr>
          <w:rFonts w:asciiTheme="majorHAnsi" w:hAnsiTheme="majorHAnsi" w:cstheme="majorHAnsi"/>
          <w:color w:val="000000"/>
          <w:lang w:val="ro-MD"/>
        </w:rPr>
        <w:t>io</w:t>
      </w:r>
      <w:r w:rsidR="00240F3F">
        <w:rPr>
          <w:rFonts w:asciiTheme="majorHAnsi" w:hAnsiTheme="majorHAnsi" w:cstheme="majorHAnsi"/>
          <w:color w:val="000000"/>
          <w:lang w:val="ro-MD"/>
        </w:rPr>
        <w:t>asă</w:t>
      </w:r>
      <w:r w:rsidR="00AF6084" w:rsidRPr="00CB5F81">
        <w:rPr>
          <w:rFonts w:asciiTheme="majorHAnsi" w:hAnsiTheme="majorHAnsi" w:cstheme="majorHAnsi"/>
          <w:color w:val="000000"/>
          <w:lang w:val="ro-MD"/>
        </w:rPr>
        <w:t xml:space="preserve"> </w:t>
      </w:r>
      <w:r w:rsidR="00AF6084" w:rsidRPr="005E3BE8">
        <w:rPr>
          <w:rFonts w:asciiTheme="majorHAnsi" w:hAnsiTheme="majorHAnsi" w:cstheme="majorHAnsi"/>
          <w:color w:val="000000"/>
          <w:lang w:val="ro-MD"/>
        </w:rPr>
        <w:t>revizuirea acestui segment</w:t>
      </w:r>
      <w:r w:rsidR="00C918EF" w:rsidRPr="005E3BE8">
        <w:rPr>
          <w:rFonts w:asciiTheme="majorHAnsi" w:hAnsiTheme="majorHAnsi" w:cstheme="majorHAnsi"/>
          <w:color w:val="000000"/>
          <w:lang w:val="ro-MD"/>
        </w:rPr>
        <w:t>,</w:t>
      </w:r>
      <w:r w:rsidR="00074205" w:rsidRPr="005E3BE8">
        <w:rPr>
          <w:rFonts w:asciiTheme="majorHAnsi" w:hAnsiTheme="majorHAnsi" w:cstheme="majorHAnsi"/>
          <w:color w:val="000000"/>
          <w:lang w:val="ro-MD"/>
        </w:rPr>
        <w:t xml:space="preserve"> </w:t>
      </w:r>
      <w:r w:rsidR="00240F3F" w:rsidRPr="005E3BE8">
        <w:rPr>
          <w:rFonts w:asciiTheme="majorHAnsi" w:hAnsiTheme="majorHAnsi" w:cstheme="majorHAnsi"/>
          <w:color w:val="000000"/>
          <w:lang w:val="ro-MD"/>
        </w:rPr>
        <w:t>având în vedere</w:t>
      </w:r>
      <w:r w:rsidR="00074205" w:rsidRPr="005E3BE8">
        <w:rPr>
          <w:rFonts w:asciiTheme="majorHAnsi" w:hAnsiTheme="majorHAnsi" w:cstheme="majorHAnsi"/>
          <w:color w:val="000000"/>
          <w:lang w:val="ro-MD"/>
        </w:rPr>
        <w:t xml:space="preserve"> că partea preponderentă</w:t>
      </w:r>
      <w:r w:rsidR="00EC1EAF" w:rsidRPr="005E3BE8">
        <w:rPr>
          <w:rFonts w:asciiTheme="majorHAnsi" w:hAnsiTheme="majorHAnsi" w:cstheme="majorHAnsi"/>
          <w:color w:val="000000"/>
          <w:lang w:val="ro-MD"/>
        </w:rPr>
        <w:t xml:space="preserve"> </w:t>
      </w:r>
      <w:r w:rsidR="00074205" w:rsidRPr="005E3BE8">
        <w:rPr>
          <w:rFonts w:asciiTheme="majorHAnsi" w:hAnsiTheme="majorHAnsi" w:cstheme="majorHAnsi"/>
          <w:color w:val="000000"/>
          <w:lang w:val="ro-MD"/>
        </w:rPr>
        <w:t>a</w:t>
      </w:r>
      <w:r w:rsidR="00EC1EAF" w:rsidRPr="005E3BE8">
        <w:rPr>
          <w:rFonts w:asciiTheme="majorHAnsi" w:hAnsiTheme="majorHAnsi" w:cstheme="majorHAnsi"/>
          <w:color w:val="000000"/>
          <w:lang w:val="ro-MD"/>
        </w:rPr>
        <w:t xml:space="preserve"> </w:t>
      </w:r>
      <w:r w:rsidR="00074205" w:rsidRPr="005E3BE8">
        <w:rPr>
          <w:rFonts w:asciiTheme="majorHAnsi" w:hAnsiTheme="majorHAnsi" w:cstheme="majorHAnsi"/>
          <w:color w:val="000000"/>
          <w:lang w:val="ro-MD"/>
        </w:rPr>
        <w:t xml:space="preserve">facilităților </w:t>
      </w:r>
      <w:r w:rsidR="0007312B" w:rsidRPr="005E3BE8">
        <w:rPr>
          <w:rFonts w:asciiTheme="majorHAnsi" w:hAnsiTheme="majorHAnsi" w:cstheme="majorHAnsi"/>
          <w:color w:val="000000"/>
          <w:lang w:val="ro-MD"/>
        </w:rPr>
        <w:t>a fost instituit</w:t>
      </w:r>
      <w:r w:rsidR="0007312B" w:rsidRPr="00BD1BF5">
        <w:rPr>
          <w:rFonts w:asciiTheme="majorHAnsi" w:hAnsiTheme="majorHAnsi" w:cstheme="majorHAnsi"/>
          <w:color w:val="000000"/>
          <w:lang w:val="ro-MD"/>
        </w:rPr>
        <w:t>ă</w:t>
      </w:r>
      <w:r w:rsidR="00074205" w:rsidRPr="00BD1BF5">
        <w:rPr>
          <w:rFonts w:asciiTheme="majorHAnsi" w:hAnsiTheme="majorHAnsi" w:cstheme="majorHAnsi"/>
          <w:color w:val="000000"/>
          <w:lang w:val="ro-MD"/>
        </w:rPr>
        <w:t xml:space="preserve"> 10-15 ani</w:t>
      </w:r>
      <w:r w:rsidR="00303FD0" w:rsidRPr="00BD1BF5">
        <w:rPr>
          <w:rFonts w:asciiTheme="majorHAnsi" w:hAnsiTheme="majorHAnsi" w:cstheme="majorHAnsi"/>
          <w:color w:val="000000"/>
          <w:lang w:val="ro-MD"/>
        </w:rPr>
        <w:t xml:space="preserve"> în urmă</w:t>
      </w:r>
      <w:r w:rsidR="00074205" w:rsidRPr="00BD1BF5">
        <w:rPr>
          <w:rFonts w:asciiTheme="majorHAnsi" w:hAnsiTheme="majorHAnsi" w:cstheme="majorHAnsi"/>
          <w:color w:val="000000"/>
          <w:lang w:val="ro-MD"/>
        </w:rPr>
        <w:t>, or</w:t>
      </w:r>
      <w:r w:rsidR="00240F3F" w:rsidRPr="00BD1BF5">
        <w:rPr>
          <w:rFonts w:asciiTheme="majorHAnsi" w:hAnsiTheme="majorHAnsi" w:cstheme="majorHAnsi"/>
          <w:color w:val="000000"/>
          <w:lang w:val="ro-MD"/>
        </w:rPr>
        <w:t>,</w:t>
      </w:r>
      <w:r w:rsidR="00074205" w:rsidRPr="00BD1BF5">
        <w:rPr>
          <w:rFonts w:asciiTheme="majorHAnsi" w:hAnsiTheme="majorHAnsi" w:cstheme="majorHAnsi"/>
          <w:color w:val="000000"/>
          <w:lang w:val="ro-MD"/>
        </w:rPr>
        <w:t xml:space="preserve"> de la</w:t>
      </w:r>
      <w:r w:rsidR="00074205" w:rsidRPr="005E3BE8">
        <w:rPr>
          <w:rFonts w:asciiTheme="majorHAnsi" w:hAnsiTheme="majorHAnsi" w:cstheme="majorHAnsi"/>
          <w:color w:val="000000"/>
          <w:lang w:val="ro-MD"/>
        </w:rPr>
        <w:t xml:space="preserve"> adoptarea Codului fiscal, fiind necesar de </w:t>
      </w:r>
      <w:r w:rsidRPr="005E3BE8">
        <w:rPr>
          <w:rFonts w:asciiTheme="majorHAnsi" w:hAnsiTheme="majorHAnsi" w:cstheme="majorHAnsi"/>
          <w:color w:val="000000"/>
          <w:lang w:val="ro-MD"/>
        </w:rPr>
        <w:t>dezvolt</w:t>
      </w:r>
      <w:r w:rsidR="00C918EF" w:rsidRPr="005E3BE8">
        <w:rPr>
          <w:rFonts w:asciiTheme="majorHAnsi" w:hAnsiTheme="majorHAnsi" w:cstheme="majorHAnsi"/>
          <w:color w:val="000000"/>
          <w:lang w:val="ro-MD"/>
        </w:rPr>
        <w:t xml:space="preserve">at </w:t>
      </w:r>
      <w:r w:rsidRPr="005E3BE8">
        <w:rPr>
          <w:rFonts w:asciiTheme="majorHAnsi" w:hAnsiTheme="majorHAnsi" w:cstheme="majorHAnsi"/>
          <w:color w:val="000000"/>
          <w:lang w:val="ro-MD"/>
        </w:rPr>
        <w:t>cadrul juridic</w:t>
      </w:r>
      <w:r w:rsidR="00240F3F" w:rsidRPr="005E3BE8">
        <w:rPr>
          <w:rFonts w:asciiTheme="majorHAnsi" w:hAnsiTheme="majorHAnsi" w:cstheme="majorHAnsi"/>
          <w:color w:val="000000"/>
          <w:lang w:val="ro-MD"/>
        </w:rPr>
        <w:t>,</w:t>
      </w:r>
      <w:r w:rsidRPr="005E3BE8">
        <w:rPr>
          <w:rFonts w:asciiTheme="majorHAnsi" w:hAnsiTheme="majorHAnsi" w:cstheme="majorHAnsi"/>
          <w:color w:val="000000"/>
          <w:lang w:val="ro-MD"/>
        </w:rPr>
        <w:t xml:space="preserve"> </w:t>
      </w:r>
      <w:r w:rsidR="00C918EF" w:rsidRPr="005E3BE8">
        <w:rPr>
          <w:rFonts w:asciiTheme="majorHAnsi" w:hAnsiTheme="majorHAnsi" w:cstheme="majorHAnsi"/>
          <w:color w:val="000000"/>
          <w:lang w:val="ro-MD"/>
        </w:rPr>
        <w:t>care să asi</w:t>
      </w:r>
      <w:r w:rsidR="005F0E53" w:rsidRPr="005E3BE8">
        <w:rPr>
          <w:rFonts w:asciiTheme="majorHAnsi" w:hAnsiTheme="majorHAnsi" w:cstheme="majorHAnsi"/>
          <w:color w:val="000000"/>
          <w:lang w:val="ro-MD"/>
        </w:rPr>
        <w:t>gure buna guvernanță a</w:t>
      </w:r>
      <w:r w:rsidR="00EC1EAF" w:rsidRPr="005E3BE8">
        <w:rPr>
          <w:rFonts w:asciiTheme="majorHAnsi" w:hAnsiTheme="majorHAnsi" w:cstheme="majorHAnsi"/>
          <w:color w:val="000000"/>
          <w:lang w:val="ro-MD"/>
        </w:rPr>
        <w:t xml:space="preserve"> </w:t>
      </w:r>
      <w:r w:rsidRPr="005E3BE8">
        <w:rPr>
          <w:rFonts w:asciiTheme="majorHAnsi" w:hAnsiTheme="majorHAnsi" w:cstheme="majorHAnsi"/>
          <w:color w:val="000000"/>
          <w:lang w:val="ro-MD"/>
        </w:rPr>
        <w:t>sistemului de facilități fiscale</w:t>
      </w:r>
      <w:r w:rsidR="005F0E53" w:rsidRPr="005E3BE8">
        <w:rPr>
          <w:rFonts w:asciiTheme="majorHAnsi" w:hAnsiTheme="majorHAnsi" w:cstheme="majorHAnsi"/>
          <w:color w:val="000000"/>
          <w:lang w:val="ro-MD"/>
        </w:rPr>
        <w:t>.</w:t>
      </w:r>
    </w:p>
    <w:p w:rsidR="0047104A" w:rsidRPr="00CB5F81" w:rsidRDefault="00965C49" w:rsidP="00D04386">
      <w:pPr>
        <w:pStyle w:val="Heading3"/>
        <w:numPr>
          <w:ilvl w:val="2"/>
          <w:numId w:val="21"/>
        </w:numPr>
        <w:tabs>
          <w:tab w:val="left" w:pos="360"/>
          <w:tab w:val="left" w:pos="540"/>
          <w:tab w:val="left" w:pos="630"/>
        </w:tabs>
        <w:spacing w:before="200" w:after="120" w:line="240" w:lineRule="auto"/>
        <w:ind w:left="0" w:firstLine="0"/>
        <w:jc w:val="both"/>
        <w:rPr>
          <w:rFonts w:eastAsiaTheme="minorEastAsia" w:cstheme="majorHAnsi"/>
          <w:b/>
          <w:color w:val="2E74B5" w:themeColor="accent1" w:themeShade="BF"/>
          <w:lang w:eastAsia="ru-RU"/>
        </w:rPr>
      </w:pPr>
      <w:bookmarkStart w:id="24" w:name="_Toc111467869"/>
      <w:r w:rsidRPr="00CB5F81">
        <w:rPr>
          <w:rFonts w:eastAsiaTheme="minorEastAsia" w:cstheme="majorHAnsi"/>
          <w:b/>
          <w:color w:val="2E74B5" w:themeColor="accent1" w:themeShade="BF"/>
          <w:lang w:eastAsia="ru-RU"/>
        </w:rPr>
        <w:lastRenderedPageBreak/>
        <w:t xml:space="preserve">Ministerul Finanțelor înregistrează progrese </w:t>
      </w:r>
      <w:r w:rsidRPr="00303FD0">
        <w:rPr>
          <w:rFonts w:eastAsiaTheme="minorEastAsia" w:cstheme="majorHAnsi"/>
          <w:b/>
          <w:color w:val="2E74B5" w:themeColor="accent1" w:themeShade="BF"/>
          <w:lang w:eastAsia="ru-RU"/>
        </w:rPr>
        <w:t xml:space="preserve">modeste </w:t>
      </w:r>
      <w:r w:rsidR="00303FD0" w:rsidRPr="000B0D94">
        <w:rPr>
          <w:rFonts w:eastAsiaTheme="minorEastAsia" w:cstheme="majorHAnsi"/>
          <w:b/>
          <w:color w:val="2E74B5" w:themeColor="accent1" w:themeShade="BF"/>
          <w:lang w:eastAsia="ru-RU"/>
        </w:rPr>
        <w:t>în aspectul</w:t>
      </w:r>
      <w:r w:rsidR="00034682" w:rsidRPr="00705DD0">
        <w:rPr>
          <w:rFonts w:eastAsiaTheme="minorEastAsia" w:cstheme="majorHAnsi"/>
          <w:b/>
          <w:color w:val="2E74B5" w:themeColor="accent1" w:themeShade="BF"/>
          <w:lang w:eastAsia="ru-RU"/>
        </w:rPr>
        <w:t xml:space="preserve"> </w:t>
      </w:r>
      <w:r w:rsidRPr="00705DD0">
        <w:rPr>
          <w:rFonts w:eastAsiaTheme="minorEastAsia" w:cstheme="majorHAnsi"/>
          <w:b/>
          <w:color w:val="2E74B5" w:themeColor="accent1" w:themeShade="BF"/>
          <w:lang w:eastAsia="ru-RU"/>
        </w:rPr>
        <w:t>siste</w:t>
      </w:r>
      <w:r w:rsidRPr="00CB5F81">
        <w:rPr>
          <w:rFonts w:eastAsiaTheme="minorEastAsia" w:cstheme="majorHAnsi"/>
          <w:b/>
          <w:color w:val="2E74B5" w:themeColor="accent1" w:themeShade="BF"/>
          <w:lang w:eastAsia="ru-RU"/>
        </w:rPr>
        <w:t>matiz</w:t>
      </w:r>
      <w:r w:rsidR="00034682" w:rsidRPr="00CB5F81">
        <w:rPr>
          <w:rFonts w:eastAsiaTheme="minorEastAsia" w:cstheme="majorHAnsi"/>
          <w:b/>
          <w:color w:val="2E74B5" w:themeColor="accent1" w:themeShade="BF"/>
          <w:lang w:eastAsia="ru-RU"/>
        </w:rPr>
        <w:t xml:space="preserve">ării </w:t>
      </w:r>
      <w:r w:rsidR="00AA202D" w:rsidRPr="00CB5F81">
        <w:rPr>
          <w:rFonts w:eastAsiaTheme="minorEastAsia" w:cstheme="majorHAnsi"/>
          <w:b/>
          <w:color w:val="2E74B5" w:themeColor="accent1" w:themeShade="BF"/>
          <w:lang w:eastAsia="ru-RU"/>
        </w:rPr>
        <w:t>costurilor bugetare a</w:t>
      </w:r>
      <w:r w:rsidR="00240F3F">
        <w:rPr>
          <w:rFonts w:eastAsiaTheme="minorEastAsia" w:cstheme="majorHAnsi"/>
          <w:b/>
          <w:color w:val="2E74B5" w:themeColor="accent1" w:themeShade="BF"/>
          <w:lang w:eastAsia="ru-RU"/>
        </w:rPr>
        <w:t>le</w:t>
      </w:r>
      <w:r w:rsidR="00AA202D" w:rsidRPr="00CB5F81">
        <w:rPr>
          <w:rFonts w:eastAsiaTheme="minorEastAsia" w:cstheme="majorHAnsi"/>
          <w:b/>
          <w:color w:val="2E74B5" w:themeColor="accent1" w:themeShade="BF"/>
          <w:lang w:eastAsia="ru-RU"/>
        </w:rPr>
        <w:t xml:space="preserve"> </w:t>
      </w:r>
      <w:r w:rsidRPr="00CB5F81">
        <w:rPr>
          <w:rFonts w:cstheme="majorHAnsi"/>
          <w:b/>
          <w:color w:val="2E74B5" w:themeColor="accent1" w:themeShade="BF"/>
        </w:rPr>
        <w:t>facilităților fiscale</w:t>
      </w:r>
      <w:bookmarkEnd w:id="24"/>
      <w:r w:rsidR="00393827" w:rsidRPr="00CB5F81">
        <w:rPr>
          <w:rFonts w:cstheme="majorHAnsi"/>
          <w:b/>
          <w:color w:val="2E74B5" w:themeColor="accent1" w:themeShade="BF"/>
        </w:rPr>
        <w:t xml:space="preserve"> </w:t>
      </w:r>
    </w:p>
    <w:p w:rsidR="00026E3D" w:rsidRPr="00CB5F81" w:rsidRDefault="002022E4" w:rsidP="00B129B4">
      <w:pPr>
        <w:spacing w:after="120"/>
        <w:ind w:right="-187"/>
        <w:jc w:val="both"/>
        <w:rPr>
          <w:rFonts w:asciiTheme="majorHAnsi" w:eastAsiaTheme="minorEastAsia" w:hAnsiTheme="majorHAnsi" w:cstheme="majorHAnsi"/>
          <w:sz w:val="24"/>
          <w:szCs w:val="24"/>
          <w:lang w:eastAsia="ru-RU"/>
        </w:rPr>
      </w:pPr>
      <w:r>
        <w:rPr>
          <w:rFonts w:asciiTheme="majorHAnsi" w:eastAsiaTheme="minorEastAsia" w:hAnsiTheme="majorHAnsi" w:cstheme="majorHAnsi"/>
          <w:sz w:val="24"/>
          <w:szCs w:val="24"/>
          <w:lang w:eastAsia="ru-RU"/>
        </w:rPr>
        <w:t xml:space="preserve">Procesul de evaluare </w:t>
      </w:r>
      <w:r w:rsidR="00026E3D" w:rsidRPr="00CB5F81">
        <w:rPr>
          <w:rFonts w:asciiTheme="majorHAnsi" w:eastAsiaTheme="minorEastAsia" w:hAnsiTheme="majorHAnsi" w:cstheme="majorHAnsi"/>
          <w:sz w:val="24"/>
          <w:szCs w:val="24"/>
          <w:lang w:eastAsia="ru-RU"/>
        </w:rPr>
        <w:t>a spectrului de facilități fiscale, ca parte</w:t>
      </w:r>
      <w:r w:rsidR="00EC1EAF">
        <w:rPr>
          <w:rFonts w:asciiTheme="majorHAnsi" w:eastAsiaTheme="minorEastAsia" w:hAnsiTheme="majorHAnsi" w:cstheme="majorHAnsi"/>
          <w:sz w:val="24"/>
          <w:szCs w:val="24"/>
          <w:lang w:eastAsia="ru-RU"/>
        </w:rPr>
        <w:t xml:space="preserve"> </w:t>
      </w:r>
      <w:r w:rsidR="00026E3D" w:rsidRPr="00CB5F81">
        <w:rPr>
          <w:rFonts w:asciiTheme="majorHAnsi" w:eastAsiaTheme="minorEastAsia" w:hAnsiTheme="majorHAnsi" w:cstheme="majorHAnsi"/>
          <w:sz w:val="24"/>
          <w:szCs w:val="24"/>
          <w:lang w:eastAsia="ru-RU"/>
        </w:rPr>
        <w:t>componentă a</w:t>
      </w:r>
      <w:r w:rsidR="00EC1EAF">
        <w:rPr>
          <w:rFonts w:asciiTheme="majorHAnsi" w:eastAsiaTheme="minorEastAsia" w:hAnsiTheme="majorHAnsi" w:cstheme="majorHAnsi"/>
          <w:sz w:val="24"/>
          <w:szCs w:val="24"/>
          <w:lang w:eastAsia="ru-RU"/>
        </w:rPr>
        <w:t xml:space="preserve"> </w:t>
      </w:r>
      <w:r w:rsidR="00026E3D" w:rsidRPr="00CB5F81">
        <w:rPr>
          <w:rFonts w:asciiTheme="majorHAnsi" w:eastAsiaTheme="minorEastAsia" w:hAnsiTheme="majorHAnsi" w:cstheme="majorHAnsi"/>
          <w:sz w:val="24"/>
          <w:szCs w:val="24"/>
          <w:lang w:eastAsia="ru-RU"/>
        </w:rPr>
        <w:t>politicii fiscale, este unul foarte important, întrucât acestea</w:t>
      </w:r>
      <w:r w:rsidR="00EC1EAF">
        <w:rPr>
          <w:rFonts w:asciiTheme="majorHAnsi" w:eastAsiaTheme="minorEastAsia" w:hAnsiTheme="majorHAnsi" w:cstheme="majorHAnsi"/>
          <w:sz w:val="24"/>
          <w:szCs w:val="24"/>
          <w:lang w:eastAsia="ru-RU"/>
        </w:rPr>
        <w:t xml:space="preserve"> </w:t>
      </w:r>
      <w:r w:rsidR="00026E3D" w:rsidRPr="00CB5F81">
        <w:rPr>
          <w:rFonts w:asciiTheme="majorHAnsi" w:eastAsiaTheme="minorEastAsia" w:hAnsiTheme="majorHAnsi" w:cstheme="majorHAnsi"/>
          <w:sz w:val="24"/>
          <w:szCs w:val="24"/>
          <w:lang w:eastAsia="ru-RU"/>
        </w:rPr>
        <w:t>trebuie să contribuie la o creștere economică durabilă, prin atragerea de investiții și surse financiare suplimentare necesare extinderii activității economice, dar și având ca obiectiv optimizarea poverii fiscale și eficientizarea sistemului de administrare fiscală. Aceste priorități au devenit și mai eminente în anii 2020-2021</w:t>
      </w:r>
      <w:r w:rsidR="00D81051">
        <w:rPr>
          <w:rFonts w:asciiTheme="majorHAnsi" w:eastAsiaTheme="minorEastAsia" w:hAnsiTheme="majorHAnsi" w:cstheme="majorHAnsi"/>
          <w:sz w:val="24"/>
          <w:szCs w:val="24"/>
          <w:lang w:eastAsia="ru-RU"/>
        </w:rPr>
        <w:t>,</w:t>
      </w:r>
      <w:r w:rsidR="00026E3D" w:rsidRPr="00CB5F81">
        <w:rPr>
          <w:rFonts w:asciiTheme="majorHAnsi" w:eastAsiaTheme="minorEastAsia" w:hAnsiTheme="majorHAnsi" w:cstheme="majorHAnsi"/>
          <w:sz w:val="24"/>
          <w:szCs w:val="24"/>
          <w:lang w:eastAsia="ru-RU"/>
        </w:rPr>
        <w:t xml:space="preserve"> pe fundalul diverselor provocări economice, cauzate de </w:t>
      </w:r>
      <w:r w:rsidR="00026E3D" w:rsidRPr="00D81051">
        <w:rPr>
          <w:rFonts w:asciiTheme="majorHAnsi" w:eastAsiaTheme="minorEastAsia" w:hAnsiTheme="majorHAnsi" w:cstheme="majorHAnsi"/>
          <w:sz w:val="24"/>
          <w:szCs w:val="24"/>
          <w:lang w:eastAsia="ru-RU"/>
        </w:rPr>
        <w:t xml:space="preserve">pandemia </w:t>
      </w:r>
      <w:r w:rsidR="00D81051" w:rsidRPr="000B0D94">
        <w:rPr>
          <w:rFonts w:asciiTheme="majorHAnsi" w:eastAsiaTheme="minorEastAsia" w:hAnsiTheme="majorHAnsi" w:cstheme="majorHAnsi"/>
          <w:sz w:val="24"/>
          <w:szCs w:val="24"/>
          <w:lang w:eastAsia="ru-RU"/>
        </w:rPr>
        <w:t>de COVID-19</w:t>
      </w:r>
      <w:r w:rsidR="00EC1EAF">
        <w:rPr>
          <w:rFonts w:asciiTheme="majorHAnsi" w:eastAsiaTheme="minorEastAsia" w:hAnsiTheme="majorHAnsi" w:cstheme="majorHAnsi"/>
          <w:sz w:val="24"/>
          <w:szCs w:val="24"/>
          <w:lang w:eastAsia="ru-RU"/>
        </w:rPr>
        <w:t xml:space="preserve"> </w:t>
      </w:r>
      <w:r w:rsidR="00026E3D" w:rsidRPr="00CB5F81">
        <w:rPr>
          <w:rFonts w:asciiTheme="majorHAnsi" w:eastAsiaTheme="minorEastAsia" w:hAnsiTheme="majorHAnsi" w:cstheme="majorHAnsi"/>
          <w:sz w:val="24"/>
          <w:szCs w:val="24"/>
          <w:lang w:eastAsia="ru-RU"/>
        </w:rPr>
        <w:t xml:space="preserve">și </w:t>
      </w:r>
      <w:r w:rsidR="00D81051">
        <w:rPr>
          <w:rFonts w:asciiTheme="majorHAnsi" w:eastAsiaTheme="minorEastAsia" w:hAnsiTheme="majorHAnsi" w:cstheme="majorHAnsi"/>
          <w:sz w:val="24"/>
          <w:szCs w:val="24"/>
          <w:lang w:eastAsia="ru-RU"/>
        </w:rPr>
        <w:t>de</w:t>
      </w:r>
      <w:r w:rsidR="00EC1EAF">
        <w:rPr>
          <w:rFonts w:asciiTheme="majorHAnsi" w:eastAsiaTheme="minorEastAsia" w:hAnsiTheme="majorHAnsi" w:cstheme="majorHAnsi"/>
          <w:sz w:val="24"/>
          <w:szCs w:val="24"/>
          <w:lang w:eastAsia="ru-RU"/>
        </w:rPr>
        <w:t xml:space="preserve"> </w:t>
      </w:r>
      <w:r w:rsidR="00026E3D" w:rsidRPr="00CB5F81">
        <w:rPr>
          <w:rFonts w:asciiTheme="majorHAnsi" w:eastAsiaTheme="minorEastAsia" w:hAnsiTheme="majorHAnsi" w:cstheme="majorHAnsi"/>
          <w:sz w:val="24"/>
          <w:szCs w:val="24"/>
          <w:lang w:eastAsia="ru-RU"/>
        </w:rPr>
        <w:t>presiun</w:t>
      </w:r>
      <w:r w:rsidR="00D81051">
        <w:rPr>
          <w:rFonts w:asciiTheme="majorHAnsi" w:eastAsiaTheme="minorEastAsia" w:hAnsiTheme="majorHAnsi" w:cstheme="majorHAnsi"/>
          <w:sz w:val="24"/>
          <w:szCs w:val="24"/>
          <w:lang w:eastAsia="ru-RU"/>
        </w:rPr>
        <w:t>ea</w:t>
      </w:r>
      <w:r w:rsidR="00C70E4C">
        <w:rPr>
          <w:rFonts w:asciiTheme="majorHAnsi" w:eastAsiaTheme="minorEastAsia" w:hAnsiTheme="majorHAnsi" w:cstheme="majorHAnsi"/>
          <w:sz w:val="24"/>
          <w:szCs w:val="24"/>
          <w:lang w:eastAsia="ru-RU"/>
        </w:rPr>
        <w:t xml:space="preserve"> suplimentară</w:t>
      </w:r>
      <w:r w:rsidR="00026E3D" w:rsidRPr="00CB5F81">
        <w:rPr>
          <w:rFonts w:asciiTheme="majorHAnsi" w:eastAsiaTheme="minorEastAsia" w:hAnsiTheme="majorHAnsi" w:cstheme="majorHAnsi"/>
          <w:sz w:val="24"/>
          <w:szCs w:val="24"/>
          <w:lang w:eastAsia="ru-RU"/>
        </w:rPr>
        <w:t xml:space="preserve"> în ceea ce privește cheltuielile publice.</w:t>
      </w:r>
      <w:r w:rsidR="00EC1EAF">
        <w:rPr>
          <w:rFonts w:asciiTheme="majorHAnsi" w:eastAsiaTheme="minorEastAsia" w:hAnsiTheme="majorHAnsi" w:cstheme="majorHAnsi"/>
          <w:sz w:val="24"/>
          <w:szCs w:val="24"/>
          <w:lang w:eastAsia="ru-RU"/>
        </w:rPr>
        <w:t xml:space="preserve"> </w:t>
      </w:r>
    </w:p>
    <w:p w:rsidR="00731D32" w:rsidRPr="00CB5F81" w:rsidRDefault="00DA4FCF" w:rsidP="00040BCB">
      <w:pPr>
        <w:spacing w:after="120"/>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t>Este evident</w:t>
      </w:r>
      <w:r w:rsidR="00D81051">
        <w:rPr>
          <w:rFonts w:asciiTheme="majorHAnsi" w:eastAsiaTheme="minorEastAsia" w:hAnsiTheme="majorHAnsi" w:cstheme="majorHAnsi"/>
          <w:sz w:val="24"/>
          <w:szCs w:val="24"/>
          <w:lang w:eastAsia="ru-RU"/>
        </w:rPr>
        <w:t xml:space="preserve"> faptul</w:t>
      </w:r>
      <w:r w:rsidRPr="00CB5F81">
        <w:rPr>
          <w:rFonts w:asciiTheme="majorHAnsi" w:eastAsiaTheme="minorEastAsia" w:hAnsiTheme="majorHAnsi" w:cstheme="majorHAnsi"/>
          <w:sz w:val="24"/>
          <w:szCs w:val="24"/>
          <w:lang w:eastAsia="ru-RU"/>
        </w:rPr>
        <w:t xml:space="preserve"> că </w:t>
      </w:r>
      <w:r w:rsidR="00482F70" w:rsidRPr="00CB5F81">
        <w:rPr>
          <w:rFonts w:asciiTheme="majorHAnsi" w:eastAsiaTheme="minorEastAsia" w:hAnsiTheme="majorHAnsi" w:cstheme="majorHAnsi"/>
          <w:sz w:val="24"/>
          <w:szCs w:val="24"/>
          <w:lang w:eastAsia="ru-RU"/>
        </w:rPr>
        <w:t>facilitățile fiscale atrag după sine costuri ascunse ale BPN</w:t>
      </w:r>
      <w:r w:rsidRPr="00CB5F81">
        <w:rPr>
          <w:rFonts w:asciiTheme="majorHAnsi" w:eastAsiaTheme="minorEastAsia" w:hAnsiTheme="majorHAnsi" w:cstheme="majorHAnsi"/>
          <w:sz w:val="24"/>
          <w:szCs w:val="24"/>
          <w:lang w:eastAsia="ru-RU"/>
        </w:rPr>
        <w:t xml:space="preserve">, iar autoritățile trebuie să fie preocupate de asigurarea </w:t>
      </w:r>
      <w:r w:rsidR="00731D32" w:rsidRPr="00CB5F81">
        <w:rPr>
          <w:rFonts w:asciiTheme="majorHAnsi" w:eastAsiaTheme="minorEastAsia" w:hAnsiTheme="majorHAnsi" w:cstheme="majorHAnsi"/>
          <w:sz w:val="24"/>
          <w:szCs w:val="24"/>
          <w:lang w:eastAsia="ru-RU"/>
        </w:rPr>
        <w:t>bun</w:t>
      </w:r>
      <w:r w:rsidRPr="00CB5F81">
        <w:rPr>
          <w:rFonts w:asciiTheme="majorHAnsi" w:eastAsiaTheme="minorEastAsia" w:hAnsiTheme="majorHAnsi" w:cstheme="majorHAnsi"/>
          <w:sz w:val="24"/>
          <w:szCs w:val="24"/>
          <w:lang w:eastAsia="ru-RU"/>
        </w:rPr>
        <w:t xml:space="preserve">ei </w:t>
      </w:r>
      <w:r w:rsidR="00731D32" w:rsidRPr="00CB5F81">
        <w:rPr>
          <w:rFonts w:asciiTheme="majorHAnsi" w:eastAsiaTheme="minorEastAsia" w:hAnsiTheme="majorHAnsi" w:cstheme="majorHAnsi"/>
          <w:sz w:val="24"/>
          <w:szCs w:val="24"/>
          <w:lang w:eastAsia="ru-RU"/>
        </w:rPr>
        <w:t>guvern</w:t>
      </w:r>
      <w:r w:rsidRPr="00CB5F81">
        <w:rPr>
          <w:rFonts w:asciiTheme="majorHAnsi" w:eastAsiaTheme="minorEastAsia" w:hAnsiTheme="majorHAnsi" w:cstheme="majorHAnsi"/>
          <w:sz w:val="24"/>
          <w:szCs w:val="24"/>
          <w:lang w:eastAsia="ru-RU"/>
        </w:rPr>
        <w:t>ări</w:t>
      </w:r>
      <w:r w:rsidR="00EC1EAF">
        <w:rPr>
          <w:rFonts w:asciiTheme="majorHAnsi" w:eastAsiaTheme="minorEastAsia" w:hAnsiTheme="majorHAnsi" w:cstheme="majorHAnsi"/>
          <w:sz w:val="24"/>
          <w:szCs w:val="24"/>
          <w:lang w:eastAsia="ru-RU"/>
        </w:rPr>
        <w:t xml:space="preserve"> </w:t>
      </w:r>
      <w:r w:rsidR="00BD67C7" w:rsidRPr="00CB5F81">
        <w:rPr>
          <w:rFonts w:asciiTheme="majorHAnsi" w:eastAsiaTheme="minorEastAsia" w:hAnsiTheme="majorHAnsi" w:cstheme="majorHAnsi"/>
          <w:sz w:val="24"/>
          <w:szCs w:val="24"/>
          <w:lang w:eastAsia="ru-RU"/>
        </w:rPr>
        <w:t>a cheltuielilor publice respective</w:t>
      </w:r>
      <w:r w:rsidR="00A211F1" w:rsidRPr="00CB5F81">
        <w:rPr>
          <w:rFonts w:asciiTheme="majorHAnsi" w:eastAsiaTheme="minorEastAsia" w:hAnsiTheme="majorHAnsi" w:cstheme="majorHAnsi"/>
          <w:sz w:val="24"/>
          <w:szCs w:val="24"/>
          <w:lang w:eastAsia="ru-RU"/>
        </w:rPr>
        <w:t>. Î</w:t>
      </w:r>
      <w:r w:rsidRPr="00CB5F81">
        <w:rPr>
          <w:rFonts w:asciiTheme="majorHAnsi" w:eastAsiaTheme="minorEastAsia" w:hAnsiTheme="majorHAnsi" w:cstheme="majorHAnsi"/>
          <w:sz w:val="24"/>
          <w:szCs w:val="24"/>
          <w:lang w:eastAsia="ru-RU"/>
        </w:rPr>
        <w:t>n acest context</w:t>
      </w:r>
      <w:r w:rsidR="00A211F1" w:rsidRPr="00CB5F81">
        <w:rPr>
          <w:rFonts w:asciiTheme="majorHAnsi" w:eastAsiaTheme="minorEastAsia" w:hAnsiTheme="majorHAnsi" w:cstheme="majorHAnsi"/>
          <w:sz w:val="24"/>
          <w:szCs w:val="24"/>
          <w:lang w:eastAsia="ru-RU"/>
        </w:rPr>
        <w:t>, este imperativ de realizat</w:t>
      </w:r>
      <w:r w:rsidR="00042642" w:rsidRPr="00CB5F81">
        <w:rPr>
          <w:rFonts w:asciiTheme="majorHAnsi" w:eastAsiaTheme="minorEastAsia" w:hAnsiTheme="majorHAnsi" w:cstheme="majorHAnsi"/>
          <w:sz w:val="24"/>
          <w:szCs w:val="24"/>
          <w:lang w:eastAsia="ru-RU"/>
        </w:rPr>
        <w:t>:</w:t>
      </w:r>
      <w:r w:rsidR="00A211F1" w:rsidRPr="00CB5F81">
        <w:rPr>
          <w:rFonts w:asciiTheme="majorHAnsi" w:eastAsiaTheme="minorEastAsia" w:hAnsiTheme="majorHAnsi" w:cstheme="majorHAnsi"/>
          <w:sz w:val="24"/>
          <w:szCs w:val="24"/>
          <w:lang w:eastAsia="ru-RU"/>
        </w:rPr>
        <w:t xml:space="preserve"> </w:t>
      </w:r>
      <w:r w:rsidR="00042642" w:rsidRPr="00CB5F81">
        <w:rPr>
          <w:rFonts w:asciiTheme="majorHAnsi" w:eastAsiaTheme="minorEastAsia" w:hAnsiTheme="majorHAnsi" w:cstheme="majorHAnsi"/>
          <w:b/>
          <w:i/>
          <w:sz w:val="24"/>
          <w:szCs w:val="24"/>
          <w:lang w:eastAsia="ru-RU"/>
        </w:rPr>
        <w:t>i)</w:t>
      </w:r>
      <w:r w:rsidRPr="00CB5F81">
        <w:rPr>
          <w:rFonts w:asciiTheme="majorHAnsi" w:eastAsiaTheme="minorEastAsia" w:hAnsiTheme="majorHAnsi" w:cstheme="majorHAnsi"/>
          <w:sz w:val="24"/>
          <w:szCs w:val="24"/>
          <w:lang w:eastAsia="ru-RU"/>
        </w:rPr>
        <w:t xml:space="preserve"> </w:t>
      </w:r>
      <w:r w:rsidR="00791D87" w:rsidRPr="00CB5F81">
        <w:rPr>
          <w:rFonts w:asciiTheme="majorHAnsi" w:eastAsiaTheme="minorEastAsia" w:hAnsiTheme="majorHAnsi" w:cstheme="majorHAnsi"/>
          <w:sz w:val="24"/>
          <w:szCs w:val="24"/>
          <w:lang w:eastAsia="ru-RU"/>
        </w:rPr>
        <w:t>estima</w:t>
      </w:r>
      <w:r w:rsidR="00BD67C7" w:rsidRPr="00CB5F81">
        <w:rPr>
          <w:rFonts w:asciiTheme="majorHAnsi" w:eastAsiaTheme="minorEastAsia" w:hAnsiTheme="majorHAnsi" w:cstheme="majorHAnsi"/>
          <w:sz w:val="24"/>
          <w:szCs w:val="24"/>
          <w:lang w:eastAsia="ru-RU"/>
        </w:rPr>
        <w:t>rea</w:t>
      </w:r>
      <w:r w:rsidR="00791D87" w:rsidRPr="00CB5F81">
        <w:rPr>
          <w:rFonts w:asciiTheme="majorHAnsi" w:eastAsiaTheme="minorEastAsia" w:hAnsiTheme="majorHAnsi" w:cstheme="majorHAnsi"/>
          <w:sz w:val="24"/>
          <w:szCs w:val="24"/>
          <w:lang w:eastAsia="ru-RU"/>
        </w:rPr>
        <w:t xml:space="preserve"> </w:t>
      </w:r>
      <w:r w:rsidR="00731D32" w:rsidRPr="00CB5F81">
        <w:rPr>
          <w:rFonts w:asciiTheme="majorHAnsi" w:eastAsiaTheme="minorEastAsia" w:hAnsiTheme="majorHAnsi" w:cstheme="majorHAnsi"/>
          <w:sz w:val="24"/>
          <w:szCs w:val="24"/>
          <w:lang w:eastAsia="ru-RU"/>
        </w:rPr>
        <w:t>cos</w:t>
      </w:r>
      <w:r w:rsidRPr="00CB5F81">
        <w:rPr>
          <w:rFonts w:asciiTheme="majorHAnsi" w:eastAsiaTheme="minorEastAsia" w:hAnsiTheme="majorHAnsi" w:cstheme="majorHAnsi"/>
          <w:sz w:val="24"/>
          <w:szCs w:val="24"/>
          <w:lang w:eastAsia="ru-RU"/>
        </w:rPr>
        <w:t>turilor</w:t>
      </w:r>
      <w:r w:rsidR="00A068BF" w:rsidRPr="00CB5F81">
        <w:rPr>
          <w:rFonts w:asciiTheme="majorHAnsi" w:eastAsiaTheme="minorEastAsia" w:hAnsiTheme="majorHAnsi" w:cstheme="majorHAnsi"/>
          <w:sz w:val="24"/>
          <w:szCs w:val="24"/>
          <w:lang w:eastAsia="ru-RU"/>
        </w:rPr>
        <w:t xml:space="preserve"> bugetare a</w:t>
      </w:r>
      <w:r w:rsidR="00731D32" w:rsidRPr="00CB5F81">
        <w:rPr>
          <w:rFonts w:asciiTheme="majorHAnsi" w:eastAsiaTheme="minorEastAsia" w:hAnsiTheme="majorHAnsi" w:cstheme="majorHAnsi"/>
          <w:sz w:val="24"/>
          <w:szCs w:val="24"/>
          <w:lang w:eastAsia="ru-RU"/>
        </w:rPr>
        <w:t>le facilităților acordate</w:t>
      </w:r>
      <w:r w:rsidR="00A211F1" w:rsidRPr="00CB5F81">
        <w:rPr>
          <w:rFonts w:asciiTheme="majorHAnsi" w:eastAsiaTheme="minorEastAsia" w:hAnsiTheme="majorHAnsi" w:cstheme="majorHAnsi"/>
          <w:sz w:val="24"/>
          <w:szCs w:val="24"/>
          <w:lang w:eastAsia="ru-RU"/>
        </w:rPr>
        <w:t xml:space="preserve"> beneficiarilor</w:t>
      </w:r>
      <w:r w:rsidR="00731D32" w:rsidRPr="00CB5F81">
        <w:rPr>
          <w:rFonts w:asciiTheme="majorHAnsi" w:eastAsiaTheme="minorEastAsia" w:hAnsiTheme="majorHAnsi" w:cstheme="majorHAnsi"/>
          <w:sz w:val="24"/>
          <w:szCs w:val="24"/>
          <w:lang w:eastAsia="ru-RU"/>
        </w:rPr>
        <w:t>,</w:t>
      </w:r>
      <w:r w:rsidR="00C5340F" w:rsidRPr="00CB5F81">
        <w:rPr>
          <w:rFonts w:asciiTheme="majorHAnsi" w:eastAsiaTheme="minorEastAsia" w:hAnsiTheme="majorHAnsi" w:cstheme="majorHAnsi"/>
          <w:sz w:val="24"/>
          <w:szCs w:val="24"/>
          <w:lang w:eastAsia="ru-RU"/>
        </w:rPr>
        <w:t xml:space="preserve"> </w:t>
      </w:r>
      <w:r w:rsidR="00C5340F" w:rsidRPr="00CB5F81">
        <w:rPr>
          <w:rFonts w:asciiTheme="majorHAnsi" w:eastAsiaTheme="minorEastAsia" w:hAnsiTheme="majorHAnsi" w:cstheme="majorHAnsi"/>
          <w:b/>
          <w:i/>
          <w:sz w:val="24"/>
          <w:szCs w:val="24"/>
          <w:lang w:eastAsia="ru-RU"/>
        </w:rPr>
        <w:t>ii)</w:t>
      </w:r>
      <w:r w:rsidR="00C5340F" w:rsidRPr="00CB5F81">
        <w:rPr>
          <w:rFonts w:asciiTheme="majorHAnsi" w:eastAsiaTheme="minorEastAsia" w:hAnsiTheme="majorHAnsi" w:cstheme="majorHAnsi"/>
          <w:sz w:val="24"/>
          <w:szCs w:val="24"/>
          <w:lang w:eastAsia="ru-RU"/>
        </w:rPr>
        <w:t xml:space="preserve"> raportarea acestora către pârțile cointeresate</w:t>
      </w:r>
      <w:r w:rsidR="00731D32" w:rsidRPr="00CB5F81">
        <w:rPr>
          <w:rFonts w:asciiTheme="majorHAnsi" w:eastAsiaTheme="minorEastAsia" w:hAnsiTheme="majorHAnsi" w:cstheme="majorHAnsi"/>
          <w:sz w:val="24"/>
          <w:szCs w:val="24"/>
          <w:lang w:eastAsia="ru-RU"/>
        </w:rPr>
        <w:t xml:space="preserve"> </w:t>
      </w:r>
      <w:r w:rsidR="00A211F1" w:rsidRPr="00CB5F81">
        <w:rPr>
          <w:rFonts w:asciiTheme="majorHAnsi" w:eastAsiaTheme="minorEastAsia" w:hAnsiTheme="majorHAnsi" w:cstheme="majorHAnsi"/>
          <w:sz w:val="24"/>
          <w:szCs w:val="24"/>
          <w:lang w:eastAsia="ru-RU"/>
        </w:rPr>
        <w:t xml:space="preserve">și </w:t>
      </w:r>
      <w:r w:rsidR="00042642" w:rsidRPr="00CB5F81">
        <w:rPr>
          <w:rFonts w:asciiTheme="majorHAnsi" w:eastAsiaTheme="minorEastAsia" w:hAnsiTheme="majorHAnsi" w:cstheme="majorHAnsi"/>
          <w:b/>
          <w:i/>
          <w:sz w:val="24"/>
          <w:szCs w:val="24"/>
          <w:lang w:eastAsia="ru-RU"/>
        </w:rPr>
        <w:t>I</w:t>
      </w:r>
      <w:r w:rsidR="00C5340F" w:rsidRPr="00CB5F81">
        <w:rPr>
          <w:rFonts w:asciiTheme="majorHAnsi" w:eastAsiaTheme="minorEastAsia" w:hAnsiTheme="majorHAnsi" w:cstheme="majorHAnsi"/>
          <w:b/>
          <w:i/>
          <w:sz w:val="24"/>
          <w:szCs w:val="24"/>
          <w:lang w:eastAsia="ru-RU"/>
        </w:rPr>
        <w:t>I</w:t>
      </w:r>
      <w:r w:rsidR="00042642" w:rsidRPr="00CB5F81">
        <w:rPr>
          <w:rFonts w:asciiTheme="majorHAnsi" w:eastAsiaTheme="minorEastAsia" w:hAnsiTheme="majorHAnsi" w:cstheme="majorHAnsi"/>
          <w:b/>
          <w:i/>
          <w:sz w:val="24"/>
          <w:szCs w:val="24"/>
          <w:lang w:eastAsia="ru-RU"/>
        </w:rPr>
        <w:t>I)</w:t>
      </w:r>
      <w:r w:rsidR="00042642" w:rsidRPr="00CB5F81">
        <w:rPr>
          <w:rFonts w:asciiTheme="majorHAnsi" w:eastAsiaTheme="minorEastAsia" w:hAnsiTheme="majorHAnsi" w:cstheme="majorHAnsi"/>
          <w:sz w:val="24"/>
          <w:szCs w:val="24"/>
          <w:lang w:eastAsia="ru-RU"/>
        </w:rPr>
        <w:t xml:space="preserve"> </w:t>
      </w:r>
      <w:r w:rsidR="00A068BF" w:rsidRPr="00CB5F81">
        <w:rPr>
          <w:rFonts w:asciiTheme="majorHAnsi" w:eastAsiaTheme="minorEastAsia" w:hAnsiTheme="majorHAnsi" w:cstheme="majorHAnsi"/>
          <w:sz w:val="24"/>
          <w:szCs w:val="24"/>
          <w:lang w:eastAsia="ru-RU"/>
        </w:rPr>
        <w:t>e</w:t>
      </w:r>
      <w:r w:rsidR="00A211F1" w:rsidRPr="00CB5F81">
        <w:rPr>
          <w:rFonts w:asciiTheme="majorHAnsi" w:eastAsiaTheme="minorEastAsia" w:hAnsiTheme="majorHAnsi" w:cstheme="majorHAnsi"/>
          <w:sz w:val="24"/>
          <w:szCs w:val="24"/>
          <w:lang w:eastAsia="ru-RU"/>
        </w:rPr>
        <w:t>valuarea</w:t>
      </w:r>
      <w:r w:rsidR="00A068BF" w:rsidRPr="00CB5F81">
        <w:rPr>
          <w:rFonts w:asciiTheme="majorHAnsi" w:eastAsiaTheme="minorEastAsia" w:hAnsiTheme="majorHAnsi" w:cstheme="majorHAnsi"/>
          <w:sz w:val="24"/>
          <w:szCs w:val="24"/>
          <w:lang w:eastAsia="ru-RU"/>
        </w:rPr>
        <w:t xml:space="preserve"> impactul</w:t>
      </w:r>
      <w:r w:rsidR="00A211F1" w:rsidRPr="00CB5F81">
        <w:rPr>
          <w:rFonts w:asciiTheme="majorHAnsi" w:eastAsiaTheme="minorEastAsia" w:hAnsiTheme="majorHAnsi" w:cstheme="majorHAnsi"/>
          <w:sz w:val="24"/>
          <w:szCs w:val="24"/>
          <w:lang w:eastAsia="ru-RU"/>
        </w:rPr>
        <w:t>ui</w:t>
      </w:r>
      <w:r w:rsidR="00A068BF" w:rsidRPr="00CB5F81">
        <w:rPr>
          <w:rFonts w:asciiTheme="majorHAnsi" w:eastAsiaTheme="minorEastAsia" w:hAnsiTheme="majorHAnsi" w:cstheme="majorHAnsi"/>
          <w:sz w:val="24"/>
          <w:szCs w:val="24"/>
          <w:lang w:eastAsia="ru-RU"/>
        </w:rPr>
        <w:t xml:space="preserve"> rezultat in</w:t>
      </w:r>
      <w:r w:rsidR="00A211F1" w:rsidRPr="00CB5F81">
        <w:rPr>
          <w:rFonts w:asciiTheme="majorHAnsi" w:eastAsiaTheme="minorEastAsia" w:hAnsiTheme="majorHAnsi" w:cstheme="majorHAnsi"/>
          <w:sz w:val="24"/>
          <w:szCs w:val="24"/>
          <w:lang w:eastAsia="ru-RU"/>
        </w:rPr>
        <w:t xml:space="preserve"> atribuirea acestor facilități</w:t>
      </w:r>
      <w:r w:rsidR="00731D32" w:rsidRPr="00CB5F81">
        <w:rPr>
          <w:rFonts w:asciiTheme="majorHAnsi" w:eastAsiaTheme="minorEastAsia" w:hAnsiTheme="majorHAnsi" w:cstheme="majorHAnsi"/>
          <w:sz w:val="24"/>
          <w:szCs w:val="24"/>
          <w:lang w:eastAsia="ru-RU"/>
        </w:rPr>
        <w:t>,</w:t>
      </w:r>
      <w:r w:rsidR="00A211F1" w:rsidRPr="00CB5F81">
        <w:rPr>
          <w:rFonts w:asciiTheme="majorHAnsi" w:eastAsiaTheme="minorEastAsia" w:hAnsiTheme="majorHAnsi" w:cstheme="majorHAnsi"/>
          <w:sz w:val="24"/>
          <w:szCs w:val="24"/>
          <w:lang w:eastAsia="ru-RU"/>
        </w:rPr>
        <w:t xml:space="preserve"> în vederea </w:t>
      </w:r>
      <w:r w:rsidR="002022E4">
        <w:rPr>
          <w:rFonts w:asciiTheme="majorHAnsi" w:eastAsiaTheme="minorEastAsia" w:hAnsiTheme="majorHAnsi" w:cstheme="majorHAnsi"/>
          <w:sz w:val="24"/>
          <w:szCs w:val="24"/>
          <w:lang w:eastAsia="ru-RU"/>
        </w:rPr>
        <w:t xml:space="preserve">revizuirii oportunității menținerii </w:t>
      </w:r>
      <w:r w:rsidR="00042642" w:rsidRPr="00CB5F81">
        <w:rPr>
          <w:rFonts w:asciiTheme="majorHAnsi" w:hAnsiTheme="majorHAnsi" w:cs="Calibri"/>
          <w:color w:val="000000"/>
          <w:sz w:val="24"/>
          <w:szCs w:val="24"/>
        </w:rPr>
        <w:t>acelor înlesniri</w:t>
      </w:r>
      <w:r w:rsidR="00EC1EAF">
        <w:rPr>
          <w:rFonts w:asciiTheme="majorHAnsi" w:hAnsiTheme="majorHAnsi" w:cs="Calibri"/>
          <w:color w:val="000000"/>
          <w:sz w:val="24"/>
          <w:szCs w:val="24"/>
        </w:rPr>
        <w:t xml:space="preserve"> </w:t>
      </w:r>
      <w:r w:rsidR="00731D32" w:rsidRPr="00CB5F81">
        <w:rPr>
          <w:rFonts w:asciiTheme="majorHAnsi" w:hAnsiTheme="majorHAnsi" w:cs="Calibri"/>
          <w:color w:val="000000"/>
          <w:sz w:val="24"/>
          <w:szCs w:val="24"/>
        </w:rPr>
        <w:t>care nu și-au demonstrat eficiența.</w:t>
      </w:r>
    </w:p>
    <w:p w:rsidR="007C62E5" w:rsidRPr="00E04E1E" w:rsidRDefault="00791D87" w:rsidP="00040BCB">
      <w:pPr>
        <w:tabs>
          <w:tab w:val="left" w:pos="0"/>
          <w:tab w:val="left" w:pos="270"/>
        </w:tabs>
        <w:spacing w:after="120" w:line="276" w:lineRule="auto"/>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t>Despre necesitatea sistematizării</w:t>
      </w:r>
      <w:r w:rsidR="00BD67C7" w:rsidRPr="00CB5F81">
        <w:rPr>
          <w:rFonts w:asciiTheme="majorHAnsi" w:eastAsiaTheme="minorEastAsia" w:hAnsiTheme="majorHAnsi" w:cstheme="majorHAnsi"/>
          <w:sz w:val="24"/>
          <w:szCs w:val="24"/>
          <w:lang w:eastAsia="ru-RU"/>
        </w:rPr>
        <w:t xml:space="preserve"> și evaluării </w:t>
      </w:r>
      <w:r w:rsidRPr="00CB5F81">
        <w:rPr>
          <w:rFonts w:asciiTheme="majorHAnsi" w:hAnsiTheme="majorHAnsi" w:cstheme="majorHAnsi"/>
          <w:sz w:val="24"/>
          <w:szCs w:val="24"/>
        </w:rPr>
        <w:t>facilităților fiscale și vamale</w:t>
      </w:r>
      <w:r w:rsidRPr="00CB5F81">
        <w:rPr>
          <w:rFonts w:asciiTheme="majorHAnsi" w:eastAsiaTheme="minorEastAsia" w:hAnsiTheme="majorHAnsi" w:cstheme="majorHAnsi"/>
          <w:sz w:val="24"/>
          <w:szCs w:val="24"/>
          <w:lang w:eastAsia="ru-RU"/>
        </w:rPr>
        <w:t>, Curtea de Conturi a menționat în cadrul audit</w:t>
      </w:r>
      <w:r w:rsidR="004249E1" w:rsidRPr="00CB5F81">
        <w:rPr>
          <w:rFonts w:asciiTheme="majorHAnsi" w:eastAsiaTheme="minorEastAsia" w:hAnsiTheme="majorHAnsi" w:cstheme="majorHAnsi"/>
          <w:sz w:val="24"/>
          <w:szCs w:val="24"/>
          <w:lang w:eastAsia="ru-RU"/>
        </w:rPr>
        <w:t>ului</w:t>
      </w:r>
      <w:r w:rsidRPr="00CB5F81">
        <w:rPr>
          <w:rFonts w:asciiTheme="majorHAnsi" w:eastAsiaTheme="minorEastAsia" w:hAnsiTheme="majorHAnsi" w:cstheme="majorHAnsi"/>
          <w:sz w:val="24"/>
          <w:szCs w:val="24"/>
          <w:lang w:eastAsia="ru-RU"/>
        </w:rPr>
        <w:t xml:space="preserve"> </w:t>
      </w:r>
      <w:r w:rsidR="00A211F1" w:rsidRPr="00CB5F81">
        <w:rPr>
          <w:rFonts w:asciiTheme="majorHAnsi" w:eastAsiaTheme="minorEastAsia" w:hAnsiTheme="majorHAnsi" w:cstheme="majorHAnsi"/>
          <w:sz w:val="24"/>
          <w:szCs w:val="24"/>
          <w:lang w:eastAsia="ru-RU"/>
        </w:rPr>
        <w:t xml:space="preserve">desfășurat în </w:t>
      </w:r>
      <w:r w:rsidR="00A211F1" w:rsidRPr="00C70E4C">
        <w:rPr>
          <w:rFonts w:asciiTheme="majorHAnsi" w:eastAsiaTheme="minorEastAsia" w:hAnsiTheme="majorHAnsi" w:cstheme="majorHAnsi"/>
          <w:sz w:val="24"/>
          <w:szCs w:val="24"/>
          <w:lang w:eastAsia="ru-RU"/>
        </w:rPr>
        <w:t>anul 2016</w:t>
      </w:r>
      <w:r w:rsidRPr="00C70E4C">
        <w:rPr>
          <w:rStyle w:val="FootnoteReference"/>
          <w:rFonts w:asciiTheme="majorHAnsi" w:eastAsiaTheme="minorEastAsia" w:hAnsiTheme="majorHAnsi" w:cstheme="majorHAnsi"/>
          <w:sz w:val="24"/>
          <w:szCs w:val="24"/>
          <w:lang w:eastAsia="ru-RU"/>
        </w:rPr>
        <w:footnoteReference w:id="13"/>
      </w:r>
      <w:r w:rsidRPr="00C70E4C">
        <w:rPr>
          <w:rFonts w:asciiTheme="majorHAnsi" w:eastAsiaTheme="minorEastAsia" w:hAnsiTheme="majorHAnsi" w:cstheme="majorHAnsi"/>
          <w:sz w:val="24"/>
          <w:szCs w:val="24"/>
          <w:lang w:eastAsia="ru-RU"/>
        </w:rPr>
        <w:t>,</w:t>
      </w:r>
      <w:r w:rsidR="00BD67C7" w:rsidRPr="00C70E4C">
        <w:rPr>
          <w:rFonts w:asciiTheme="majorHAnsi" w:eastAsiaTheme="minorEastAsia" w:hAnsiTheme="majorHAnsi" w:cstheme="majorHAnsi"/>
          <w:sz w:val="24"/>
          <w:szCs w:val="24"/>
          <w:lang w:eastAsia="ru-RU"/>
        </w:rPr>
        <w:t xml:space="preserve"> fiind înaintate recomandări în vederea consolidării managementului</w:t>
      </w:r>
      <w:r w:rsidR="00A211F1" w:rsidRPr="00C70E4C">
        <w:rPr>
          <w:rFonts w:asciiTheme="majorHAnsi" w:eastAsiaTheme="minorEastAsia" w:hAnsiTheme="majorHAnsi" w:cstheme="majorHAnsi"/>
          <w:sz w:val="24"/>
          <w:szCs w:val="24"/>
          <w:lang w:eastAsia="ru-RU"/>
        </w:rPr>
        <w:t xml:space="preserve"> și guvernanței </w:t>
      </w:r>
      <w:r w:rsidR="00D81051" w:rsidRPr="00C70E4C">
        <w:rPr>
          <w:rFonts w:asciiTheme="majorHAnsi" w:eastAsiaTheme="minorEastAsia" w:hAnsiTheme="majorHAnsi" w:cstheme="majorHAnsi"/>
          <w:sz w:val="24"/>
          <w:szCs w:val="24"/>
          <w:lang w:eastAsia="ru-RU"/>
        </w:rPr>
        <w:t>în acest aspect</w:t>
      </w:r>
      <w:r w:rsidRPr="00C70E4C">
        <w:rPr>
          <w:rFonts w:asciiTheme="majorHAnsi" w:eastAsiaTheme="minorEastAsia" w:hAnsiTheme="majorHAnsi" w:cstheme="majorHAnsi"/>
          <w:sz w:val="24"/>
          <w:szCs w:val="24"/>
          <w:lang w:eastAsia="ru-RU"/>
        </w:rPr>
        <w:t>.</w:t>
      </w:r>
      <w:r w:rsidR="00034682" w:rsidRPr="00C70E4C">
        <w:rPr>
          <w:rFonts w:asciiTheme="majorHAnsi" w:eastAsiaTheme="minorEastAsia" w:hAnsiTheme="majorHAnsi" w:cstheme="majorHAnsi"/>
          <w:sz w:val="24"/>
          <w:szCs w:val="24"/>
          <w:lang w:eastAsia="ru-RU"/>
        </w:rPr>
        <w:t xml:space="preserve"> Analizele </w:t>
      </w:r>
      <w:r w:rsidR="00D81051" w:rsidRPr="00C70E4C">
        <w:rPr>
          <w:rFonts w:asciiTheme="majorHAnsi" w:eastAsiaTheme="minorEastAsia" w:hAnsiTheme="majorHAnsi" w:cstheme="majorHAnsi"/>
          <w:sz w:val="24"/>
          <w:szCs w:val="24"/>
          <w:lang w:eastAsia="ru-RU"/>
        </w:rPr>
        <w:t xml:space="preserve">efectuate </w:t>
      </w:r>
      <w:r w:rsidR="00034682" w:rsidRPr="00C70E4C">
        <w:rPr>
          <w:rFonts w:asciiTheme="majorHAnsi" w:eastAsiaTheme="minorEastAsia" w:hAnsiTheme="majorHAnsi" w:cstheme="majorHAnsi"/>
          <w:sz w:val="24"/>
          <w:szCs w:val="24"/>
          <w:lang w:eastAsia="ru-RU"/>
        </w:rPr>
        <w:t xml:space="preserve">de audit denotă că </w:t>
      </w:r>
      <w:r w:rsidR="00B8679E" w:rsidRPr="00E04E1E">
        <w:rPr>
          <w:rFonts w:asciiTheme="majorHAnsi" w:eastAsiaTheme="minorEastAsia" w:hAnsiTheme="majorHAnsi" w:cstheme="majorHAnsi"/>
          <w:sz w:val="24"/>
          <w:szCs w:val="24"/>
          <w:lang w:eastAsia="ru-RU"/>
        </w:rPr>
        <w:t>situația nu a evoluat notabil</w:t>
      </w:r>
      <w:r w:rsidR="00F62A61" w:rsidRPr="00E04E1E">
        <w:rPr>
          <w:rFonts w:asciiTheme="majorHAnsi" w:eastAsiaTheme="minorEastAsia" w:hAnsiTheme="majorHAnsi" w:cstheme="majorHAnsi"/>
          <w:sz w:val="24"/>
          <w:szCs w:val="24"/>
          <w:lang w:eastAsia="ru-RU"/>
        </w:rPr>
        <w:t xml:space="preserve"> de la auditul precedent. Astfel,</w:t>
      </w:r>
      <w:r w:rsidR="00B8679E" w:rsidRPr="00E04E1E">
        <w:rPr>
          <w:rFonts w:asciiTheme="majorHAnsi" w:eastAsiaTheme="minorEastAsia" w:hAnsiTheme="majorHAnsi" w:cstheme="majorHAnsi"/>
          <w:sz w:val="24"/>
          <w:szCs w:val="24"/>
          <w:lang w:eastAsia="ru-RU"/>
        </w:rPr>
        <w:t xml:space="preserve"> </w:t>
      </w:r>
      <w:r w:rsidR="008B4D5B" w:rsidRPr="00E04E1E">
        <w:rPr>
          <w:rFonts w:asciiTheme="majorHAnsi" w:eastAsiaTheme="minorEastAsia" w:hAnsiTheme="majorHAnsi" w:cstheme="majorHAnsi"/>
          <w:sz w:val="24"/>
          <w:szCs w:val="24"/>
          <w:lang w:eastAsia="ru-RU"/>
        </w:rPr>
        <w:t xml:space="preserve">principalul </w:t>
      </w:r>
      <w:r w:rsidR="00B8679E" w:rsidRPr="00E04E1E">
        <w:rPr>
          <w:rFonts w:asciiTheme="majorHAnsi" w:eastAsiaTheme="minorEastAsia" w:hAnsiTheme="majorHAnsi" w:cstheme="majorHAnsi"/>
          <w:sz w:val="24"/>
          <w:szCs w:val="24"/>
          <w:lang w:eastAsia="ru-RU"/>
        </w:rPr>
        <w:t xml:space="preserve">progres înregistrat </w:t>
      </w:r>
      <w:r w:rsidR="00F62A61" w:rsidRPr="00E04E1E">
        <w:rPr>
          <w:rFonts w:asciiTheme="majorHAnsi" w:eastAsiaTheme="minorEastAsia" w:hAnsiTheme="majorHAnsi" w:cstheme="majorHAnsi"/>
          <w:sz w:val="24"/>
          <w:szCs w:val="24"/>
          <w:lang w:eastAsia="ru-RU"/>
        </w:rPr>
        <w:t xml:space="preserve">de Ministerul Finanțelor </w:t>
      </w:r>
      <w:r w:rsidR="00B8679E" w:rsidRPr="00E04E1E">
        <w:rPr>
          <w:rFonts w:asciiTheme="majorHAnsi" w:eastAsiaTheme="minorEastAsia" w:hAnsiTheme="majorHAnsi" w:cstheme="majorHAnsi"/>
          <w:sz w:val="24"/>
          <w:szCs w:val="24"/>
          <w:lang w:eastAsia="ru-RU"/>
        </w:rPr>
        <w:t xml:space="preserve">se </w:t>
      </w:r>
      <w:r w:rsidR="00F26CDD" w:rsidRPr="00E04E1E">
        <w:rPr>
          <w:rFonts w:asciiTheme="majorHAnsi" w:eastAsiaTheme="minorEastAsia" w:hAnsiTheme="majorHAnsi" w:cstheme="majorHAnsi"/>
          <w:sz w:val="24"/>
          <w:szCs w:val="24"/>
          <w:lang w:eastAsia="ru-RU"/>
        </w:rPr>
        <w:t>limitează</w:t>
      </w:r>
      <w:r w:rsidR="00F62A61" w:rsidRPr="00E04E1E">
        <w:rPr>
          <w:rFonts w:asciiTheme="majorHAnsi" w:eastAsiaTheme="minorEastAsia" w:hAnsiTheme="majorHAnsi" w:cstheme="majorHAnsi"/>
          <w:sz w:val="24"/>
          <w:szCs w:val="24"/>
          <w:lang w:eastAsia="ru-RU"/>
        </w:rPr>
        <w:t xml:space="preserve"> la </w:t>
      </w:r>
      <w:r w:rsidR="00B8679E" w:rsidRPr="00E04E1E">
        <w:rPr>
          <w:rFonts w:asciiTheme="majorHAnsi" w:eastAsiaTheme="minorEastAsia" w:hAnsiTheme="majorHAnsi" w:cstheme="majorHAnsi"/>
          <w:sz w:val="24"/>
          <w:szCs w:val="24"/>
          <w:lang w:eastAsia="ru-RU"/>
        </w:rPr>
        <w:t>aprobarea Registrului unic al facilităților fiscale şi vamale,  prin Ordinul nr.45/2018</w:t>
      </w:r>
      <w:r w:rsidR="00B8679E" w:rsidRPr="00C70E4C">
        <w:rPr>
          <w:rStyle w:val="FootnoteReference"/>
          <w:rFonts w:asciiTheme="majorHAnsi" w:eastAsiaTheme="minorEastAsia" w:hAnsiTheme="majorHAnsi" w:cstheme="majorHAnsi"/>
          <w:sz w:val="24"/>
          <w:szCs w:val="24"/>
          <w:lang w:eastAsia="ru-RU"/>
        </w:rPr>
        <w:footnoteReference w:id="14"/>
      </w:r>
      <w:r w:rsidR="00B8679E" w:rsidRPr="00C70E4C">
        <w:rPr>
          <w:rFonts w:asciiTheme="majorHAnsi" w:eastAsiaTheme="minorEastAsia" w:hAnsiTheme="majorHAnsi" w:cstheme="majorHAnsi"/>
          <w:sz w:val="24"/>
          <w:szCs w:val="24"/>
          <w:lang w:eastAsia="ru-RU"/>
        </w:rPr>
        <w:t>.</w:t>
      </w:r>
      <w:r w:rsidR="00EC1EAF" w:rsidRPr="00C70E4C">
        <w:rPr>
          <w:rFonts w:asciiTheme="majorHAnsi" w:eastAsiaTheme="minorEastAsia" w:hAnsiTheme="majorHAnsi" w:cstheme="majorHAnsi"/>
          <w:sz w:val="24"/>
          <w:szCs w:val="24"/>
          <w:lang w:eastAsia="ru-RU"/>
        </w:rPr>
        <w:t xml:space="preserve"> </w:t>
      </w:r>
      <w:r w:rsidR="008B4D5B" w:rsidRPr="00C70E4C">
        <w:rPr>
          <w:rFonts w:asciiTheme="majorHAnsi" w:eastAsiaTheme="minorEastAsia" w:hAnsiTheme="majorHAnsi" w:cstheme="majorHAnsi"/>
          <w:sz w:val="24"/>
          <w:szCs w:val="24"/>
          <w:lang w:eastAsia="ru-RU"/>
        </w:rPr>
        <w:t>Acest</w:t>
      </w:r>
      <w:r w:rsidR="007C62E5" w:rsidRPr="00C70E4C">
        <w:rPr>
          <w:rFonts w:asciiTheme="majorHAnsi" w:eastAsiaTheme="minorEastAsia" w:hAnsiTheme="majorHAnsi" w:cstheme="majorHAnsi"/>
          <w:sz w:val="24"/>
          <w:szCs w:val="24"/>
          <w:lang w:eastAsia="ru-RU"/>
        </w:rPr>
        <w:t xml:space="preserve"> document cuprinde lista integrală a facilităților fiscale și vamale gru</w:t>
      </w:r>
      <w:r w:rsidR="00CE4983" w:rsidRPr="00E04E1E">
        <w:rPr>
          <w:rFonts w:asciiTheme="majorHAnsi" w:eastAsiaTheme="minorEastAsia" w:hAnsiTheme="majorHAnsi" w:cstheme="majorHAnsi"/>
          <w:sz w:val="24"/>
          <w:szCs w:val="24"/>
          <w:lang w:eastAsia="ru-RU"/>
        </w:rPr>
        <w:t>pate după tipologia impozitelor,</w:t>
      </w:r>
      <w:r w:rsidR="007C62E5" w:rsidRPr="00E04E1E">
        <w:rPr>
          <w:rFonts w:asciiTheme="majorHAnsi" w:eastAsiaTheme="minorEastAsia" w:hAnsiTheme="majorHAnsi" w:cstheme="majorHAnsi"/>
          <w:sz w:val="24"/>
          <w:szCs w:val="24"/>
          <w:lang w:eastAsia="ru-RU"/>
        </w:rPr>
        <w:t xml:space="preserve"> codificarea aferentă fiecărei facilități în parte</w:t>
      </w:r>
      <w:r w:rsidR="00CE4983" w:rsidRPr="00E04E1E">
        <w:rPr>
          <w:rFonts w:asciiTheme="majorHAnsi" w:eastAsiaTheme="minorEastAsia" w:hAnsiTheme="majorHAnsi" w:cstheme="majorHAnsi"/>
          <w:sz w:val="24"/>
          <w:szCs w:val="24"/>
          <w:lang w:eastAsia="ru-RU"/>
        </w:rPr>
        <w:t>, precum și</w:t>
      </w:r>
      <w:r w:rsidR="00EC1EAF" w:rsidRPr="00E04E1E">
        <w:rPr>
          <w:rFonts w:asciiTheme="majorHAnsi" w:eastAsiaTheme="minorEastAsia" w:hAnsiTheme="majorHAnsi" w:cstheme="majorHAnsi"/>
          <w:sz w:val="24"/>
          <w:szCs w:val="24"/>
          <w:lang w:eastAsia="ru-RU"/>
        </w:rPr>
        <w:t xml:space="preserve"> </w:t>
      </w:r>
      <w:r w:rsidR="007C62E5" w:rsidRPr="00E04E1E">
        <w:rPr>
          <w:rFonts w:asciiTheme="majorHAnsi" w:eastAsiaTheme="minorEastAsia" w:hAnsiTheme="majorHAnsi" w:cstheme="majorHAnsi"/>
          <w:sz w:val="24"/>
          <w:szCs w:val="24"/>
          <w:lang w:eastAsia="ru-RU"/>
        </w:rPr>
        <w:t xml:space="preserve">informații referitoare la: </w:t>
      </w:r>
      <w:r w:rsidR="007C62E5" w:rsidRPr="00E04E1E">
        <w:rPr>
          <w:rFonts w:asciiTheme="majorHAnsi" w:eastAsiaTheme="minorEastAsia" w:hAnsiTheme="majorHAnsi" w:cstheme="majorHAnsi"/>
          <w:b/>
          <w:sz w:val="24"/>
          <w:szCs w:val="24"/>
          <w:lang w:eastAsia="ru-RU"/>
        </w:rPr>
        <w:t>i</w:t>
      </w:r>
      <w:r w:rsidR="007C62E5" w:rsidRPr="00E04E1E">
        <w:rPr>
          <w:rFonts w:asciiTheme="majorHAnsi" w:eastAsiaTheme="minorEastAsia" w:hAnsiTheme="majorHAnsi" w:cstheme="majorHAnsi"/>
          <w:b/>
          <w:i/>
          <w:sz w:val="24"/>
          <w:szCs w:val="24"/>
          <w:lang w:eastAsia="ru-RU"/>
        </w:rPr>
        <w:t>)</w:t>
      </w:r>
      <w:r w:rsidR="007C62E5" w:rsidRPr="00E04E1E">
        <w:rPr>
          <w:rFonts w:asciiTheme="majorHAnsi" w:eastAsiaTheme="minorEastAsia" w:hAnsiTheme="majorHAnsi" w:cstheme="majorHAnsi"/>
          <w:sz w:val="24"/>
          <w:szCs w:val="24"/>
          <w:lang w:eastAsia="ru-RU"/>
        </w:rPr>
        <w:t xml:space="preserve"> temeiul legal de acordare a facilității; </w:t>
      </w:r>
      <w:r w:rsidR="007C62E5" w:rsidRPr="00E04E1E">
        <w:rPr>
          <w:rFonts w:asciiTheme="majorHAnsi" w:eastAsiaTheme="minorEastAsia" w:hAnsiTheme="majorHAnsi" w:cstheme="majorHAnsi"/>
          <w:b/>
          <w:i/>
          <w:sz w:val="24"/>
          <w:szCs w:val="24"/>
          <w:lang w:eastAsia="ru-RU"/>
        </w:rPr>
        <w:t>ii)</w:t>
      </w:r>
      <w:r w:rsidR="007C62E5" w:rsidRPr="00E04E1E">
        <w:rPr>
          <w:rFonts w:asciiTheme="majorHAnsi" w:eastAsiaTheme="minorEastAsia" w:hAnsiTheme="majorHAnsi" w:cstheme="majorHAnsi"/>
          <w:sz w:val="24"/>
          <w:szCs w:val="24"/>
          <w:lang w:eastAsia="ru-RU"/>
        </w:rPr>
        <w:t xml:space="preserve"> categoriile de beneficiari (A - 1 beneficiar, B - grup de beneficiari, C - generale, sector din economia națională); </w:t>
      </w:r>
      <w:r w:rsidR="007C62E5" w:rsidRPr="00E04E1E">
        <w:rPr>
          <w:rFonts w:asciiTheme="majorHAnsi" w:eastAsiaTheme="minorEastAsia" w:hAnsiTheme="majorHAnsi" w:cstheme="majorHAnsi"/>
          <w:b/>
          <w:i/>
          <w:sz w:val="24"/>
          <w:szCs w:val="24"/>
          <w:lang w:eastAsia="ru-RU"/>
        </w:rPr>
        <w:t>iii)</w:t>
      </w:r>
      <w:r w:rsidR="00EC1EAF" w:rsidRPr="00E04E1E">
        <w:rPr>
          <w:rFonts w:asciiTheme="majorHAnsi" w:eastAsiaTheme="minorEastAsia" w:hAnsiTheme="majorHAnsi" w:cstheme="majorHAnsi"/>
          <w:sz w:val="24"/>
          <w:szCs w:val="24"/>
          <w:lang w:eastAsia="ru-RU"/>
        </w:rPr>
        <w:t xml:space="preserve"> </w:t>
      </w:r>
      <w:r w:rsidR="007C62E5" w:rsidRPr="00E04E1E">
        <w:rPr>
          <w:rFonts w:asciiTheme="majorHAnsi" w:eastAsiaTheme="minorEastAsia" w:hAnsiTheme="majorHAnsi" w:cstheme="majorHAnsi"/>
          <w:sz w:val="24"/>
          <w:szCs w:val="24"/>
          <w:lang w:eastAsia="ru-RU"/>
        </w:rPr>
        <w:t>facilitățile fiscale și vamale existente.</w:t>
      </w:r>
    </w:p>
    <w:p w:rsidR="00B8679E" w:rsidRDefault="00FC4776" w:rsidP="00FC4776">
      <w:pPr>
        <w:widowControl w:val="0"/>
        <w:tabs>
          <w:tab w:val="left" w:pos="1033"/>
        </w:tabs>
        <w:spacing w:after="120" w:line="322" w:lineRule="exact"/>
        <w:jc w:val="both"/>
        <w:rPr>
          <w:rFonts w:asciiTheme="majorHAnsi" w:hAnsiTheme="majorHAnsi" w:cstheme="majorHAnsi"/>
          <w:sz w:val="24"/>
          <w:szCs w:val="24"/>
        </w:rPr>
      </w:pPr>
      <w:r w:rsidRPr="00E04E1E">
        <w:rPr>
          <w:rFonts w:asciiTheme="majorHAnsi" w:hAnsiTheme="majorHAnsi" w:cstheme="majorHAnsi"/>
          <w:sz w:val="24"/>
          <w:szCs w:val="24"/>
        </w:rPr>
        <w:t>De menționat că</w:t>
      </w:r>
      <w:r w:rsidR="00D81051" w:rsidRPr="00E04E1E">
        <w:rPr>
          <w:rFonts w:asciiTheme="majorHAnsi" w:hAnsiTheme="majorHAnsi" w:cstheme="majorHAnsi"/>
          <w:sz w:val="24"/>
          <w:szCs w:val="24"/>
        </w:rPr>
        <w:t>,</w:t>
      </w:r>
      <w:r w:rsidRPr="00E04E1E">
        <w:rPr>
          <w:rFonts w:asciiTheme="majorHAnsi" w:hAnsiTheme="majorHAnsi" w:cstheme="majorHAnsi"/>
          <w:sz w:val="24"/>
          <w:szCs w:val="24"/>
        </w:rPr>
        <w:t xml:space="preserve"> d</w:t>
      </w:r>
      <w:r w:rsidR="00963618" w:rsidRPr="00E04E1E">
        <w:rPr>
          <w:rFonts w:asciiTheme="majorHAnsi" w:hAnsiTheme="majorHAnsi" w:cstheme="majorHAnsi"/>
          <w:sz w:val="24"/>
          <w:szCs w:val="24"/>
        </w:rPr>
        <w:t>upă aprobarea documentului</w:t>
      </w:r>
      <w:r w:rsidR="004249E1" w:rsidRPr="00E04E1E">
        <w:rPr>
          <w:rFonts w:asciiTheme="majorHAnsi" w:hAnsiTheme="majorHAnsi" w:cstheme="majorHAnsi"/>
          <w:sz w:val="24"/>
          <w:szCs w:val="24"/>
        </w:rPr>
        <w:t xml:space="preserve"> vizat</w:t>
      </w:r>
      <w:r w:rsidR="00963618" w:rsidRPr="00CB5F81">
        <w:rPr>
          <w:rFonts w:asciiTheme="majorHAnsi" w:hAnsiTheme="majorHAnsi" w:cstheme="majorHAnsi"/>
          <w:sz w:val="24"/>
          <w:szCs w:val="24"/>
        </w:rPr>
        <w:t xml:space="preserve">, </w:t>
      </w:r>
      <w:r w:rsidR="00936B93" w:rsidRPr="00CB5F81">
        <w:rPr>
          <w:rFonts w:asciiTheme="majorHAnsi" w:hAnsiTheme="majorHAnsi" w:cstheme="majorHAnsi"/>
          <w:sz w:val="24"/>
          <w:szCs w:val="24"/>
        </w:rPr>
        <w:t xml:space="preserve">fără a </w:t>
      </w:r>
      <w:r w:rsidR="00F26CDD" w:rsidRPr="00CB5F81">
        <w:rPr>
          <w:rFonts w:asciiTheme="majorHAnsi" w:hAnsiTheme="majorHAnsi" w:cstheme="majorHAnsi"/>
          <w:sz w:val="24"/>
          <w:szCs w:val="24"/>
        </w:rPr>
        <w:t>dezvolta cadrul metodologic</w:t>
      </w:r>
      <w:r w:rsidR="00EC1EAF">
        <w:rPr>
          <w:rFonts w:asciiTheme="majorHAnsi" w:hAnsiTheme="majorHAnsi" w:cstheme="majorHAnsi"/>
          <w:sz w:val="24"/>
          <w:szCs w:val="24"/>
        </w:rPr>
        <w:t xml:space="preserve"> </w:t>
      </w:r>
      <w:r w:rsidR="00F26CDD" w:rsidRPr="00CB5F81">
        <w:rPr>
          <w:rFonts w:asciiTheme="majorHAnsi" w:hAnsiTheme="majorHAnsi" w:cstheme="majorHAnsi"/>
          <w:sz w:val="24"/>
          <w:szCs w:val="24"/>
        </w:rPr>
        <w:t xml:space="preserve">aferent </w:t>
      </w:r>
      <w:r w:rsidR="00F26CDD" w:rsidRPr="00CB5F81">
        <w:rPr>
          <w:rFonts w:asciiTheme="majorHAnsi" w:eastAsiaTheme="minorEastAsia" w:hAnsiTheme="majorHAnsi" w:cstheme="majorHAnsi"/>
          <w:sz w:val="24"/>
          <w:szCs w:val="24"/>
          <w:lang w:eastAsia="ru-RU"/>
        </w:rPr>
        <w:t>s</w:t>
      </w:r>
      <w:r w:rsidR="00F26CDD" w:rsidRPr="00CB5F81">
        <w:rPr>
          <w:rFonts w:asciiTheme="majorHAnsi" w:hAnsiTheme="majorHAnsi" w:cstheme="majorHAnsi"/>
          <w:sz w:val="24"/>
          <w:szCs w:val="24"/>
        </w:rPr>
        <w:t>istematizării costurilor bugetare a</w:t>
      </w:r>
      <w:r w:rsidR="00D81051">
        <w:rPr>
          <w:rFonts w:asciiTheme="majorHAnsi" w:hAnsiTheme="majorHAnsi" w:cstheme="majorHAnsi"/>
          <w:sz w:val="24"/>
          <w:szCs w:val="24"/>
        </w:rPr>
        <w:t>le</w:t>
      </w:r>
      <w:r w:rsidR="00F26CDD" w:rsidRPr="00CB5F81">
        <w:rPr>
          <w:rFonts w:asciiTheme="majorHAnsi" w:hAnsiTheme="majorHAnsi" w:cstheme="majorHAnsi"/>
          <w:sz w:val="24"/>
          <w:szCs w:val="24"/>
        </w:rPr>
        <w:t xml:space="preserve"> facilităților fiscale și vamale, precum </w:t>
      </w:r>
      <w:r w:rsidR="00F26CDD" w:rsidRPr="00C70E4C">
        <w:rPr>
          <w:rFonts w:asciiTheme="majorHAnsi" w:hAnsiTheme="majorHAnsi" w:cstheme="majorHAnsi"/>
          <w:sz w:val="24"/>
          <w:szCs w:val="24"/>
        </w:rPr>
        <w:t xml:space="preserve">și </w:t>
      </w:r>
      <w:r w:rsidR="00D81051" w:rsidRPr="00C70E4C">
        <w:rPr>
          <w:rFonts w:asciiTheme="majorHAnsi" w:hAnsiTheme="majorHAnsi" w:cstheme="majorHAnsi"/>
          <w:sz w:val="24"/>
          <w:szCs w:val="24"/>
        </w:rPr>
        <w:t xml:space="preserve">după </w:t>
      </w:r>
      <w:r w:rsidR="00B015FA" w:rsidRPr="00C70E4C">
        <w:rPr>
          <w:rFonts w:asciiTheme="majorHAnsi" w:hAnsiTheme="majorHAnsi" w:cstheme="majorHAnsi"/>
          <w:sz w:val="24"/>
          <w:szCs w:val="24"/>
        </w:rPr>
        <w:t xml:space="preserve">actualizarea </w:t>
      </w:r>
      <w:r w:rsidR="00026E3D" w:rsidRPr="00C70E4C">
        <w:rPr>
          <w:rFonts w:asciiTheme="majorHAnsi" w:hAnsiTheme="majorHAnsi" w:cstheme="majorHAnsi"/>
          <w:sz w:val="24"/>
          <w:szCs w:val="24"/>
        </w:rPr>
        <w:t>Registrului</w:t>
      </w:r>
      <w:r w:rsidR="00026E3D" w:rsidRPr="00C70E4C">
        <w:rPr>
          <w:rFonts w:asciiTheme="majorHAnsi" w:eastAsiaTheme="minorEastAsia" w:hAnsiTheme="majorHAnsi" w:cstheme="majorHAnsi"/>
          <w:sz w:val="24"/>
          <w:szCs w:val="24"/>
          <w:lang w:eastAsia="ru-RU"/>
        </w:rPr>
        <w:t xml:space="preserve"> unic al facilităților</w:t>
      </w:r>
      <w:r w:rsidR="00E1796A" w:rsidRPr="00C70E4C">
        <w:rPr>
          <w:rFonts w:asciiTheme="majorHAnsi" w:eastAsiaTheme="minorEastAsia" w:hAnsiTheme="majorHAnsi" w:cstheme="majorHAnsi"/>
          <w:sz w:val="24"/>
          <w:szCs w:val="24"/>
          <w:lang w:eastAsia="ru-RU"/>
        </w:rPr>
        <w:t xml:space="preserve"> fiscale și vamale</w:t>
      </w:r>
      <w:r w:rsidRPr="00C70E4C">
        <w:rPr>
          <w:rFonts w:asciiTheme="majorHAnsi" w:hAnsiTheme="majorHAnsi" w:cstheme="majorHAnsi"/>
          <w:sz w:val="24"/>
          <w:szCs w:val="24"/>
        </w:rPr>
        <w:t>, anual, Ministerul Finanțelor</w:t>
      </w:r>
      <w:r w:rsidR="00936B93" w:rsidRPr="00C70E4C">
        <w:rPr>
          <w:rFonts w:asciiTheme="majorHAnsi" w:hAnsiTheme="majorHAnsi" w:cstheme="majorHAnsi"/>
          <w:sz w:val="24"/>
          <w:szCs w:val="24"/>
        </w:rPr>
        <w:t xml:space="preserve"> a </w:t>
      </w:r>
      <w:r w:rsidRPr="00C70E4C">
        <w:rPr>
          <w:rFonts w:asciiTheme="majorHAnsi" w:hAnsiTheme="majorHAnsi" w:cstheme="majorHAnsi"/>
          <w:sz w:val="24"/>
          <w:szCs w:val="24"/>
        </w:rPr>
        <w:t xml:space="preserve">expediat </w:t>
      </w:r>
      <w:r w:rsidR="00E1796A" w:rsidRPr="00C70E4C">
        <w:rPr>
          <w:rFonts w:asciiTheme="majorHAnsi" w:hAnsiTheme="majorHAnsi" w:cstheme="majorHAnsi"/>
          <w:sz w:val="24"/>
          <w:szCs w:val="24"/>
        </w:rPr>
        <w:t>către</w:t>
      </w:r>
      <w:r w:rsidR="00E1796A" w:rsidRPr="00CB5F81">
        <w:rPr>
          <w:rFonts w:asciiTheme="majorHAnsi" w:hAnsiTheme="majorHAnsi" w:cstheme="majorHAnsi"/>
          <w:sz w:val="24"/>
          <w:szCs w:val="24"/>
        </w:rPr>
        <w:t xml:space="preserve"> SFS și SV </w:t>
      </w:r>
      <w:r w:rsidRPr="00CB5F81">
        <w:rPr>
          <w:rFonts w:asciiTheme="majorHAnsi" w:hAnsiTheme="majorHAnsi" w:cstheme="majorHAnsi"/>
          <w:sz w:val="24"/>
          <w:szCs w:val="24"/>
        </w:rPr>
        <w:t xml:space="preserve">solicitări referitor la </w:t>
      </w:r>
      <w:r w:rsidRPr="002022E4">
        <w:rPr>
          <w:rFonts w:asciiTheme="majorHAnsi" w:hAnsiTheme="majorHAnsi" w:cstheme="majorHAnsi"/>
          <w:sz w:val="24"/>
          <w:szCs w:val="24"/>
        </w:rPr>
        <w:t>prezentarea informațiilor</w:t>
      </w:r>
      <w:r w:rsidRPr="00CB5F81">
        <w:rPr>
          <w:rFonts w:asciiTheme="majorHAnsi" w:hAnsiTheme="majorHAnsi" w:cstheme="majorHAnsi"/>
          <w:sz w:val="24"/>
          <w:szCs w:val="24"/>
        </w:rPr>
        <w:t xml:space="preserve"> pe fiecare tip de impozit și </w:t>
      </w:r>
      <w:r w:rsidR="00E1796A">
        <w:rPr>
          <w:rFonts w:asciiTheme="majorHAnsi" w:hAnsiTheme="majorHAnsi" w:cstheme="majorHAnsi"/>
          <w:sz w:val="24"/>
          <w:szCs w:val="24"/>
        </w:rPr>
        <w:t xml:space="preserve">de </w:t>
      </w:r>
      <w:r w:rsidRPr="00CB5F81">
        <w:rPr>
          <w:rFonts w:asciiTheme="majorHAnsi" w:hAnsiTheme="majorHAnsi" w:cstheme="majorHAnsi"/>
          <w:sz w:val="24"/>
          <w:szCs w:val="24"/>
        </w:rPr>
        <w:t xml:space="preserve">taxă, conform </w:t>
      </w:r>
      <w:r w:rsidR="00E1796A">
        <w:rPr>
          <w:rFonts w:asciiTheme="majorHAnsi" w:hAnsiTheme="majorHAnsi" w:cstheme="majorHAnsi"/>
          <w:sz w:val="24"/>
          <w:szCs w:val="24"/>
        </w:rPr>
        <w:t>C</w:t>
      </w:r>
      <w:r w:rsidRPr="00CB5F81">
        <w:rPr>
          <w:rFonts w:asciiTheme="majorHAnsi" w:hAnsiTheme="majorHAnsi" w:cstheme="majorHAnsi"/>
          <w:sz w:val="24"/>
          <w:szCs w:val="24"/>
        </w:rPr>
        <w:t xml:space="preserve">odului </w:t>
      </w:r>
      <w:r w:rsidR="00423B96" w:rsidRPr="00CB5F81">
        <w:rPr>
          <w:rFonts w:asciiTheme="majorHAnsi" w:hAnsiTheme="majorHAnsi" w:cstheme="majorHAnsi"/>
          <w:sz w:val="24"/>
          <w:szCs w:val="24"/>
        </w:rPr>
        <w:t xml:space="preserve">facilităților fiscale și vamale. </w:t>
      </w:r>
      <w:r w:rsidR="00BF4313" w:rsidRPr="00CB5F81">
        <w:rPr>
          <w:rFonts w:asciiTheme="majorHAnsi" w:hAnsiTheme="majorHAnsi" w:cstheme="majorHAnsi"/>
          <w:sz w:val="24"/>
          <w:szCs w:val="24"/>
        </w:rPr>
        <w:t xml:space="preserve">Verificările de audit </w:t>
      </w:r>
      <w:r w:rsidR="00E1796A">
        <w:rPr>
          <w:rFonts w:asciiTheme="majorHAnsi" w:hAnsiTheme="majorHAnsi" w:cstheme="majorHAnsi"/>
          <w:sz w:val="24"/>
          <w:szCs w:val="24"/>
        </w:rPr>
        <w:t xml:space="preserve">efectuate </w:t>
      </w:r>
      <w:r w:rsidR="00BF4313" w:rsidRPr="00CB5F81">
        <w:rPr>
          <w:rFonts w:asciiTheme="majorHAnsi" w:hAnsiTheme="majorHAnsi" w:cstheme="majorHAnsi"/>
          <w:sz w:val="24"/>
          <w:szCs w:val="24"/>
        </w:rPr>
        <w:t>la SFS au evidenț</w:t>
      </w:r>
      <w:r w:rsidR="00E1796A">
        <w:rPr>
          <w:rFonts w:asciiTheme="majorHAnsi" w:hAnsiTheme="majorHAnsi" w:cstheme="majorHAnsi"/>
          <w:sz w:val="24"/>
          <w:szCs w:val="24"/>
        </w:rPr>
        <w:t>iat faptul</w:t>
      </w:r>
      <w:r w:rsidR="00EC1EAF">
        <w:rPr>
          <w:rFonts w:asciiTheme="majorHAnsi" w:hAnsiTheme="majorHAnsi" w:cstheme="majorHAnsi"/>
          <w:sz w:val="24"/>
          <w:szCs w:val="24"/>
        </w:rPr>
        <w:t xml:space="preserve"> </w:t>
      </w:r>
      <w:r w:rsidR="00BF4313" w:rsidRPr="00CB5F81">
        <w:rPr>
          <w:rFonts w:asciiTheme="majorHAnsi" w:hAnsiTheme="majorHAnsi" w:cstheme="majorHAnsi"/>
          <w:sz w:val="24"/>
          <w:szCs w:val="24"/>
        </w:rPr>
        <w:t>că</w:t>
      </w:r>
      <w:r w:rsidR="00EC1EAF">
        <w:rPr>
          <w:rFonts w:asciiTheme="majorHAnsi" w:hAnsiTheme="majorHAnsi" w:cstheme="majorHAnsi"/>
          <w:sz w:val="24"/>
          <w:szCs w:val="24"/>
        </w:rPr>
        <w:t xml:space="preserve"> </w:t>
      </w:r>
      <w:r w:rsidR="00BF4313" w:rsidRPr="00CB5F81">
        <w:rPr>
          <w:rFonts w:asciiTheme="majorHAnsi" w:hAnsiTheme="majorHAnsi" w:cstheme="majorHAnsi"/>
          <w:sz w:val="24"/>
          <w:szCs w:val="24"/>
        </w:rPr>
        <w:t>deficiențele</w:t>
      </w:r>
      <w:r w:rsidR="00EC1EAF">
        <w:rPr>
          <w:rFonts w:asciiTheme="majorHAnsi" w:hAnsiTheme="majorHAnsi" w:cstheme="majorHAnsi"/>
          <w:sz w:val="24"/>
          <w:szCs w:val="24"/>
        </w:rPr>
        <w:t xml:space="preserve"> </w:t>
      </w:r>
      <w:r w:rsidR="00BF4313" w:rsidRPr="00CB5F81">
        <w:rPr>
          <w:rFonts w:asciiTheme="majorHAnsi" w:hAnsiTheme="majorHAnsi" w:cstheme="majorHAnsi"/>
          <w:sz w:val="24"/>
          <w:szCs w:val="24"/>
        </w:rPr>
        <w:t>menționate au condiționat</w:t>
      </w:r>
      <w:r w:rsidR="00E1796A">
        <w:rPr>
          <w:rFonts w:asciiTheme="majorHAnsi" w:hAnsiTheme="majorHAnsi" w:cstheme="majorHAnsi"/>
          <w:sz w:val="24"/>
          <w:szCs w:val="24"/>
        </w:rPr>
        <w:t>,</w:t>
      </w:r>
      <w:r w:rsidR="00EC1EAF">
        <w:rPr>
          <w:rFonts w:asciiTheme="majorHAnsi" w:hAnsiTheme="majorHAnsi" w:cstheme="majorHAnsi"/>
          <w:sz w:val="24"/>
          <w:szCs w:val="24"/>
        </w:rPr>
        <w:t xml:space="preserve"> </w:t>
      </w:r>
      <w:r w:rsidR="00BF4313" w:rsidRPr="00CB5F81">
        <w:rPr>
          <w:rFonts w:asciiTheme="majorHAnsi" w:hAnsiTheme="majorHAnsi" w:cstheme="majorHAnsi"/>
          <w:sz w:val="24"/>
          <w:szCs w:val="24"/>
        </w:rPr>
        <w:t>în unele cazuri,</w:t>
      </w:r>
      <w:r w:rsidR="00EC1EAF">
        <w:rPr>
          <w:rFonts w:asciiTheme="majorHAnsi" w:hAnsiTheme="majorHAnsi" w:cstheme="majorHAnsi"/>
          <w:sz w:val="24"/>
          <w:szCs w:val="24"/>
        </w:rPr>
        <w:t xml:space="preserve"> </w:t>
      </w:r>
      <w:r w:rsidR="00BF4313" w:rsidRPr="00CB5F81">
        <w:rPr>
          <w:rFonts w:asciiTheme="majorHAnsi" w:hAnsiTheme="majorHAnsi" w:cstheme="majorHAnsi"/>
          <w:sz w:val="24"/>
          <w:szCs w:val="24"/>
        </w:rPr>
        <w:t>imposibilitatea cuantificării costurilor unor facilități, iar</w:t>
      </w:r>
      <w:r w:rsidR="00C42493" w:rsidRPr="00CB5F81">
        <w:rPr>
          <w:rFonts w:asciiTheme="majorHAnsi" w:hAnsiTheme="majorHAnsi" w:cstheme="majorHAnsi"/>
          <w:sz w:val="24"/>
          <w:szCs w:val="24"/>
        </w:rPr>
        <w:t xml:space="preserve"> în alte cazuri</w:t>
      </w:r>
      <w:r w:rsidR="00BF4313" w:rsidRPr="00CB5F81">
        <w:rPr>
          <w:rFonts w:asciiTheme="majorHAnsi" w:hAnsiTheme="majorHAnsi" w:cstheme="majorHAnsi"/>
          <w:sz w:val="24"/>
          <w:szCs w:val="24"/>
        </w:rPr>
        <w:t xml:space="preserve"> </w:t>
      </w:r>
      <w:r w:rsidR="00E1796A">
        <w:rPr>
          <w:rFonts w:asciiTheme="majorHAnsi" w:hAnsiTheme="majorHAnsi" w:cstheme="majorHAnsi"/>
          <w:sz w:val="24"/>
          <w:szCs w:val="24"/>
        </w:rPr>
        <w:t xml:space="preserve">- </w:t>
      </w:r>
      <w:r w:rsidR="00BF4313" w:rsidRPr="00CB5F81">
        <w:rPr>
          <w:rFonts w:asciiTheme="majorHAnsi" w:hAnsiTheme="majorHAnsi" w:cstheme="majorHAnsi"/>
          <w:sz w:val="24"/>
          <w:szCs w:val="24"/>
        </w:rPr>
        <w:t>neclarități și tratări neunivoce la determinarea valorii înlesnirilor acordate beneficiarilor</w:t>
      </w:r>
      <w:r w:rsidR="004F014A" w:rsidRPr="00CB5F81">
        <w:rPr>
          <w:rFonts w:asciiTheme="majorHAnsi" w:hAnsiTheme="majorHAnsi" w:cstheme="majorHAnsi"/>
          <w:sz w:val="24"/>
          <w:szCs w:val="24"/>
        </w:rPr>
        <w:t xml:space="preserve"> de către autoritățile de </w:t>
      </w:r>
      <w:r w:rsidR="004D0E2B" w:rsidRPr="00CB5F81">
        <w:rPr>
          <w:rFonts w:asciiTheme="majorHAnsi" w:hAnsiTheme="majorHAnsi" w:cstheme="majorHAnsi"/>
          <w:sz w:val="24"/>
          <w:szCs w:val="24"/>
        </w:rPr>
        <w:t>administrare a facilităților fiscale</w:t>
      </w:r>
      <w:r w:rsidR="004F014A" w:rsidRPr="00CB5F81">
        <w:rPr>
          <w:rFonts w:asciiTheme="majorHAnsi" w:hAnsiTheme="majorHAnsi" w:cstheme="majorHAnsi"/>
          <w:sz w:val="24"/>
          <w:szCs w:val="24"/>
        </w:rPr>
        <w:t>.</w:t>
      </w:r>
      <w:r w:rsidR="00CE4983" w:rsidRPr="00CB5F81">
        <w:rPr>
          <w:rFonts w:asciiTheme="majorHAnsi" w:hAnsiTheme="majorHAnsi" w:cstheme="majorHAnsi"/>
          <w:sz w:val="24"/>
          <w:szCs w:val="24"/>
        </w:rPr>
        <w:t xml:space="preserve"> La fel, nu există</w:t>
      </w:r>
      <w:r w:rsidR="00EC1EAF">
        <w:rPr>
          <w:rFonts w:asciiTheme="majorHAnsi" w:hAnsiTheme="majorHAnsi" w:cstheme="majorHAnsi"/>
          <w:sz w:val="24"/>
          <w:szCs w:val="24"/>
        </w:rPr>
        <w:t xml:space="preserve"> </w:t>
      </w:r>
      <w:r w:rsidR="00CE4983" w:rsidRPr="00CB5F81">
        <w:rPr>
          <w:rFonts w:asciiTheme="majorHAnsi" w:hAnsiTheme="majorHAnsi" w:cstheme="majorHAnsi"/>
          <w:sz w:val="24"/>
          <w:szCs w:val="24"/>
        </w:rPr>
        <w:t>un act metodologic elaborat de către Ministerul Finanțelor care ar stabili perioada și responsabilitățile în materie de raportare de către administratorii facilităților.</w:t>
      </w:r>
      <w:r w:rsidR="00DC66D0">
        <w:rPr>
          <w:rFonts w:asciiTheme="majorHAnsi" w:hAnsiTheme="majorHAnsi" w:cstheme="majorHAnsi"/>
          <w:sz w:val="24"/>
          <w:szCs w:val="24"/>
        </w:rPr>
        <w:t xml:space="preserve"> </w:t>
      </w:r>
    </w:p>
    <w:p w:rsidR="00BF0E95" w:rsidRPr="00CB5F81" w:rsidRDefault="00B86400" w:rsidP="00B44F2F">
      <w:pPr>
        <w:tabs>
          <w:tab w:val="left" w:pos="90"/>
        </w:tabs>
        <w:spacing w:after="0"/>
        <w:jc w:val="both"/>
        <w:rPr>
          <w:rFonts w:asciiTheme="majorHAnsi" w:hAnsiTheme="majorHAnsi" w:cstheme="majorHAnsi"/>
          <w:sz w:val="24"/>
          <w:szCs w:val="24"/>
        </w:rPr>
      </w:pPr>
      <w:r w:rsidRPr="00CB5F81">
        <w:rPr>
          <w:rFonts w:asciiTheme="majorHAnsi" w:hAnsiTheme="majorHAnsi" w:cstheme="majorHAnsi"/>
          <w:sz w:val="24"/>
          <w:szCs w:val="24"/>
        </w:rPr>
        <w:t>Conform datelor prezentate auditului de către MF, agregate</w:t>
      </w:r>
      <w:r w:rsidR="00EC1EAF">
        <w:rPr>
          <w:rFonts w:asciiTheme="majorHAnsi" w:hAnsiTheme="majorHAnsi" w:cstheme="majorHAnsi"/>
          <w:sz w:val="24"/>
          <w:szCs w:val="24"/>
        </w:rPr>
        <w:t xml:space="preserve"> </w:t>
      </w:r>
      <w:r w:rsidRPr="00CB5F81">
        <w:rPr>
          <w:rFonts w:asciiTheme="majorHAnsi" w:hAnsiTheme="majorHAnsi" w:cstheme="majorHAnsi"/>
          <w:sz w:val="24"/>
          <w:szCs w:val="24"/>
        </w:rPr>
        <w:t>pe baza celor raportate de</w:t>
      </w:r>
      <w:r w:rsidR="00EC1EAF">
        <w:rPr>
          <w:rFonts w:asciiTheme="majorHAnsi" w:hAnsiTheme="majorHAnsi" w:cstheme="majorHAnsi"/>
          <w:sz w:val="24"/>
          <w:szCs w:val="24"/>
        </w:rPr>
        <w:t xml:space="preserve"> </w:t>
      </w:r>
      <w:r w:rsidR="00936B93" w:rsidRPr="00CB5F81">
        <w:rPr>
          <w:rFonts w:asciiTheme="majorHAnsi" w:hAnsiTheme="majorHAnsi" w:cstheme="majorHAnsi"/>
          <w:sz w:val="24"/>
          <w:szCs w:val="24"/>
        </w:rPr>
        <w:t>SFS și SV,</w:t>
      </w:r>
      <w:r w:rsidR="00EC1EAF">
        <w:rPr>
          <w:rFonts w:asciiTheme="majorHAnsi" w:hAnsiTheme="majorHAnsi" w:cstheme="majorHAnsi"/>
          <w:sz w:val="24"/>
          <w:szCs w:val="24"/>
        </w:rPr>
        <w:t xml:space="preserve"> </w:t>
      </w:r>
      <w:r w:rsidR="003A4478" w:rsidRPr="00CB5F81">
        <w:rPr>
          <w:rFonts w:asciiTheme="majorHAnsi" w:hAnsiTheme="majorHAnsi" w:cstheme="majorHAnsi"/>
          <w:sz w:val="24"/>
          <w:szCs w:val="24"/>
        </w:rPr>
        <w:t>în anul 2020,</w:t>
      </w:r>
      <w:r w:rsidR="00EC1EAF">
        <w:rPr>
          <w:rFonts w:asciiTheme="majorHAnsi" w:hAnsiTheme="majorHAnsi" w:cstheme="majorHAnsi"/>
          <w:sz w:val="24"/>
          <w:szCs w:val="24"/>
        </w:rPr>
        <w:t xml:space="preserve"> </w:t>
      </w:r>
      <w:r w:rsidR="000600B0" w:rsidRPr="00CB5F81">
        <w:rPr>
          <w:rFonts w:asciiTheme="majorHAnsi" w:hAnsiTheme="majorHAnsi" w:cstheme="majorHAnsi"/>
          <w:sz w:val="24"/>
          <w:szCs w:val="24"/>
        </w:rPr>
        <w:t>valoarea t</w:t>
      </w:r>
      <w:r w:rsidR="00B5551E" w:rsidRPr="00CB5F81">
        <w:rPr>
          <w:rFonts w:asciiTheme="majorHAnsi" w:hAnsiTheme="majorHAnsi" w:cstheme="majorHAnsi"/>
          <w:sz w:val="24"/>
          <w:szCs w:val="24"/>
        </w:rPr>
        <w:t>otală a facilităților fiscale și vamale</w:t>
      </w:r>
      <w:r w:rsidR="004C4197" w:rsidRPr="00CB5F81">
        <w:rPr>
          <w:rFonts w:asciiTheme="majorHAnsi" w:hAnsiTheme="majorHAnsi" w:cstheme="majorHAnsi"/>
          <w:sz w:val="24"/>
          <w:szCs w:val="24"/>
        </w:rPr>
        <w:t xml:space="preserve"> </w:t>
      </w:r>
      <w:r w:rsidR="000600B0" w:rsidRPr="00CB5F81">
        <w:rPr>
          <w:rFonts w:asciiTheme="majorHAnsi" w:hAnsiTheme="majorHAnsi" w:cstheme="majorHAnsi"/>
          <w:sz w:val="24"/>
          <w:szCs w:val="24"/>
        </w:rPr>
        <w:t>a constituit</w:t>
      </w:r>
      <w:r w:rsidR="00EC1EAF">
        <w:rPr>
          <w:rFonts w:asciiTheme="majorHAnsi" w:hAnsiTheme="majorHAnsi" w:cstheme="majorHAnsi"/>
          <w:sz w:val="24"/>
          <w:szCs w:val="24"/>
        </w:rPr>
        <w:t xml:space="preserve"> </w:t>
      </w:r>
      <w:r w:rsidR="00B44F2F" w:rsidRPr="00CB5F81">
        <w:rPr>
          <w:rFonts w:asciiTheme="majorHAnsi" w:hAnsiTheme="majorHAnsi" w:cstheme="majorHAnsi"/>
          <w:sz w:val="24"/>
          <w:szCs w:val="24"/>
        </w:rPr>
        <w:t>12,9</w:t>
      </w:r>
      <w:r w:rsidR="00EC1EAF">
        <w:rPr>
          <w:rFonts w:asciiTheme="majorHAnsi" w:hAnsiTheme="majorHAnsi" w:cstheme="majorHAnsi"/>
          <w:sz w:val="24"/>
          <w:szCs w:val="24"/>
        </w:rPr>
        <w:t xml:space="preserve"> </w:t>
      </w:r>
      <w:r w:rsidR="00726434" w:rsidRPr="00CB5F81">
        <w:rPr>
          <w:rFonts w:asciiTheme="majorHAnsi" w:hAnsiTheme="majorHAnsi" w:cstheme="majorHAnsi"/>
          <w:sz w:val="24"/>
          <w:szCs w:val="24"/>
        </w:rPr>
        <w:t>ml</w:t>
      </w:r>
      <w:r w:rsidR="00E1796A">
        <w:rPr>
          <w:rFonts w:asciiTheme="majorHAnsi" w:hAnsiTheme="majorHAnsi" w:cstheme="majorHAnsi"/>
          <w:sz w:val="24"/>
          <w:szCs w:val="24"/>
        </w:rPr>
        <w:t>r</w:t>
      </w:r>
      <w:r w:rsidR="00726434" w:rsidRPr="00CB5F81">
        <w:rPr>
          <w:rFonts w:asciiTheme="majorHAnsi" w:hAnsiTheme="majorHAnsi" w:cstheme="majorHAnsi"/>
          <w:sz w:val="24"/>
          <w:szCs w:val="24"/>
        </w:rPr>
        <w:t>d.</w:t>
      </w:r>
      <w:r w:rsidR="00B44F2F" w:rsidRPr="00CB5F81">
        <w:rPr>
          <w:rFonts w:asciiTheme="majorHAnsi" w:hAnsiTheme="majorHAnsi" w:cstheme="majorHAnsi"/>
          <w:sz w:val="24"/>
          <w:szCs w:val="24"/>
        </w:rPr>
        <w:t xml:space="preserve"> </w:t>
      </w:r>
      <w:r w:rsidR="003A4478" w:rsidRPr="00CB5F81">
        <w:rPr>
          <w:rFonts w:asciiTheme="majorHAnsi" w:hAnsiTheme="majorHAnsi" w:cstheme="majorHAnsi"/>
          <w:sz w:val="24"/>
          <w:szCs w:val="24"/>
        </w:rPr>
        <w:t xml:space="preserve">lei, </w:t>
      </w:r>
      <w:r w:rsidR="00EB0E35" w:rsidRPr="00CB5F81">
        <w:rPr>
          <w:rFonts w:asciiTheme="majorHAnsi" w:hAnsiTheme="majorHAnsi" w:cstheme="majorHAnsi"/>
          <w:sz w:val="24"/>
          <w:szCs w:val="24"/>
        </w:rPr>
        <w:t>dintre care</w:t>
      </w:r>
      <w:r w:rsidR="00E1796A">
        <w:rPr>
          <w:rFonts w:asciiTheme="majorHAnsi" w:hAnsiTheme="majorHAnsi" w:cstheme="majorHAnsi"/>
          <w:sz w:val="24"/>
          <w:szCs w:val="24"/>
        </w:rPr>
        <w:t xml:space="preserve">, </w:t>
      </w:r>
      <w:r w:rsidR="00EB0E35" w:rsidRPr="00CB5F81">
        <w:rPr>
          <w:rFonts w:asciiTheme="majorHAnsi" w:hAnsiTheme="majorHAnsi" w:cstheme="majorHAnsi"/>
          <w:sz w:val="24"/>
          <w:szCs w:val="24"/>
        </w:rPr>
        <w:t xml:space="preserve"> cele administrate de SFS </w:t>
      </w:r>
      <w:r w:rsidR="00495BE6" w:rsidRPr="00CB5F81">
        <w:rPr>
          <w:rFonts w:asciiTheme="majorHAnsi" w:hAnsiTheme="majorHAnsi" w:cstheme="majorHAnsi"/>
          <w:sz w:val="24"/>
          <w:szCs w:val="24"/>
        </w:rPr>
        <w:t xml:space="preserve">-2,3 </w:t>
      </w:r>
      <w:r w:rsidR="00726434" w:rsidRPr="00CB5F81">
        <w:rPr>
          <w:rFonts w:asciiTheme="majorHAnsi" w:hAnsiTheme="majorHAnsi" w:cstheme="majorHAnsi"/>
          <w:sz w:val="24"/>
          <w:szCs w:val="24"/>
        </w:rPr>
        <w:t>ml</w:t>
      </w:r>
      <w:r w:rsidR="00E1796A">
        <w:rPr>
          <w:rFonts w:asciiTheme="majorHAnsi" w:hAnsiTheme="majorHAnsi" w:cstheme="majorHAnsi"/>
          <w:sz w:val="24"/>
          <w:szCs w:val="24"/>
        </w:rPr>
        <w:t>r</w:t>
      </w:r>
      <w:r w:rsidR="00726434" w:rsidRPr="00CB5F81">
        <w:rPr>
          <w:rFonts w:asciiTheme="majorHAnsi" w:hAnsiTheme="majorHAnsi" w:cstheme="majorHAnsi"/>
          <w:sz w:val="24"/>
          <w:szCs w:val="24"/>
        </w:rPr>
        <w:t>d.</w:t>
      </w:r>
      <w:r w:rsidR="00495BE6" w:rsidRPr="00CB5F81">
        <w:rPr>
          <w:rFonts w:asciiTheme="majorHAnsi" w:hAnsiTheme="majorHAnsi" w:cstheme="majorHAnsi"/>
          <w:sz w:val="24"/>
          <w:szCs w:val="24"/>
        </w:rPr>
        <w:t xml:space="preserve"> lei. Per total, comparativ cu anul 2019, facilitățile au înregistrat o </w:t>
      </w:r>
      <w:r w:rsidR="003A4478" w:rsidRPr="00CB5F81">
        <w:rPr>
          <w:rFonts w:asciiTheme="majorHAnsi" w:hAnsiTheme="majorHAnsi" w:cstheme="majorHAnsi"/>
          <w:sz w:val="24"/>
          <w:szCs w:val="24"/>
        </w:rPr>
        <w:t xml:space="preserve">creștere </w:t>
      </w:r>
      <w:r w:rsidR="00BB5B66" w:rsidRPr="00BD1BF5">
        <w:rPr>
          <w:rFonts w:asciiTheme="majorHAnsi" w:hAnsiTheme="majorHAnsi" w:cstheme="majorHAnsi"/>
          <w:sz w:val="24"/>
          <w:szCs w:val="24"/>
        </w:rPr>
        <w:t xml:space="preserve">cu </w:t>
      </w:r>
      <w:r w:rsidR="00B44F2F" w:rsidRPr="00BD1BF5">
        <w:rPr>
          <w:rFonts w:asciiTheme="majorHAnsi" w:hAnsiTheme="majorHAnsi" w:cstheme="majorHAnsi"/>
          <w:sz w:val="24"/>
          <w:szCs w:val="24"/>
        </w:rPr>
        <w:t xml:space="preserve">1,2 </w:t>
      </w:r>
      <w:r w:rsidR="00726434" w:rsidRPr="00BD1BF5">
        <w:rPr>
          <w:rFonts w:asciiTheme="majorHAnsi" w:hAnsiTheme="majorHAnsi" w:cstheme="majorHAnsi"/>
          <w:sz w:val="24"/>
          <w:szCs w:val="24"/>
        </w:rPr>
        <w:t>ml</w:t>
      </w:r>
      <w:r w:rsidR="00E1796A" w:rsidRPr="00BD1BF5">
        <w:rPr>
          <w:rFonts w:asciiTheme="majorHAnsi" w:hAnsiTheme="majorHAnsi" w:cstheme="majorHAnsi"/>
          <w:sz w:val="24"/>
          <w:szCs w:val="24"/>
        </w:rPr>
        <w:t>r</w:t>
      </w:r>
      <w:r w:rsidR="00726434" w:rsidRPr="00BD1BF5">
        <w:rPr>
          <w:rFonts w:asciiTheme="majorHAnsi" w:hAnsiTheme="majorHAnsi" w:cstheme="majorHAnsi"/>
          <w:sz w:val="24"/>
          <w:szCs w:val="24"/>
        </w:rPr>
        <w:t>d.</w:t>
      </w:r>
      <w:r w:rsidR="004C5A7F" w:rsidRPr="00BD1BF5">
        <w:rPr>
          <w:rFonts w:asciiTheme="majorHAnsi" w:hAnsiTheme="majorHAnsi" w:cstheme="majorHAnsi"/>
          <w:sz w:val="24"/>
          <w:szCs w:val="24"/>
        </w:rPr>
        <w:t xml:space="preserve">lei, </w:t>
      </w:r>
      <w:r w:rsidR="004C4197" w:rsidRPr="00BD1BF5">
        <w:rPr>
          <w:rFonts w:asciiTheme="majorHAnsi" w:hAnsiTheme="majorHAnsi" w:cstheme="majorHAnsi"/>
          <w:sz w:val="24"/>
          <w:szCs w:val="24"/>
        </w:rPr>
        <w:t xml:space="preserve">fapt </w:t>
      </w:r>
      <w:r w:rsidR="004C5A7F" w:rsidRPr="00BD1BF5">
        <w:rPr>
          <w:rFonts w:asciiTheme="majorHAnsi" w:hAnsiTheme="majorHAnsi" w:cstheme="majorHAnsi"/>
          <w:sz w:val="24"/>
          <w:szCs w:val="24"/>
        </w:rPr>
        <w:t>condiționat</w:t>
      </w:r>
      <w:r w:rsidR="0047104A" w:rsidRPr="00BD1BF5">
        <w:rPr>
          <w:rFonts w:asciiTheme="majorHAnsi" w:hAnsiTheme="majorHAnsi" w:cstheme="majorHAnsi"/>
          <w:sz w:val="24"/>
          <w:szCs w:val="24"/>
        </w:rPr>
        <w:t xml:space="preserve"> </w:t>
      </w:r>
      <w:r w:rsidR="00BF0E95" w:rsidRPr="00BD1BF5">
        <w:rPr>
          <w:rFonts w:asciiTheme="majorHAnsi" w:hAnsiTheme="majorHAnsi" w:cstheme="majorHAnsi"/>
          <w:sz w:val="24"/>
          <w:szCs w:val="24"/>
        </w:rPr>
        <w:t xml:space="preserve">și </w:t>
      </w:r>
      <w:r w:rsidR="004C5A7F" w:rsidRPr="00BD1BF5">
        <w:rPr>
          <w:rFonts w:asciiTheme="majorHAnsi" w:hAnsiTheme="majorHAnsi" w:cstheme="majorHAnsi"/>
          <w:sz w:val="24"/>
          <w:szCs w:val="24"/>
        </w:rPr>
        <w:t xml:space="preserve">de susținerea mediului de afaceri în perioada </w:t>
      </w:r>
      <w:r w:rsidR="00B43CB0" w:rsidRPr="00BD1BF5">
        <w:rPr>
          <w:rFonts w:asciiTheme="majorHAnsi" w:hAnsiTheme="majorHAnsi" w:cstheme="majorHAnsi"/>
          <w:sz w:val="24"/>
          <w:szCs w:val="24"/>
        </w:rPr>
        <w:t>pandemică</w:t>
      </w:r>
      <w:r w:rsidR="00E1796A" w:rsidRPr="00BD1BF5">
        <w:rPr>
          <w:rFonts w:asciiTheme="majorHAnsi" w:hAnsiTheme="majorHAnsi" w:cstheme="majorHAnsi"/>
          <w:sz w:val="24"/>
          <w:szCs w:val="24"/>
        </w:rPr>
        <w:t>,</w:t>
      </w:r>
      <w:r w:rsidR="00B43CB0" w:rsidRPr="00BD1BF5">
        <w:rPr>
          <w:rFonts w:asciiTheme="majorHAnsi" w:hAnsiTheme="majorHAnsi" w:cstheme="majorHAnsi"/>
          <w:sz w:val="24"/>
          <w:szCs w:val="24"/>
        </w:rPr>
        <w:t xml:space="preserve"> d</w:t>
      </w:r>
      <w:r w:rsidR="004C5A7F" w:rsidRPr="00BD1BF5">
        <w:rPr>
          <w:rFonts w:asciiTheme="majorHAnsi" w:hAnsiTheme="majorHAnsi" w:cstheme="majorHAnsi"/>
          <w:sz w:val="24"/>
          <w:szCs w:val="24"/>
        </w:rPr>
        <w:t>eclanșată la nivel național</w:t>
      </w:r>
      <w:r w:rsidR="004C5A7F" w:rsidRPr="00CB5F81">
        <w:rPr>
          <w:rFonts w:asciiTheme="majorHAnsi" w:hAnsiTheme="majorHAnsi" w:cstheme="majorHAnsi"/>
          <w:sz w:val="24"/>
          <w:szCs w:val="24"/>
        </w:rPr>
        <w:t xml:space="preserve"> și internațional.</w:t>
      </w:r>
      <w:r w:rsidR="00BF0E95" w:rsidRPr="00CB5F81">
        <w:rPr>
          <w:rFonts w:asciiTheme="majorHAnsi" w:hAnsiTheme="majorHAnsi" w:cstheme="majorHAnsi"/>
          <w:sz w:val="24"/>
          <w:szCs w:val="24"/>
        </w:rPr>
        <w:t xml:space="preserve"> Per ansamblu</w:t>
      </w:r>
      <w:r w:rsidR="00E1796A">
        <w:rPr>
          <w:rFonts w:asciiTheme="majorHAnsi" w:hAnsiTheme="majorHAnsi" w:cstheme="majorHAnsi"/>
          <w:sz w:val="24"/>
          <w:szCs w:val="24"/>
        </w:rPr>
        <w:t>,</w:t>
      </w:r>
      <w:r w:rsidR="00BF0E95" w:rsidRPr="00CB5F81">
        <w:rPr>
          <w:rFonts w:asciiTheme="majorHAnsi" w:hAnsiTheme="majorHAnsi" w:cstheme="majorHAnsi"/>
          <w:sz w:val="24"/>
          <w:szCs w:val="24"/>
        </w:rPr>
        <w:t xml:space="preserve"> facilitățile fiscale rapo</w:t>
      </w:r>
      <w:r w:rsidR="00E1796A">
        <w:rPr>
          <w:rFonts w:asciiTheme="majorHAnsi" w:hAnsiTheme="majorHAnsi" w:cstheme="majorHAnsi"/>
          <w:sz w:val="24"/>
          <w:szCs w:val="24"/>
        </w:rPr>
        <w:t>rt</w:t>
      </w:r>
      <w:r w:rsidR="00BF0E95" w:rsidRPr="00CB5F81">
        <w:rPr>
          <w:rFonts w:asciiTheme="majorHAnsi" w:hAnsiTheme="majorHAnsi" w:cstheme="majorHAnsi"/>
          <w:sz w:val="24"/>
          <w:szCs w:val="24"/>
        </w:rPr>
        <w:t>ate în anul 2020 au fost</w:t>
      </w:r>
      <w:r w:rsidR="00EC1EAF">
        <w:rPr>
          <w:rFonts w:asciiTheme="majorHAnsi" w:hAnsiTheme="majorHAnsi" w:cstheme="majorHAnsi"/>
          <w:sz w:val="24"/>
          <w:szCs w:val="24"/>
        </w:rPr>
        <w:t xml:space="preserve"> </w:t>
      </w:r>
      <w:r w:rsidR="00BF0E95" w:rsidRPr="00CB5F81">
        <w:rPr>
          <w:rFonts w:asciiTheme="majorHAnsi" w:hAnsiTheme="majorHAnsi" w:cstheme="majorHAnsi"/>
          <w:sz w:val="24"/>
          <w:szCs w:val="24"/>
        </w:rPr>
        <w:t>acordate beneficiarilor</w:t>
      </w:r>
      <w:r w:rsidR="00EC1EAF">
        <w:rPr>
          <w:rFonts w:asciiTheme="majorHAnsi" w:hAnsiTheme="majorHAnsi" w:cstheme="majorHAnsi"/>
          <w:sz w:val="24"/>
          <w:szCs w:val="24"/>
        </w:rPr>
        <w:t xml:space="preserve"> </w:t>
      </w:r>
      <w:r w:rsidR="00BF0E95" w:rsidRPr="00CB5F81">
        <w:rPr>
          <w:rFonts w:asciiTheme="majorHAnsi" w:hAnsiTheme="majorHAnsi" w:cstheme="majorHAnsi"/>
          <w:sz w:val="24"/>
          <w:szCs w:val="24"/>
        </w:rPr>
        <w:t xml:space="preserve">sub formă de renunțări la veniturile bugetare. </w:t>
      </w:r>
    </w:p>
    <w:p w:rsidR="00A8712F" w:rsidRPr="000B0D94" w:rsidRDefault="00A8712F" w:rsidP="00B44F2F">
      <w:pPr>
        <w:tabs>
          <w:tab w:val="left" w:pos="90"/>
        </w:tabs>
        <w:spacing w:after="0"/>
        <w:jc w:val="right"/>
        <w:rPr>
          <w:rFonts w:asciiTheme="majorHAnsi" w:hAnsiTheme="majorHAnsi" w:cstheme="majorHAnsi"/>
          <w:b/>
          <w:sz w:val="24"/>
          <w:szCs w:val="24"/>
        </w:rPr>
      </w:pPr>
      <w:r w:rsidRPr="000B0D94">
        <w:rPr>
          <w:rFonts w:asciiTheme="majorHAnsi" w:hAnsiTheme="majorHAnsi" w:cstheme="majorHAnsi"/>
          <w:b/>
          <w:sz w:val="24"/>
          <w:szCs w:val="24"/>
        </w:rPr>
        <w:lastRenderedPageBreak/>
        <w:t>Diagrama nr.2</w:t>
      </w:r>
    </w:p>
    <w:p w:rsidR="00B454BC" w:rsidRPr="00CB5F81" w:rsidRDefault="00040BCB" w:rsidP="00A8712F">
      <w:pPr>
        <w:spacing w:after="120" w:line="240" w:lineRule="auto"/>
        <w:jc w:val="both"/>
        <w:rPr>
          <w:rFonts w:asciiTheme="majorHAnsi" w:eastAsiaTheme="minorEastAsia" w:hAnsiTheme="majorHAnsi" w:cstheme="majorHAnsi"/>
          <w:sz w:val="24"/>
          <w:szCs w:val="24"/>
          <w:lang w:eastAsia="ru-RU"/>
        </w:rPr>
      </w:pPr>
      <w:r w:rsidRPr="00CB5F81">
        <w:rPr>
          <w:rFonts w:ascii="Calibri" w:eastAsia="Times New Roman" w:hAnsi="Calibri" w:cs="Calibri"/>
          <w:noProof/>
          <w:color w:val="000000"/>
          <w:lang w:val="en-US"/>
        </w:rPr>
        <w:drawing>
          <wp:anchor distT="0" distB="0" distL="114300" distR="114300" simplePos="0" relativeHeight="251671552" behindDoc="0" locked="0" layoutInCell="1" allowOverlap="1" wp14:anchorId="6EB9ABC3" wp14:editId="63FF46BB">
            <wp:simplePos x="0" y="0"/>
            <wp:positionH relativeFrom="margin">
              <wp:align>right</wp:align>
            </wp:positionH>
            <wp:positionV relativeFrom="paragraph">
              <wp:posOffset>9525</wp:posOffset>
            </wp:positionV>
            <wp:extent cx="2849880" cy="3124200"/>
            <wp:effectExtent l="0" t="0" r="762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16B61" w:rsidRPr="00CB5F81">
        <w:rPr>
          <w:rFonts w:asciiTheme="majorHAnsi" w:eastAsiaTheme="minorEastAsia" w:hAnsiTheme="majorHAnsi" w:cstheme="majorHAnsi"/>
          <w:sz w:val="24"/>
          <w:szCs w:val="24"/>
          <w:lang w:eastAsia="ru-RU"/>
        </w:rPr>
        <w:t xml:space="preserve">Potrivit </w:t>
      </w:r>
      <w:r w:rsidR="00116B61" w:rsidRPr="00526D44">
        <w:rPr>
          <w:rFonts w:asciiTheme="majorHAnsi" w:eastAsiaTheme="minorEastAsia" w:hAnsiTheme="majorHAnsi" w:cstheme="majorHAnsi"/>
          <w:sz w:val="24"/>
          <w:szCs w:val="24"/>
          <w:lang w:eastAsia="ru-RU"/>
        </w:rPr>
        <w:t>Registrul</w:t>
      </w:r>
      <w:r w:rsidR="00BC4785" w:rsidRPr="00526D44">
        <w:rPr>
          <w:rFonts w:asciiTheme="majorHAnsi" w:eastAsiaTheme="minorEastAsia" w:hAnsiTheme="majorHAnsi" w:cstheme="majorHAnsi"/>
          <w:sz w:val="24"/>
          <w:szCs w:val="24"/>
          <w:lang w:eastAsia="ru-RU"/>
        </w:rPr>
        <w:t>ui</w:t>
      </w:r>
      <w:r w:rsidR="00116B61" w:rsidRPr="00526D44">
        <w:rPr>
          <w:rFonts w:asciiTheme="majorHAnsi" w:eastAsiaTheme="minorEastAsia" w:hAnsiTheme="majorHAnsi" w:cstheme="majorHAnsi"/>
          <w:sz w:val="24"/>
          <w:szCs w:val="24"/>
          <w:lang w:eastAsia="ru-RU"/>
        </w:rPr>
        <w:t xml:space="preserve"> unic al facilităților fiscale</w:t>
      </w:r>
      <w:r w:rsidR="00E1796A">
        <w:rPr>
          <w:rFonts w:asciiTheme="majorHAnsi" w:eastAsiaTheme="minorEastAsia" w:hAnsiTheme="majorHAnsi" w:cstheme="majorHAnsi"/>
          <w:sz w:val="24"/>
          <w:szCs w:val="24"/>
          <w:lang w:eastAsia="ru-RU"/>
        </w:rPr>
        <w:t>,</w:t>
      </w:r>
      <w:r w:rsidR="00116B61" w:rsidRPr="00CB5F81">
        <w:rPr>
          <w:rFonts w:asciiTheme="majorHAnsi" w:eastAsiaTheme="minorEastAsia" w:hAnsiTheme="majorHAnsi" w:cstheme="majorHAnsi"/>
          <w:sz w:val="24"/>
          <w:szCs w:val="24"/>
          <w:lang w:eastAsia="ru-RU"/>
        </w:rPr>
        <w:t xml:space="preserve"> </w:t>
      </w:r>
      <w:r w:rsidR="00495BE6" w:rsidRPr="00CB5F81">
        <w:rPr>
          <w:rFonts w:asciiTheme="majorHAnsi" w:eastAsiaTheme="minorEastAsia" w:hAnsiTheme="majorHAnsi" w:cstheme="majorHAnsi"/>
          <w:sz w:val="24"/>
          <w:szCs w:val="24"/>
          <w:lang w:eastAsia="ru-RU"/>
        </w:rPr>
        <w:t xml:space="preserve">SFS </w:t>
      </w:r>
      <w:r w:rsidR="00116B61" w:rsidRPr="00CB5F81">
        <w:rPr>
          <w:rFonts w:asciiTheme="majorHAnsi" w:eastAsiaTheme="minorEastAsia" w:hAnsiTheme="majorHAnsi" w:cstheme="majorHAnsi"/>
          <w:sz w:val="24"/>
          <w:szCs w:val="24"/>
          <w:lang w:eastAsia="ru-RU"/>
        </w:rPr>
        <w:t>est</w:t>
      </w:r>
      <w:r w:rsidR="00BC4785" w:rsidRPr="00CB5F81">
        <w:rPr>
          <w:rFonts w:asciiTheme="majorHAnsi" w:eastAsiaTheme="minorEastAsia" w:hAnsiTheme="majorHAnsi" w:cstheme="majorHAnsi"/>
          <w:sz w:val="24"/>
          <w:szCs w:val="24"/>
          <w:lang w:eastAsia="ru-RU"/>
        </w:rPr>
        <w:t xml:space="preserve">e responsabil de administrarea </w:t>
      </w:r>
      <w:r w:rsidR="00116B61" w:rsidRPr="00CB5F81">
        <w:rPr>
          <w:rFonts w:asciiTheme="majorHAnsi" w:eastAsiaTheme="minorEastAsia" w:hAnsiTheme="majorHAnsi" w:cstheme="majorHAnsi"/>
          <w:sz w:val="24"/>
          <w:szCs w:val="24"/>
          <w:lang w:eastAsia="ru-RU"/>
        </w:rPr>
        <w:t xml:space="preserve">a </w:t>
      </w:r>
      <w:r w:rsidR="00252579" w:rsidRPr="00CB5F81">
        <w:rPr>
          <w:rFonts w:asciiTheme="majorHAnsi" w:eastAsiaTheme="minorEastAsia" w:hAnsiTheme="majorHAnsi" w:cstheme="majorHAnsi"/>
          <w:sz w:val="24"/>
          <w:szCs w:val="24"/>
          <w:lang w:eastAsia="ru-RU"/>
        </w:rPr>
        <w:t xml:space="preserve"> 21</w:t>
      </w:r>
      <w:r w:rsidR="00A85441">
        <w:rPr>
          <w:rFonts w:asciiTheme="majorHAnsi" w:eastAsiaTheme="minorEastAsia" w:hAnsiTheme="majorHAnsi" w:cstheme="majorHAnsi"/>
          <w:sz w:val="24"/>
          <w:szCs w:val="24"/>
          <w:lang w:eastAsia="ru-RU"/>
        </w:rPr>
        <w:t xml:space="preserve">7 </w:t>
      </w:r>
      <w:r w:rsidR="00A407C6" w:rsidRPr="00CB5F81">
        <w:rPr>
          <w:rFonts w:asciiTheme="majorHAnsi" w:eastAsiaTheme="minorEastAsia" w:hAnsiTheme="majorHAnsi" w:cstheme="majorHAnsi"/>
          <w:sz w:val="24"/>
          <w:szCs w:val="24"/>
          <w:lang w:eastAsia="ru-RU"/>
        </w:rPr>
        <w:t xml:space="preserve"> facilități fiscale</w:t>
      </w:r>
      <w:r w:rsidR="00400992" w:rsidRPr="00CB5F81">
        <w:rPr>
          <w:rFonts w:asciiTheme="majorHAnsi" w:eastAsiaTheme="minorEastAsia" w:hAnsiTheme="majorHAnsi" w:cstheme="majorHAnsi"/>
          <w:sz w:val="24"/>
          <w:szCs w:val="24"/>
          <w:lang w:eastAsia="ru-RU"/>
        </w:rPr>
        <w:t>. S</w:t>
      </w:r>
      <w:r w:rsidR="00BC4785" w:rsidRPr="00CB5F81">
        <w:rPr>
          <w:rFonts w:asciiTheme="majorHAnsi" w:eastAsiaTheme="minorEastAsia" w:hAnsiTheme="majorHAnsi" w:cstheme="majorHAnsi"/>
          <w:sz w:val="24"/>
          <w:szCs w:val="24"/>
          <w:lang w:eastAsia="ru-RU"/>
        </w:rPr>
        <w:t>ituația privind ponderea facilităților acordate în anul 2020,</w:t>
      </w:r>
      <w:r w:rsidR="00EC1EAF">
        <w:rPr>
          <w:rFonts w:asciiTheme="majorHAnsi" w:eastAsiaTheme="minorEastAsia" w:hAnsiTheme="majorHAnsi" w:cstheme="majorHAnsi"/>
          <w:sz w:val="24"/>
          <w:szCs w:val="24"/>
          <w:lang w:eastAsia="ru-RU"/>
        </w:rPr>
        <w:t xml:space="preserve"> </w:t>
      </w:r>
      <w:r w:rsidR="00400992" w:rsidRPr="00CB5F81">
        <w:rPr>
          <w:rFonts w:asciiTheme="majorHAnsi" w:eastAsiaTheme="minorEastAsia" w:hAnsiTheme="majorHAnsi" w:cstheme="majorHAnsi"/>
          <w:sz w:val="24"/>
          <w:szCs w:val="24"/>
          <w:lang w:eastAsia="ru-RU"/>
        </w:rPr>
        <w:t xml:space="preserve">la care SFS a </w:t>
      </w:r>
      <w:r w:rsidR="00BC4785" w:rsidRPr="00CB5F81">
        <w:rPr>
          <w:rFonts w:asciiTheme="majorHAnsi" w:eastAsiaTheme="minorEastAsia" w:hAnsiTheme="majorHAnsi" w:cstheme="majorHAnsi"/>
          <w:sz w:val="24"/>
          <w:szCs w:val="24"/>
          <w:lang w:eastAsia="ru-RU"/>
        </w:rPr>
        <w:t>estimat costurile bugetare</w:t>
      </w:r>
      <w:r w:rsidR="00663AA3">
        <w:rPr>
          <w:rFonts w:asciiTheme="majorHAnsi" w:eastAsiaTheme="minorEastAsia" w:hAnsiTheme="majorHAnsi" w:cstheme="majorHAnsi"/>
          <w:sz w:val="24"/>
          <w:szCs w:val="24"/>
          <w:lang w:eastAsia="ru-RU"/>
        </w:rPr>
        <w:t>,</w:t>
      </w:r>
      <w:r w:rsidR="00BC4785" w:rsidRPr="00CB5F81">
        <w:rPr>
          <w:rFonts w:asciiTheme="majorHAnsi" w:eastAsiaTheme="minorEastAsia" w:hAnsiTheme="majorHAnsi" w:cstheme="majorHAnsi"/>
          <w:sz w:val="24"/>
          <w:szCs w:val="24"/>
          <w:lang w:eastAsia="ru-RU"/>
        </w:rPr>
        <w:t xml:space="preserve"> este </w:t>
      </w:r>
      <w:r w:rsidR="00663AA3">
        <w:rPr>
          <w:rFonts w:asciiTheme="majorHAnsi" w:eastAsiaTheme="minorEastAsia" w:hAnsiTheme="majorHAnsi" w:cstheme="majorHAnsi"/>
          <w:sz w:val="24"/>
          <w:szCs w:val="24"/>
          <w:lang w:eastAsia="ru-RU"/>
        </w:rPr>
        <w:t>prezentată</w:t>
      </w:r>
      <w:r w:rsidR="00BC4785" w:rsidRPr="00CB5F81">
        <w:rPr>
          <w:rFonts w:asciiTheme="majorHAnsi" w:eastAsiaTheme="minorEastAsia" w:hAnsiTheme="majorHAnsi" w:cstheme="majorHAnsi"/>
          <w:sz w:val="24"/>
          <w:szCs w:val="24"/>
          <w:lang w:eastAsia="ru-RU"/>
        </w:rPr>
        <w:t xml:space="preserve"> </w:t>
      </w:r>
      <w:r w:rsidR="00BC4785" w:rsidRPr="003B791A">
        <w:rPr>
          <w:rFonts w:asciiTheme="majorHAnsi" w:eastAsiaTheme="minorEastAsia" w:hAnsiTheme="majorHAnsi" w:cstheme="majorHAnsi"/>
          <w:sz w:val="24"/>
          <w:szCs w:val="24"/>
          <w:lang w:eastAsia="ru-RU"/>
        </w:rPr>
        <w:t xml:space="preserve">în </w:t>
      </w:r>
      <w:r w:rsidR="00CE1F7F" w:rsidRPr="003B791A">
        <w:rPr>
          <w:rFonts w:asciiTheme="majorHAnsi" w:eastAsiaTheme="minorEastAsia" w:hAnsiTheme="majorHAnsi" w:cstheme="majorHAnsi"/>
          <w:sz w:val="24"/>
          <w:szCs w:val="24"/>
          <w:lang w:eastAsia="ru-RU"/>
        </w:rPr>
        <w:t>D</w:t>
      </w:r>
      <w:r w:rsidR="00A8712F" w:rsidRPr="003B791A">
        <w:rPr>
          <w:rFonts w:asciiTheme="majorHAnsi" w:eastAsiaTheme="minorEastAsia" w:hAnsiTheme="majorHAnsi" w:cstheme="majorHAnsi"/>
          <w:sz w:val="24"/>
          <w:szCs w:val="24"/>
          <w:lang w:eastAsia="ru-RU"/>
        </w:rPr>
        <w:t>iagrama</w:t>
      </w:r>
      <w:r w:rsidR="00A8712F" w:rsidRPr="00CB5F81">
        <w:rPr>
          <w:rFonts w:asciiTheme="majorHAnsi" w:eastAsiaTheme="minorEastAsia" w:hAnsiTheme="majorHAnsi" w:cstheme="majorHAnsi"/>
          <w:sz w:val="24"/>
          <w:szCs w:val="24"/>
          <w:lang w:eastAsia="ru-RU"/>
        </w:rPr>
        <w:t xml:space="preserve"> nr.2.</w:t>
      </w:r>
    </w:p>
    <w:p w:rsidR="00BC4785" w:rsidRPr="00CB5F81" w:rsidRDefault="00CE4983" w:rsidP="00BC4785">
      <w:pPr>
        <w:tabs>
          <w:tab w:val="left" w:pos="270"/>
        </w:tabs>
        <w:jc w:val="both"/>
        <w:rPr>
          <w:rFonts w:asciiTheme="majorHAnsi" w:eastAsiaTheme="minorEastAsia" w:hAnsiTheme="majorHAnsi" w:cstheme="majorHAnsi"/>
          <w:sz w:val="24"/>
          <w:szCs w:val="24"/>
          <w:lang w:eastAsia="ru-RU"/>
        </w:rPr>
      </w:pPr>
      <w:r w:rsidRPr="00CB5F81">
        <w:rPr>
          <w:rFonts w:ascii="Calibri" w:eastAsia="Times New Roman" w:hAnsi="Calibri" w:cs="Calibri"/>
          <w:noProof/>
          <w:color w:val="000000"/>
          <w:lang w:val="en-US"/>
        </w:rPr>
        <mc:AlternateContent>
          <mc:Choice Requires="wps">
            <w:drawing>
              <wp:anchor distT="0" distB="0" distL="114300" distR="114300" simplePos="0" relativeHeight="251673600" behindDoc="0" locked="0" layoutInCell="1" allowOverlap="1" wp14:anchorId="53496D8B" wp14:editId="42FC3FC4">
                <wp:simplePos x="0" y="0"/>
                <wp:positionH relativeFrom="column">
                  <wp:posOffset>4922520</wp:posOffset>
                </wp:positionH>
                <wp:positionV relativeFrom="paragraph">
                  <wp:posOffset>152400</wp:posOffset>
                </wp:positionV>
                <wp:extent cx="853440" cy="480060"/>
                <wp:effectExtent l="0" t="0" r="0" b="0"/>
                <wp:wrapNone/>
                <wp:docPr id="7" name="Text Box 7"/>
                <wp:cNvGraphicFramePr/>
                <a:graphic xmlns:a="http://schemas.openxmlformats.org/drawingml/2006/main">
                  <a:graphicData uri="http://schemas.microsoft.com/office/word/2010/wordprocessingShape">
                    <wps:wsp>
                      <wps:cNvSpPr txBox="1"/>
                      <wps:spPr>
                        <a:xfrm>
                          <a:off x="0" y="0"/>
                          <a:ext cx="853440" cy="480060"/>
                        </a:xfrm>
                        <a:prstGeom prst="rect">
                          <a:avLst/>
                        </a:prstGeom>
                      </wps:spPr>
                      <wps:txbx>
                        <w:txbxContent>
                          <w:p w:rsidR="008578F9" w:rsidRDefault="008578F9" w:rsidP="00CE4983">
                            <w:pPr>
                              <w:pStyle w:val="NormalWeb"/>
                              <w:ind w:firstLine="0"/>
                              <w:jc w:val="center"/>
                              <w:rPr>
                                <w:rFonts w:asciiTheme="minorHAnsi" w:hAnsi="Calibri" w:cstheme="minorBidi"/>
                                <w:b/>
                                <w:bCs/>
                                <w:color w:val="FFFFFF" w:themeColor="background1"/>
                                <w:lang w:val="ro-MD"/>
                              </w:rPr>
                            </w:pPr>
                            <w:r>
                              <w:rPr>
                                <w:rFonts w:asciiTheme="minorHAnsi" w:hAnsi="Calibri" w:cstheme="minorBidi"/>
                                <w:b/>
                                <w:bCs/>
                                <w:color w:val="FFFFFF" w:themeColor="background1"/>
                                <w:lang w:val="ro-MD"/>
                              </w:rPr>
                              <w:t>2,3</w:t>
                            </w:r>
                          </w:p>
                          <w:p w:rsidR="008578F9" w:rsidRDefault="008578F9" w:rsidP="00CE4983">
                            <w:pPr>
                              <w:pStyle w:val="NormalWeb"/>
                              <w:ind w:firstLine="0"/>
                              <w:jc w:val="center"/>
                            </w:pPr>
                            <w:r>
                              <w:rPr>
                                <w:rFonts w:asciiTheme="minorHAnsi" w:hAnsi="Calibri" w:cstheme="minorBidi"/>
                                <w:b/>
                                <w:bCs/>
                                <w:color w:val="FFFFFF" w:themeColor="background1"/>
                                <w:lang w:val="ro-MD"/>
                              </w:rPr>
                              <w:t xml:space="preserve"> mlrd.lei</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53496D8B" id="_x0000_t202" coordsize="21600,21600" o:spt="202" path="m,l,21600r21600,l21600,xe">
                <v:stroke joinstyle="miter"/>
                <v:path gradientshapeok="t" o:connecttype="rect"/>
              </v:shapetype>
              <v:shape id="Text Box 7" o:spid="_x0000_s1026" type="#_x0000_t202" style="position:absolute;left:0;text-align:left;margin-left:387.6pt;margin-top:12pt;width:67.2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" filled="f" stroked="f">
                <v:textbox>
                  <w:txbxContent>
                    <w:p w:rsidR="008578F9" w:rsidRDefault="008578F9" w:rsidP="00CE4983">
                      <w:pPr>
                        <w:pStyle w:val="NormalWeb"/>
                        <w:ind w:firstLine="0"/>
                        <w:jc w:val="center"/>
                        <w:rPr>
                          <w:rFonts w:asciiTheme="minorHAnsi" w:hAnsi="Calibri" w:cstheme="minorBidi"/>
                          <w:b/>
                          <w:bCs/>
                          <w:color w:val="FFFFFF" w:themeColor="background1"/>
                          <w:lang w:val="ro-MD"/>
                        </w:rPr>
                      </w:pPr>
                      <w:r>
                        <w:rPr>
                          <w:rFonts w:asciiTheme="minorHAnsi" w:hAnsi="Calibri" w:cstheme="minorBidi"/>
                          <w:b/>
                          <w:bCs/>
                          <w:color w:val="FFFFFF" w:themeColor="background1"/>
                          <w:lang w:val="ro-MD"/>
                        </w:rPr>
                        <w:t>2,3</w:t>
                      </w:r>
                    </w:p>
                    <w:p w:rsidR="008578F9" w:rsidRDefault="008578F9" w:rsidP="00CE4983">
                      <w:pPr>
                        <w:pStyle w:val="NormalWeb"/>
                        <w:ind w:firstLine="0"/>
                        <w:jc w:val="center"/>
                      </w:pPr>
                      <w:r>
                        <w:rPr>
                          <w:rFonts w:asciiTheme="minorHAnsi" w:hAnsi="Calibri" w:cstheme="minorBidi"/>
                          <w:b/>
                          <w:bCs/>
                          <w:color w:val="FFFFFF" w:themeColor="background1"/>
                          <w:lang w:val="ro-MD"/>
                        </w:rPr>
                        <w:t xml:space="preserve"> </w:t>
                      </w:r>
                      <w:proofErr w:type="spellStart"/>
                      <w:r>
                        <w:rPr>
                          <w:rFonts w:asciiTheme="minorHAnsi" w:hAnsi="Calibri" w:cstheme="minorBidi"/>
                          <w:b/>
                          <w:bCs/>
                          <w:color w:val="FFFFFF" w:themeColor="background1"/>
                          <w:lang w:val="ro-MD"/>
                        </w:rPr>
                        <w:t>mlrd.lei</w:t>
                      </w:r>
                      <w:proofErr w:type="spellEnd"/>
                    </w:p>
                  </w:txbxContent>
                </v:textbox>
              </v:shape>
            </w:pict>
          </mc:Fallback>
        </mc:AlternateContent>
      </w:r>
      <w:r w:rsidR="00400992" w:rsidRPr="00CB5F81">
        <w:rPr>
          <w:rFonts w:asciiTheme="majorHAnsi" w:eastAsiaTheme="minorEastAsia" w:hAnsiTheme="majorHAnsi" w:cstheme="majorHAnsi"/>
          <w:sz w:val="24"/>
          <w:szCs w:val="24"/>
          <w:lang w:eastAsia="ru-RU"/>
        </w:rPr>
        <w:t xml:space="preserve">Datele </w:t>
      </w:r>
      <w:r w:rsidR="00A8712F" w:rsidRPr="00CB5F81">
        <w:rPr>
          <w:rFonts w:asciiTheme="majorHAnsi" w:eastAsiaTheme="minorEastAsia" w:hAnsiTheme="majorHAnsi" w:cstheme="majorHAnsi"/>
          <w:sz w:val="24"/>
          <w:szCs w:val="24"/>
          <w:lang w:eastAsia="ru-RU"/>
        </w:rPr>
        <w:t xml:space="preserve">expuse atestă </w:t>
      </w:r>
      <w:r w:rsidR="00400992" w:rsidRPr="00CB5F81">
        <w:rPr>
          <w:rFonts w:asciiTheme="majorHAnsi" w:eastAsiaTheme="minorEastAsia" w:hAnsiTheme="majorHAnsi" w:cstheme="majorHAnsi"/>
          <w:sz w:val="24"/>
          <w:szCs w:val="24"/>
          <w:lang w:eastAsia="ru-RU"/>
        </w:rPr>
        <w:t>că pentru anul 2020 au fost</w:t>
      </w:r>
      <w:r w:rsidR="00BC4785" w:rsidRPr="00CB5F81">
        <w:rPr>
          <w:rFonts w:asciiTheme="majorHAnsi" w:eastAsiaTheme="minorEastAsia" w:hAnsiTheme="majorHAnsi" w:cstheme="majorHAnsi"/>
          <w:sz w:val="24"/>
          <w:szCs w:val="24"/>
          <w:lang w:eastAsia="ru-RU"/>
        </w:rPr>
        <w:t xml:space="preserve"> estimate și raportate costurile bugetare a 7</w:t>
      </w:r>
      <w:r w:rsidR="00B21E63" w:rsidRPr="00CB5F81">
        <w:rPr>
          <w:rFonts w:asciiTheme="majorHAnsi" w:eastAsiaTheme="minorEastAsia" w:hAnsiTheme="majorHAnsi" w:cstheme="majorHAnsi"/>
          <w:sz w:val="24"/>
          <w:szCs w:val="24"/>
          <w:lang w:eastAsia="ru-RU"/>
        </w:rPr>
        <w:t>6</w:t>
      </w:r>
      <w:r w:rsidR="00BC4785" w:rsidRPr="00CB5F81">
        <w:rPr>
          <w:rFonts w:asciiTheme="majorHAnsi" w:eastAsiaTheme="minorEastAsia" w:hAnsiTheme="majorHAnsi" w:cstheme="majorHAnsi"/>
          <w:sz w:val="24"/>
          <w:szCs w:val="24"/>
          <w:lang w:eastAsia="ru-RU"/>
        </w:rPr>
        <w:t xml:space="preserve"> </w:t>
      </w:r>
      <w:r w:rsidR="00663AA3">
        <w:rPr>
          <w:rFonts w:asciiTheme="majorHAnsi" w:eastAsiaTheme="minorEastAsia" w:hAnsiTheme="majorHAnsi" w:cstheme="majorHAnsi"/>
          <w:sz w:val="24"/>
          <w:szCs w:val="24"/>
          <w:lang w:eastAsia="ru-RU"/>
        </w:rPr>
        <w:t xml:space="preserve">de </w:t>
      </w:r>
      <w:r w:rsidR="00BC4785" w:rsidRPr="00CB5F81">
        <w:rPr>
          <w:rFonts w:asciiTheme="majorHAnsi" w:eastAsiaTheme="minorEastAsia" w:hAnsiTheme="majorHAnsi" w:cstheme="majorHAnsi"/>
          <w:sz w:val="24"/>
          <w:szCs w:val="24"/>
          <w:lang w:eastAsia="ru-RU"/>
        </w:rPr>
        <w:t>facilități</w:t>
      </w:r>
      <w:r w:rsidR="00663AA3">
        <w:rPr>
          <w:rFonts w:asciiTheme="majorHAnsi" w:eastAsiaTheme="minorEastAsia" w:hAnsiTheme="majorHAnsi" w:cstheme="majorHAnsi"/>
          <w:sz w:val="24"/>
          <w:szCs w:val="24"/>
          <w:lang w:eastAsia="ru-RU"/>
        </w:rPr>
        <w:t>,</w:t>
      </w:r>
      <w:r w:rsidR="00BC4785" w:rsidRPr="00CB5F81">
        <w:rPr>
          <w:rFonts w:asciiTheme="majorHAnsi" w:eastAsiaTheme="minorEastAsia" w:hAnsiTheme="majorHAnsi" w:cstheme="majorHAnsi"/>
          <w:sz w:val="24"/>
          <w:szCs w:val="24"/>
          <w:lang w:eastAsia="ru-RU"/>
        </w:rPr>
        <w:t xml:space="preserve"> în sumă de 2,3 </w:t>
      </w:r>
      <w:r w:rsidR="00726434" w:rsidRPr="00CB5F81">
        <w:rPr>
          <w:rFonts w:asciiTheme="majorHAnsi" w:eastAsiaTheme="minorEastAsia" w:hAnsiTheme="majorHAnsi" w:cstheme="majorHAnsi"/>
          <w:sz w:val="24"/>
          <w:szCs w:val="24"/>
          <w:lang w:eastAsia="ru-RU"/>
        </w:rPr>
        <w:t>ml</w:t>
      </w:r>
      <w:r w:rsidR="00663AA3">
        <w:rPr>
          <w:rFonts w:asciiTheme="majorHAnsi" w:eastAsiaTheme="minorEastAsia" w:hAnsiTheme="majorHAnsi" w:cstheme="majorHAnsi"/>
          <w:sz w:val="24"/>
          <w:szCs w:val="24"/>
          <w:lang w:eastAsia="ru-RU"/>
        </w:rPr>
        <w:t>r</w:t>
      </w:r>
      <w:r w:rsidR="00726434" w:rsidRPr="00CB5F81">
        <w:rPr>
          <w:rFonts w:asciiTheme="majorHAnsi" w:eastAsiaTheme="minorEastAsia" w:hAnsiTheme="majorHAnsi" w:cstheme="majorHAnsi"/>
          <w:sz w:val="24"/>
          <w:szCs w:val="24"/>
          <w:lang w:eastAsia="ru-RU"/>
        </w:rPr>
        <w:t>d.</w:t>
      </w:r>
      <w:r w:rsidR="00BC4785" w:rsidRPr="00CB5F81">
        <w:rPr>
          <w:rFonts w:asciiTheme="majorHAnsi" w:eastAsiaTheme="minorEastAsia" w:hAnsiTheme="majorHAnsi" w:cstheme="majorHAnsi"/>
          <w:sz w:val="24"/>
          <w:szCs w:val="24"/>
          <w:lang w:eastAsia="ru-RU"/>
        </w:rPr>
        <w:t xml:space="preserve"> lei</w:t>
      </w:r>
      <w:r w:rsidR="00400992" w:rsidRPr="00CB5F81">
        <w:rPr>
          <w:rFonts w:asciiTheme="majorHAnsi" w:eastAsiaTheme="minorEastAsia" w:hAnsiTheme="majorHAnsi" w:cstheme="majorHAnsi"/>
          <w:sz w:val="24"/>
          <w:szCs w:val="24"/>
          <w:lang w:eastAsia="ru-RU"/>
        </w:rPr>
        <w:t>,</w:t>
      </w:r>
      <w:r w:rsidR="00BC4785" w:rsidRPr="00CB5F81">
        <w:rPr>
          <w:rFonts w:asciiTheme="majorHAnsi" w:eastAsiaTheme="minorEastAsia" w:hAnsiTheme="majorHAnsi" w:cstheme="majorHAnsi"/>
          <w:sz w:val="24"/>
          <w:szCs w:val="24"/>
          <w:lang w:eastAsia="ru-RU"/>
        </w:rPr>
        <w:t xml:space="preserve"> ce reprezintă doar 3</w:t>
      </w:r>
      <w:r w:rsidR="00B21E63" w:rsidRPr="00CB5F81">
        <w:rPr>
          <w:rFonts w:asciiTheme="majorHAnsi" w:eastAsiaTheme="minorEastAsia" w:hAnsiTheme="majorHAnsi" w:cstheme="majorHAnsi"/>
          <w:sz w:val="24"/>
          <w:szCs w:val="24"/>
          <w:lang w:eastAsia="ru-RU"/>
        </w:rPr>
        <w:t>5</w:t>
      </w:r>
      <w:r w:rsidR="00BC4785" w:rsidRPr="00CB5F81">
        <w:rPr>
          <w:rFonts w:asciiTheme="majorHAnsi" w:eastAsiaTheme="minorEastAsia" w:hAnsiTheme="majorHAnsi" w:cstheme="majorHAnsi"/>
          <w:sz w:val="24"/>
          <w:szCs w:val="24"/>
          <w:lang w:eastAsia="ru-RU"/>
        </w:rPr>
        <w:t xml:space="preserve">% din numărul total al acestora. </w:t>
      </w:r>
      <w:r w:rsidR="00400992" w:rsidRPr="00CB5F81">
        <w:rPr>
          <w:rFonts w:asciiTheme="majorHAnsi" w:eastAsiaTheme="minorEastAsia" w:hAnsiTheme="majorHAnsi" w:cstheme="majorHAnsi"/>
          <w:sz w:val="24"/>
          <w:szCs w:val="24"/>
          <w:lang w:eastAsia="ru-RU"/>
        </w:rPr>
        <w:t>Consecvent, la</w:t>
      </w:r>
      <w:r w:rsidR="00663AA3">
        <w:rPr>
          <w:rFonts w:asciiTheme="majorHAnsi" w:eastAsiaTheme="minorEastAsia" w:hAnsiTheme="majorHAnsi" w:cstheme="majorHAnsi"/>
          <w:sz w:val="24"/>
          <w:szCs w:val="24"/>
          <w:lang w:eastAsia="ru-RU"/>
        </w:rPr>
        <w:t xml:space="preserve"> </w:t>
      </w:r>
      <w:r w:rsidR="006A3FE7" w:rsidRPr="00CB5F81">
        <w:rPr>
          <w:rFonts w:asciiTheme="majorHAnsi" w:eastAsiaTheme="minorEastAsia" w:hAnsiTheme="majorHAnsi" w:cstheme="majorHAnsi"/>
          <w:sz w:val="24"/>
          <w:szCs w:val="24"/>
          <w:lang w:eastAsia="ru-RU"/>
        </w:rPr>
        <w:t>141</w:t>
      </w:r>
      <w:r w:rsidR="00400992" w:rsidRPr="00CB5F81">
        <w:rPr>
          <w:rFonts w:asciiTheme="majorHAnsi" w:eastAsiaTheme="minorEastAsia" w:hAnsiTheme="majorHAnsi" w:cstheme="majorHAnsi"/>
          <w:sz w:val="24"/>
          <w:szCs w:val="24"/>
          <w:lang w:eastAsia="ru-RU"/>
        </w:rPr>
        <w:t xml:space="preserve"> </w:t>
      </w:r>
      <w:r w:rsidR="00663AA3">
        <w:rPr>
          <w:rFonts w:asciiTheme="majorHAnsi" w:eastAsiaTheme="minorEastAsia" w:hAnsiTheme="majorHAnsi" w:cstheme="majorHAnsi"/>
          <w:sz w:val="24"/>
          <w:szCs w:val="24"/>
          <w:lang w:eastAsia="ru-RU"/>
        </w:rPr>
        <w:t xml:space="preserve">de </w:t>
      </w:r>
      <w:r w:rsidR="00400992" w:rsidRPr="00CB5F81">
        <w:rPr>
          <w:rFonts w:asciiTheme="majorHAnsi" w:eastAsiaTheme="minorEastAsia" w:hAnsiTheme="majorHAnsi" w:cstheme="majorHAnsi"/>
          <w:sz w:val="24"/>
          <w:szCs w:val="24"/>
          <w:lang w:eastAsia="ru-RU"/>
        </w:rPr>
        <w:t>facilități</w:t>
      </w:r>
      <w:r w:rsidR="00EC1EAF">
        <w:rPr>
          <w:rFonts w:asciiTheme="majorHAnsi" w:eastAsiaTheme="minorEastAsia" w:hAnsiTheme="majorHAnsi" w:cstheme="majorHAnsi"/>
          <w:sz w:val="24"/>
          <w:szCs w:val="24"/>
          <w:lang w:eastAsia="ru-RU"/>
        </w:rPr>
        <w:t xml:space="preserve"> </w:t>
      </w:r>
      <w:r w:rsidR="00400992" w:rsidRPr="00CB5F81">
        <w:rPr>
          <w:rFonts w:asciiTheme="majorHAnsi" w:eastAsiaTheme="minorEastAsia" w:hAnsiTheme="majorHAnsi" w:cstheme="majorHAnsi"/>
          <w:sz w:val="24"/>
          <w:szCs w:val="24"/>
          <w:lang w:eastAsia="ru-RU"/>
        </w:rPr>
        <w:t>nu s-a asigura</w:t>
      </w:r>
      <w:r w:rsidR="00DA1330" w:rsidRPr="00CB5F81">
        <w:rPr>
          <w:rFonts w:asciiTheme="majorHAnsi" w:eastAsiaTheme="minorEastAsia" w:hAnsiTheme="majorHAnsi" w:cstheme="majorHAnsi"/>
          <w:sz w:val="24"/>
          <w:szCs w:val="24"/>
          <w:lang w:eastAsia="ru-RU"/>
        </w:rPr>
        <w:t xml:space="preserve">t </w:t>
      </w:r>
      <w:r w:rsidR="00400992" w:rsidRPr="00CB5F81">
        <w:rPr>
          <w:rFonts w:asciiTheme="majorHAnsi" w:eastAsiaTheme="minorEastAsia" w:hAnsiTheme="majorHAnsi" w:cstheme="majorHAnsi"/>
          <w:sz w:val="24"/>
          <w:szCs w:val="24"/>
          <w:lang w:eastAsia="ru-RU"/>
        </w:rPr>
        <w:t>evalua</w:t>
      </w:r>
      <w:r w:rsidR="00DA1330" w:rsidRPr="00CB5F81">
        <w:rPr>
          <w:rFonts w:asciiTheme="majorHAnsi" w:eastAsiaTheme="minorEastAsia" w:hAnsiTheme="majorHAnsi" w:cstheme="majorHAnsi"/>
          <w:sz w:val="24"/>
          <w:szCs w:val="24"/>
          <w:lang w:eastAsia="ru-RU"/>
        </w:rPr>
        <w:t>rea costurilor</w:t>
      </w:r>
      <w:r w:rsidR="00400992" w:rsidRPr="00CB5F81">
        <w:rPr>
          <w:rFonts w:asciiTheme="majorHAnsi" w:eastAsiaTheme="minorEastAsia" w:hAnsiTheme="majorHAnsi" w:cstheme="majorHAnsi"/>
          <w:sz w:val="24"/>
          <w:szCs w:val="24"/>
          <w:lang w:eastAsia="ru-RU"/>
        </w:rPr>
        <w:t xml:space="preserve"> bugetare</w:t>
      </w:r>
      <w:r w:rsidR="00DA1330" w:rsidRPr="00CB5F81">
        <w:rPr>
          <w:rFonts w:asciiTheme="majorHAnsi" w:eastAsiaTheme="minorEastAsia" w:hAnsiTheme="majorHAnsi" w:cstheme="majorHAnsi"/>
          <w:sz w:val="24"/>
          <w:szCs w:val="24"/>
          <w:lang w:eastAsia="ru-RU"/>
        </w:rPr>
        <w:t>, as</w:t>
      </w:r>
      <w:r w:rsidR="00400992" w:rsidRPr="00CB5F81">
        <w:rPr>
          <w:rFonts w:asciiTheme="majorHAnsi" w:eastAsiaTheme="minorEastAsia" w:hAnsiTheme="majorHAnsi" w:cstheme="majorHAnsi"/>
          <w:sz w:val="24"/>
          <w:szCs w:val="24"/>
          <w:lang w:eastAsia="ru-RU"/>
        </w:rPr>
        <w:t xml:space="preserve">tfel </w:t>
      </w:r>
      <w:r w:rsidR="00497637" w:rsidRPr="00CB5F81">
        <w:rPr>
          <w:rFonts w:asciiTheme="majorHAnsi" w:eastAsiaTheme="minorEastAsia" w:hAnsiTheme="majorHAnsi" w:cstheme="majorHAnsi"/>
          <w:sz w:val="24"/>
          <w:szCs w:val="24"/>
          <w:lang w:eastAsia="ru-RU"/>
        </w:rPr>
        <w:t xml:space="preserve">MF și SFS </w:t>
      </w:r>
      <w:r w:rsidR="00493B70" w:rsidRPr="00CB5F81">
        <w:rPr>
          <w:rFonts w:asciiTheme="majorHAnsi" w:eastAsiaTheme="minorEastAsia" w:hAnsiTheme="majorHAnsi" w:cstheme="majorHAnsi"/>
          <w:sz w:val="24"/>
          <w:szCs w:val="24"/>
          <w:lang w:eastAsia="ru-RU"/>
        </w:rPr>
        <w:t xml:space="preserve">asigurând </w:t>
      </w:r>
      <w:r w:rsidR="002022E4">
        <w:rPr>
          <w:rFonts w:asciiTheme="majorHAnsi" w:eastAsiaTheme="minorEastAsia" w:hAnsiTheme="majorHAnsi" w:cstheme="majorHAnsi"/>
          <w:sz w:val="24"/>
          <w:szCs w:val="24"/>
          <w:lang w:eastAsia="ru-RU"/>
        </w:rPr>
        <w:t xml:space="preserve">parțial </w:t>
      </w:r>
      <w:r w:rsidR="00493B70" w:rsidRPr="00CB5F81">
        <w:rPr>
          <w:rFonts w:asciiTheme="majorHAnsi" w:eastAsiaTheme="minorEastAsia" w:hAnsiTheme="majorHAnsi" w:cstheme="majorHAnsi"/>
          <w:sz w:val="24"/>
          <w:szCs w:val="24"/>
          <w:lang w:eastAsia="ru-RU"/>
        </w:rPr>
        <w:t>implementarea</w:t>
      </w:r>
      <w:r w:rsidR="00497637" w:rsidRPr="00CB5F81">
        <w:rPr>
          <w:rFonts w:asciiTheme="majorHAnsi" w:eastAsiaTheme="minorEastAsia" w:hAnsiTheme="majorHAnsi" w:cstheme="majorHAnsi"/>
          <w:sz w:val="24"/>
          <w:szCs w:val="24"/>
          <w:lang w:eastAsia="ru-RU"/>
        </w:rPr>
        <w:t xml:space="preserve"> acțiun</w:t>
      </w:r>
      <w:r w:rsidR="00493B70" w:rsidRPr="00CB5F81">
        <w:rPr>
          <w:rFonts w:asciiTheme="majorHAnsi" w:eastAsiaTheme="minorEastAsia" w:hAnsiTheme="majorHAnsi" w:cstheme="majorHAnsi"/>
          <w:sz w:val="24"/>
          <w:szCs w:val="24"/>
          <w:lang w:eastAsia="ru-RU"/>
        </w:rPr>
        <w:t xml:space="preserve">ii stipulate </w:t>
      </w:r>
      <w:r w:rsidR="00497637" w:rsidRPr="00CB5F81">
        <w:rPr>
          <w:rFonts w:asciiTheme="majorHAnsi" w:eastAsiaTheme="minorEastAsia" w:hAnsiTheme="majorHAnsi" w:cstheme="majorHAnsi"/>
          <w:sz w:val="24"/>
          <w:szCs w:val="24"/>
          <w:lang w:eastAsia="ru-RU"/>
        </w:rPr>
        <w:t>î</w:t>
      </w:r>
      <w:r w:rsidR="00400992" w:rsidRPr="00CB5F81">
        <w:rPr>
          <w:rFonts w:asciiTheme="majorHAnsi" w:eastAsiaTheme="minorEastAsia" w:hAnsiTheme="majorHAnsi" w:cstheme="majorHAnsi"/>
          <w:sz w:val="24"/>
          <w:szCs w:val="24"/>
          <w:lang w:eastAsia="ru-RU"/>
        </w:rPr>
        <w:t xml:space="preserve">n Planul de acțiuni </w:t>
      </w:r>
      <w:r w:rsidR="00497637" w:rsidRPr="00CB5F81">
        <w:rPr>
          <w:rFonts w:asciiTheme="majorHAnsi" w:eastAsiaTheme="minorEastAsia" w:hAnsiTheme="majorHAnsi" w:cstheme="majorHAnsi"/>
          <w:sz w:val="24"/>
          <w:szCs w:val="24"/>
          <w:lang w:eastAsia="ru-RU"/>
        </w:rPr>
        <w:t>a</w:t>
      </w:r>
      <w:r w:rsidR="00663AA3">
        <w:rPr>
          <w:rFonts w:asciiTheme="majorHAnsi" w:eastAsiaTheme="minorEastAsia" w:hAnsiTheme="majorHAnsi" w:cstheme="majorHAnsi"/>
          <w:sz w:val="24"/>
          <w:szCs w:val="24"/>
          <w:lang w:eastAsia="ru-RU"/>
        </w:rPr>
        <w:t>l</w:t>
      </w:r>
      <w:r w:rsidR="00497637" w:rsidRPr="00CB5F81">
        <w:rPr>
          <w:rFonts w:asciiTheme="majorHAnsi" w:eastAsiaTheme="minorEastAsia" w:hAnsiTheme="majorHAnsi" w:cstheme="majorHAnsi"/>
          <w:sz w:val="24"/>
          <w:szCs w:val="24"/>
          <w:lang w:eastAsia="ru-RU"/>
        </w:rPr>
        <w:t xml:space="preserve"> Guvernului </w:t>
      </w:r>
      <w:r w:rsidR="00400992" w:rsidRPr="00CB5F81">
        <w:rPr>
          <w:rFonts w:asciiTheme="majorHAnsi" w:eastAsiaTheme="minorEastAsia" w:hAnsiTheme="majorHAnsi" w:cstheme="majorHAnsi"/>
          <w:sz w:val="24"/>
          <w:szCs w:val="24"/>
          <w:lang w:eastAsia="ru-RU"/>
        </w:rPr>
        <w:t>pentru an</w:t>
      </w:r>
      <w:r w:rsidR="00493B70" w:rsidRPr="00CB5F81">
        <w:rPr>
          <w:rFonts w:asciiTheme="majorHAnsi" w:eastAsiaTheme="minorEastAsia" w:hAnsiTheme="majorHAnsi" w:cstheme="majorHAnsi"/>
          <w:sz w:val="24"/>
          <w:szCs w:val="24"/>
          <w:lang w:eastAsia="ru-RU"/>
        </w:rPr>
        <w:t>ii</w:t>
      </w:r>
      <w:r w:rsidR="00400992" w:rsidRPr="00CB5F81">
        <w:rPr>
          <w:rFonts w:asciiTheme="majorHAnsi" w:eastAsiaTheme="minorEastAsia" w:hAnsiTheme="majorHAnsi" w:cstheme="majorHAnsi"/>
          <w:sz w:val="24"/>
          <w:szCs w:val="24"/>
          <w:lang w:eastAsia="ru-RU"/>
        </w:rPr>
        <w:t xml:space="preserve"> 2020-2023</w:t>
      </w:r>
      <w:r w:rsidR="00663AA3">
        <w:rPr>
          <w:rFonts w:asciiTheme="majorHAnsi" w:eastAsiaTheme="minorEastAsia" w:hAnsiTheme="majorHAnsi" w:cstheme="majorHAnsi"/>
          <w:sz w:val="24"/>
          <w:szCs w:val="24"/>
          <w:lang w:eastAsia="ru-RU"/>
        </w:rPr>
        <w:t>,</w:t>
      </w:r>
      <w:r w:rsidR="00400992" w:rsidRPr="00CB5F81">
        <w:rPr>
          <w:rFonts w:asciiTheme="majorHAnsi" w:eastAsiaTheme="minorEastAsia" w:hAnsiTheme="majorHAnsi" w:cstheme="majorHAnsi"/>
          <w:sz w:val="24"/>
          <w:szCs w:val="24"/>
          <w:lang w:eastAsia="ru-RU"/>
        </w:rPr>
        <w:t xml:space="preserve"> </w:t>
      </w:r>
      <w:r w:rsidR="00497637" w:rsidRPr="00CB5F81">
        <w:rPr>
          <w:rFonts w:asciiTheme="majorHAnsi" w:eastAsiaTheme="minorEastAsia" w:hAnsiTheme="majorHAnsi" w:cstheme="majorHAnsi"/>
          <w:sz w:val="24"/>
          <w:szCs w:val="24"/>
          <w:lang w:eastAsia="ru-RU"/>
        </w:rPr>
        <w:t xml:space="preserve">care prevedea </w:t>
      </w:r>
      <w:r w:rsidR="00663AA3">
        <w:rPr>
          <w:rFonts w:asciiTheme="majorHAnsi" w:eastAsiaTheme="minorEastAsia" w:hAnsiTheme="majorHAnsi" w:cstheme="majorHAnsi"/>
          <w:sz w:val="24"/>
          <w:szCs w:val="24"/>
          <w:lang w:eastAsia="ru-RU"/>
        </w:rPr>
        <w:t>„</w:t>
      </w:r>
      <w:r w:rsidR="00400992" w:rsidRPr="00CB5F81">
        <w:rPr>
          <w:rFonts w:asciiTheme="majorHAnsi" w:eastAsiaTheme="minorEastAsia" w:hAnsiTheme="majorHAnsi" w:cstheme="majorHAnsi"/>
          <w:sz w:val="24"/>
          <w:szCs w:val="24"/>
          <w:lang w:eastAsia="ru-RU"/>
        </w:rPr>
        <w:t>dezvoltarea unei baze de date a tuturor facilităților fiscale și vamale, cu estimarea costuri</w:t>
      </w:r>
      <w:r w:rsidR="00497637" w:rsidRPr="00CB5F81">
        <w:rPr>
          <w:rFonts w:asciiTheme="majorHAnsi" w:eastAsiaTheme="minorEastAsia" w:hAnsiTheme="majorHAnsi" w:cstheme="majorHAnsi"/>
          <w:sz w:val="24"/>
          <w:szCs w:val="24"/>
          <w:lang w:eastAsia="ru-RU"/>
        </w:rPr>
        <w:t>lor bugetare aferente acestora”</w:t>
      </w:r>
      <w:r w:rsidR="00221A9E">
        <w:rPr>
          <w:rFonts w:asciiTheme="majorHAnsi" w:eastAsiaTheme="minorEastAsia" w:hAnsiTheme="majorHAnsi" w:cstheme="majorHAnsi"/>
          <w:sz w:val="24"/>
          <w:szCs w:val="24"/>
          <w:lang w:eastAsia="ru-RU"/>
        </w:rPr>
        <w:t xml:space="preserve">. Deși termenul </w:t>
      </w:r>
      <w:r w:rsidR="00400992" w:rsidRPr="00CB5F81">
        <w:rPr>
          <w:rFonts w:asciiTheme="majorHAnsi" w:eastAsiaTheme="minorEastAsia" w:hAnsiTheme="majorHAnsi" w:cstheme="majorHAnsi"/>
          <w:sz w:val="24"/>
          <w:szCs w:val="24"/>
          <w:lang w:eastAsia="ru-RU"/>
        </w:rPr>
        <w:t>de realizare</w:t>
      </w:r>
      <w:r w:rsidR="00493B70" w:rsidRPr="00CB5F81">
        <w:rPr>
          <w:rFonts w:asciiTheme="majorHAnsi" w:eastAsiaTheme="minorEastAsia" w:hAnsiTheme="majorHAnsi" w:cstheme="majorHAnsi"/>
          <w:sz w:val="24"/>
          <w:szCs w:val="24"/>
          <w:lang w:eastAsia="ru-RU"/>
        </w:rPr>
        <w:t xml:space="preserve"> </w:t>
      </w:r>
      <w:r w:rsidR="00221A9E">
        <w:rPr>
          <w:rFonts w:asciiTheme="majorHAnsi" w:eastAsiaTheme="minorEastAsia" w:hAnsiTheme="majorHAnsi" w:cstheme="majorHAnsi"/>
          <w:sz w:val="24"/>
          <w:szCs w:val="24"/>
          <w:lang w:eastAsia="ru-RU"/>
        </w:rPr>
        <w:t>a acestei acțiuni era preconizat pentru martie 2021</w:t>
      </w:r>
      <w:r w:rsidR="00A85441">
        <w:rPr>
          <w:rFonts w:asciiTheme="majorHAnsi" w:eastAsiaTheme="minorEastAsia" w:hAnsiTheme="majorHAnsi" w:cstheme="majorHAnsi"/>
          <w:sz w:val="24"/>
          <w:szCs w:val="24"/>
          <w:lang w:eastAsia="ru-RU"/>
        </w:rPr>
        <w:t xml:space="preserve">, </w:t>
      </w:r>
      <w:r w:rsidR="00B007F9">
        <w:rPr>
          <w:rFonts w:asciiTheme="majorHAnsi" w:eastAsiaTheme="minorEastAsia" w:hAnsiTheme="majorHAnsi" w:cstheme="majorHAnsi"/>
          <w:sz w:val="24"/>
          <w:szCs w:val="24"/>
          <w:lang w:eastAsia="ru-RU"/>
        </w:rPr>
        <w:t xml:space="preserve">nici la etapa </w:t>
      </w:r>
      <w:r w:rsidR="00663AA3">
        <w:rPr>
          <w:rFonts w:asciiTheme="majorHAnsi" w:eastAsiaTheme="minorEastAsia" w:hAnsiTheme="majorHAnsi" w:cstheme="majorHAnsi"/>
          <w:sz w:val="24"/>
          <w:szCs w:val="24"/>
          <w:lang w:eastAsia="ru-RU"/>
        </w:rPr>
        <w:t xml:space="preserve">de </w:t>
      </w:r>
      <w:r w:rsidR="00B007F9">
        <w:rPr>
          <w:rFonts w:asciiTheme="majorHAnsi" w:eastAsiaTheme="minorEastAsia" w:hAnsiTheme="majorHAnsi" w:cstheme="majorHAnsi"/>
          <w:sz w:val="24"/>
          <w:szCs w:val="24"/>
          <w:lang w:eastAsia="ru-RU"/>
        </w:rPr>
        <w:t>efectu</w:t>
      </w:r>
      <w:r w:rsidR="00663AA3">
        <w:rPr>
          <w:rFonts w:asciiTheme="majorHAnsi" w:eastAsiaTheme="minorEastAsia" w:hAnsiTheme="majorHAnsi" w:cstheme="majorHAnsi"/>
          <w:sz w:val="24"/>
          <w:szCs w:val="24"/>
          <w:lang w:eastAsia="ru-RU"/>
        </w:rPr>
        <w:t>are a</w:t>
      </w:r>
      <w:r w:rsidR="00B007F9">
        <w:rPr>
          <w:rFonts w:asciiTheme="majorHAnsi" w:eastAsiaTheme="minorEastAsia" w:hAnsiTheme="majorHAnsi" w:cstheme="majorHAnsi"/>
          <w:sz w:val="24"/>
          <w:szCs w:val="24"/>
          <w:lang w:eastAsia="ru-RU"/>
        </w:rPr>
        <w:t xml:space="preserve"> auditului nu există o viziune  per ansamblu asupra </w:t>
      </w:r>
      <w:r w:rsidR="00221A9E">
        <w:rPr>
          <w:rFonts w:asciiTheme="majorHAnsi" w:eastAsiaTheme="minorEastAsia" w:hAnsiTheme="majorHAnsi" w:cstheme="majorHAnsi"/>
          <w:sz w:val="24"/>
          <w:szCs w:val="24"/>
          <w:lang w:eastAsia="ru-RU"/>
        </w:rPr>
        <w:t>întregul</w:t>
      </w:r>
      <w:r w:rsidR="00A85441">
        <w:rPr>
          <w:rFonts w:asciiTheme="majorHAnsi" w:eastAsiaTheme="minorEastAsia" w:hAnsiTheme="majorHAnsi" w:cstheme="majorHAnsi"/>
          <w:sz w:val="24"/>
          <w:szCs w:val="24"/>
          <w:lang w:eastAsia="ru-RU"/>
        </w:rPr>
        <w:t>ui</w:t>
      </w:r>
      <w:r w:rsidR="00221A9E">
        <w:rPr>
          <w:rFonts w:asciiTheme="majorHAnsi" w:eastAsiaTheme="minorEastAsia" w:hAnsiTheme="majorHAnsi" w:cstheme="majorHAnsi"/>
          <w:sz w:val="24"/>
          <w:szCs w:val="24"/>
          <w:lang w:eastAsia="ru-RU"/>
        </w:rPr>
        <w:t xml:space="preserve"> spectru de facilități existente </w:t>
      </w:r>
      <w:r w:rsidR="00A85441">
        <w:rPr>
          <w:rFonts w:asciiTheme="majorHAnsi" w:eastAsiaTheme="minorEastAsia" w:hAnsiTheme="majorHAnsi" w:cstheme="majorHAnsi"/>
          <w:sz w:val="24"/>
          <w:szCs w:val="24"/>
          <w:lang w:eastAsia="ru-RU"/>
        </w:rPr>
        <w:t>necuantificate</w:t>
      </w:r>
      <w:r w:rsidR="00B007F9">
        <w:rPr>
          <w:rFonts w:asciiTheme="majorHAnsi" w:eastAsiaTheme="minorEastAsia" w:hAnsiTheme="majorHAnsi" w:cstheme="majorHAnsi"/>
          <w:sz w:val="24"/>
          <w:szCs w:val="24"/>
          <w:lang w:eastAsia="ru-RU"/>
        </w:rPr>
        <w:t xml:space="preserve"> (un studiu), precum </w:t>
      </w:r>
      <w:r w:rsidR="00486A9F">
        <w:rPr>
          <w:rFonts w:asciiTheme="majorHAnsi" w:eastAsiaTheme="minorEastAsia" w:hAnsiTheme="majorHAnsi" w:cstheme="majorHAnsi"/>
          <w:sz w:val="24"/>
          <w:szCs w:val="24"/>
          <w:lang w:eastAsia="ru-RU"/>
        </w:rPr>
        <w:t xml:space="preserve">și </w:t>
      </w:r>
      <w:r w:rsidR="00B007F9">
        <w:rPr>
          <w:rFonts w:asciiTheme="majorHAnsi" w:eastAsiaTheme="minorEastAsia" w:hAnsiTheme="majorHAnsi" w:cstheme="majorHAnsi"/>
          <w:sz w:val="24"/>
          <w:szCs w:val="24"/>
          <w:lang w:eastAsia="ru-RU"/>
        </w:rPr>
        <w:t xml:space="preserve">o </w:t>
      </w:r>
      <w:r w:rsidR="00221A9E">
        <w:rPr>
          <w:rFonts w:asciiTheme="majorHAnsi" w:eastAsiaTheme="minorEastAsia" w:hAnsiTheme="majorHAnsi" w:cstheme="majorHAnsi"/>
          <w:sz w:val="24"/>
          <w:szCs w:val="24"/>
          <w:lang w:eastAsia="ru-RU"/>
        </w:rPr>
        <w:t>proiec</w:t>
      </w:r>
      <w:r w:rsidR="00B007F9">
        <w:rPr>
          <w:rFonts w:asciiTheme="majorHAnsi" w:eastAsiaTheme="minorEastAsia" w:hAnsiTheme="majorHAnsi" w:cstheme="majorHAnsi"/>
          <w:sz w:val="24"/>
          <w:szCs w:val="24"/>
          <w:lang w:eastAsia="ru-RU"/>
        </w:rPr>
        <w:t xml:space="preserve">ție a </w:t>
      </w:r>
      <w:r w:rsidR="00221A9E">
        <w:rPr>
          <w:rFonts w:asciiTheme="majorHAnsi" w:eastAsiaTheme="minorEastAsia" w:hAnsiTheme="majorHAnsi" w:cstheme="majorHAnsi"/>
          <w:sz w:val="24"/>
          <w:szCs w:val="24"/>
          <w:lang w:eastAsia="ru-RU"/>
        </w:rPr>
        <w:t xml:space="preserve"> viitoa</w:t>
      </w:r>
      <w:r w:rsidR="00B007F9">
        <w:rPr>
          <w:rFonts w:asciiTheme="majorHAnsi" w:eastAsiaTheme="minorEastAsia" w:hAnsiTheme="majorHAnsi" w:cstheme="majorHAnsi"/>
          <w:sz w:val="24"/>
          <w:szCs w:val="24"/>
          <w:lang w:eastAsia="ru-RU"/>
        </w:rPr>
        <w:t>relor</w:t>
      </w:r>
      <w:r w:rsidR="00221A9E">
        <w:rPr>
          <w:rFonts w:asciiTheme="majorHAnsi" w:eastAsiaTheme="minorEastAsia" w:hAnsiTheme="majorHAnsi" w:cstheme="majorHAnsi"/>
          <w:sz w:val="24"/>
          <w:szCs w:val="24"/>
          <w:lang w:eastAsia="ru-RU"/>
        </w:rPr>
        <w:t xml:space="preserve"> acțiuni </w:t>
      </w:r>
      <w:r w:rsidR="00A85441">
        <w:rPr>
          <w:rFonts w:asciiTheme="majorHAnsi" w:eastAsiaTheme="minorEastAsia" w:hAnsiTheme="majorHAnsi" w:cstheme="majorHAnsi"/>
          <w:sz w:val="24"/>
          <w:szCs w:val="24"/>
          <w:lang w:eastAsia="ru-RU"/>
        </w:rPr>
        <w:t xml:space="preserve">în vederea realizării acestui  deziderat. </w:t>
      </w:r>
      <w:r w:rsidR="00221A9E">
        <w:rPr>
          <w:rFonts w:asciiTheme="majorHAnsi" w:eastAsiaTheme="minorEastAsia" w:hAnsiTheme="majorHAnsi" w:cstheme="majorHAnsi"/>
          <w:sz w:val="24"/>
          <w:szCs w:val="24"/>
          <w:lang w:eastAsia="ru-RU"/>
        </w:rPr>
        <w:t xml:space="preserve"> </w:t>
      </w:r>
    </w:p>
    <w:p w:rsidR="003D7F31" w:rsidRPr="00CB5F81" w:rsidRDefault="00A85441" w:rsidP="003D7F31">
      <w:pPr>
        <w:tabs>
          <w:tab w:val="left" w:pos="270"/>
        </w:tabs>
        <w:jc w:val="both"/>
        <w:rPr>
          <w:rFonts w:asciiTheme="majorHAnsi" w:eastAsiaTheme="minorEastAsia" w:hAnsiTheme="majorHAnsi" w:cstheme="majorHAnsi"/>
          <w:sz w:val="24"/>
          <w:szCs w:val="24"/>
          <w:lang w:eastAsia="ru-RU"/>
        </w:rPr>
      </w:pPr>
      <w:r>
        <w:rPr>
          <w:rFonts w:asciiTheme="majorHAnsi" w:eastAsiaTheme="minorEastAsia" w:hAnsiTheme="majorHAnsi" w:cstheme="majorHAnsi"/>
          <w:sz w:val="24"/>
          <w:szCs w:val="24"/>
          <w:lang w:eastAsia="ru-RU"/>
        </w:rPr>
        <w:t xml:space="preserve">Concomitent, </w:t>
      </w:r>
      <w:r w:rsidR="003D7F31" w:rsidRPr="00CB5F81">
        <w:rPr>
          <w:rFonts w:asciiTheme="majorHAnsi" w:eastAsiaTheme="minorEastAsia" w:hAnsiTheme="majorHAnsi" w:cstheme="majorHAnsi"/>
          <w:sz w:val="24"/>
          <w:szCs w:val="24"/>
          <w:lang w:eastAsia="ru-RU"/>
        </w:rPr>
        <w:t>MF argumentează nerealizarea acțiunii prenotate prin faptul că estim</w:t>
      </w:r>
      <w:r w:rsidR="003D7F31" w:rsidRPr="003B791A">
        <w:rPr>
          <w:rFonts w:asciiTheme="majorHAnsi" w:eastAsiaTheme="minorEastAsia" w:hAnsiTheme="majorHAnsi" w:cstheme="majorHAnsi"/>
          <w:sz w:val="24"/>
          <w:szCs w:val="24"/>
          <w:lang w:eastAsia="ru-RU"/>
        </w:rPr>
        <w:t>a</w:t>
      </w:r>
      <w:r w:rsidR="003D7F31" w:rsidRPr="00CB5F81">
        <w:rPr>
          <w:rFonts w:asciiTheme="majorHAnsi" w:eastAsiaTheme="minorEastAsia" w:hAnsiTheme="majorHAnsi" w:cstheme="majorHAnsi"/>
          <w:sz w:val="24"/>
          <w:szCs w:val="24"/>
          <w:lang w:eastAsia="ru-RU"/>
        </w:rPr>
        <w:t>rea costurilor bugetare la unele facilități este un p</w:t>
      </w:r>
      <w:r w:rsidR="004C425B" w:rsidRPr="00CB5F81">
        <w:rPr>
          <w:rFonts w:asciiTheme="majorHAnsi" w:eastAsiaTheme="minorEastAsia" w:hAnsiTheme="majorHAnsi" w:cstheme="majorHAnsi"/>
          <w:sz w:val="24"/>
          <w:szCs w:val="24"/>
          <w:lang w:eastAsia="ru-RU"/>
        </w:rPr>
        <w:t>roces destul de complicat de realizat, fiind influențat</w:t>
      </w:r>
      <w:r w:rsidR="003D7F31" w:rsidRPr="00CB5F81">
        <w:rPr>
          <w:rFonts w:asciiTheme="majorHAnsi" w:eastAsiaTheme="minorEastAsia" w:hAnsiTheme="majorHAnsi" w:cstheme="majorHAnsi"/>
          <w:sz w:val="24"/>
          <w:szCs w:val="24"/>
          <w:lang w:eastAsia="ru-RU"/>
        </w:rPr>
        <w:t xml:space="preserve"> de</w:t>
      </w:r>
      <w:r w:rsidR="004C425B" w:rsidRPr="00CB5F81">
        <w:rPr>
          <w:rFonts w:asciiTheme="majorHAnsi" w:eastAsiaTheme="minorEastAsia" w:hAnsiTheme="majorHAnsi" w:cstheme="majorHAnsi"/>
          <w:sz w:val="24"/>
          <w:szCs w:val="24"/>
          <w:lang w:eastAsia="ru-RU"/>
        </w:rPr>
        <w:t xml:space="preserve"> mai</w:t>
      </w:r>
      <w:r w:rsidR="00EC1EAF">
        <w:rPr>
          <w:rFonts w:asciiTheme="majorHAnsi" w:eastAsiaTheme="minorEastAsia" w:hAnsiTheme="majorHAnsi" w:cstheme="majorHAnsi"/>
          <w:sz w:val="24"/>
          <w:szCs w:val="24"/>
          <w:lang w:eastAsia="ru-RU"/>
        </w:rPr>
        <w:t xml:space="preserve"> </w:t>
      </w:r>
      <w:r w:rsidR="00D21868" w:rsidRPr="00CB5F81">
        <w:rPr>
          <w:rFonts w:asciiTheme="majorHAnsi" w:eastAsiaTheme="minorEastAsia" w:hAnsiTheme="majorHAnsi" w:cstheme="majorHAnsi"/>
          <w:sz w:val="24"/>
          <w:szCs w:val="24"/>
          <w:lang w:eastAsia="ru-RU"/>
        </w:rPr>
        <w:t xml:space="preserve">mulți </w:t>
      </w:r>
      <w:r w:rsidR="003D7F31" w:rsidRPr="00CB5F81">
        <w:rPr>
          <w:rFonts w:asciiTheme="majorHAnsi" w:eastAsiaTheme="minorEastAsia" w:hAnsiTheme="majorHAnsi" w:cstheme="majorHAnsi"/>
          <w:sz w:val="24"/>
          <w:szCs w:val="24"/>
          <w:lang w:eastAsia="ru-RU"/>
        </w:rPr>
        <w:t>factor</w:t>
      </w:r>
      <w:r w:rsidR="00D21868" w:rsidRPr="00CB5F81">
        <w:rPr>
          <w:rFonts w:asciiTheme="majorHAnsi" w:eastAsiaTheme="minorEastAsia" w:hAnsiTheme="majorHAnsi" w:cstheme="majorHAnsi"/>
          <w:sz w:val="24"/>
          <w:szCs w:val="24"/>
          <w:lang w:eastAsia="ru-RU"/>
        </w:rPr>
        <w:t>i</w:t>
      </w:r>
      <w:r w:rsidR="00486A9F">
        <w:rPr>
          <w:rFonts w:asciiTheme="majorHAnsi" w:eastAsiaTheme="minorEastAsia" w:hAnsiTheme="majorHAnsi" w:cstheme="majorHAnsi"/>
          <w:sz w:val="24"/>
          <w:szCs w:val="24"/>
          <w:lang w:eastAsia="ru-RU"/>
        </w:rPr>
        <w:t>,</w:t>
      </w:r>
      <w:r w:rsidR="00D21868" w:rsidRPr="00CB5F81">
        <w:rPr>
          <w:rFonts w:asciiTheme="majorHAnsi" w:eastAsiaTheme="minorEastAsia" w:hAnsiTheme="majorHAnsi" w:cstheme="majorHAnsi"/>
          <w:sz w:val="24"/>
          <w:szCs w:val="24"/>
          <w:lang w:eastAsia="ru-RU"/>
        </w:rPr>
        <w:t xml:space="preserve"> cum ar fi</w:t>
      </w:r>
      <w:r w:rsidR="003D7F31" w:rsidRPr="00CB5F81">
        <w:rPr>
          <w:rFonts w:asciiTheme="majorHAnsi" w:eastAsiaTheme="minorEastAsia" w:hAnsiTheme="majorHAnsi" w:cstheme="majorHAnsi"/>
          <w:sz w:val="24"/>
          <w:szCs w:val="24"/>
          <w:lang w:eastAsia="ru-RU"/>
        </w:rPr>
        <w:t>:</w:t>
      </w:r>
    </w:p>
    <w:p w:rsidR="00493B70" w:rsidRPr="00CB5F81" w:rsidRDefault="00486A9F" w:rsidP="00D04386">
      <w:pPr>
        <w:pStyle w:val="ListParagraph"/>
        <w:numPr>
          <w:ilvl w:val="0"/>
          <w:numId w:val="4"/>
        </w:numPr>
        <w:tabs>
          <w:tab w:val="left" w:pos="270"/>
        </w:tabs>
        <w:jc w:val="both"/>
        <w:rPr>
          <w:lang w:val="ro-MD"/>
        </w:rPr>
      </w:pPr>
      <w:r>
        <w:rPr>
          <w:rFonts w:asciiTheme="majorHAnsi" w:eastAsiaTheme="minorEastAsia" w:hAnsiTheme="majorHAnsi" w:cstheme="majorHAnsi"/>
          <w:sz w:val="24"/>
          <w:szCs w:val="24"/>
          <w:lang w:val="ro-MD" w:eastAsia="ru-RU"/>
        </w:rPr>
        <w:t>l</w:t>
      </w:r>
      <w:r w:rsidR="00042C4C" w:rsidRPr="00CB5F81">
        <w:rPr>
          <w:rFonts w:asciiTheme="majorHAnsi" w:eastAsiaTheme="minorEastAsia" w:hAnsiTheme="majorHAnsi" w:cstheme="majorHAnsi"/>
          <w:sz w:val="24"/>
          <w:szCs w:val="24"/>
          <w:lang w:val="ro-MD" w:eastAsia="ru-RU"/>
        </w:rPr>
        <w:t>ipsa</w:t>
      </w:r>
      <w:r w:rsidR="00EC1EAF">
        <w:rPr>
          <w:rFonts w:asciiTheme="majorHAnsi" w:eastAsiaTheme="minorEastAsia" w:hAnsiTheme="majorHAnsi" w:cstheme="majorHAnsi"/>
          <w:sz w:val="24"/>
          <w:szCs w:val="24"/>
          <w:lang w:val="ro-MD" w:eastAsia="ru-RU"/>
        </w:rPr>
        <w:t xml:space="preserve"> </w:t>
      </w:r>
      <w:r w:rsidR="00042C4C" w:rsidRPr="00CB5F81">
        <w:rPr>
          <w:rFonts w:asciiTheme="majorHAnsi" w:eastAsiaTheme="minorEastAsia" w:hAnsiTheme="majorHAnsi" w:cstheme="majorHAnsi"/>
          <w:sz w:val="24"/>
          <w:szCs w:val="24"/>
          <w:lang w:val="ro-MD" w:eastAsia="ru-RU"/>
        </w:rPr>
        <w:t>unui set de date necesare evaluării costurilor bugetare a</w:t>
      </w:r>
      <w:r>
        <w:rPr>
          <w:rFonts w:asciiTheme="majorHAnsi" w:eastAsiaTheme="minorEastAsia" w:hAnsiTheme="majorHAnsi" w:cstheme="majorHAnsi"/>
          <w:sz w:val="24"/>
          <w:szCs w:val="24"/>
          <w:lang w:val="ro-MD" w:eastAsia="ru-RU"/>
        </w:rPr>
        <w:t>le</w:t>
      </w:r>
      <w:r w:rsidR="00042C4C" w:rsidRPr="00CB5F81">
        <w:rPr>
          <w:rFonts w:asciiTheme="majorHAnsi" w:eastAsiaTheme="minorEastAsia" w:hAnsiTheme="majorHAnsi" w:cstheme="majorHAnsi"/>
          <w:sz w:val="24"/>
          <w:szCs w:val="24"/>
          <w:lang w:val="ro-MD" w:eastAsia="ru-RU"/>
        </w:rPr>
        <w:t xml:space="preserve"> unor facilități</w:t>
      </w:r>
      <w:r w:rsidR="003D7F31" w:rsidRPr="00CB5F81">
        <w:rPr>
          <w:rFonts w:asciiTheme="majorHAnsi" w:eastAsiaTheme="minorEastAsia" w:hAnsiTheme="majorHAnsi" w:cstheme="majorHAnsi"/>
          <w:sz w:val="24"/>
          <w:szCs w:val="24"/>
          <w:lang w:val="ro-MD" w:eastAsia="ru-RU"/>
        </w:rPr>
        <w:t>, care nu sunt incluse și furnizate în procesul de raportare</w:t>
      </w:r>
      <w:r w:rsidR="00D94DE6" w:rsidRPr="00CB5F81">
        <w:rPr>
          <w:rFonts w:asciiTheme="majorHAnsi" w:eastAsiaTheme="minorEastAsia" w:hAnsiTheme="majorHAnsi" w:cstheme="majorHAnsi"/>
          <w:sz w:val="24"/>
          <w:szCs w:val="24"/>
          <w:lang w:val="ro-MD" w:eastAsia="ru-RU"/>
        </w:rPr>
        <w:t xml:space="preserve"> de către agenții economici</w:t>
      </w:r>
      <w:r>
        <w:rPr>
          <w:rFonts w:asciiTheme="majorHAnsi" w:eastAsiaTheme="minorEastAsia" w:hAnsiTheme="majorHAnsi" w:cstheme="majorHAnsi"/>
          <w:sz w:val="24"/>
          <w:szCs w:val="24"/>
          <w:lang w:val="ro-MD" w:eastAsia="ru-RU"/>
        </w:rPr>
        <w:t>, a</w:t>
      </w:r>
      <w:r w:rsidR="008C1FEC" w:rsidRPr="00CB5F81">
        <w:rPr>
          <w:rFonts w:asciiTheme="majorHAnsi" w:eastAsiaTheme="minorEastAsia" w:hAnsiTheme="majorHAnsi" w:cstheme="majorHAnsi"/>
          <w:sz w:val="24"/>
          <w:szCs w:val="24"/>
          <w:lang w:val="ro-MD" w:eastAsia="ru-RU"/>
        </w:rPr>
        <w:t>stfel  invoc</w:t>
      </w:r>
      <w:r>
        <w:rPr>
          <w:rFonts w:asciiTheme="majorHAnsi" w:eastAsiaTheme="minorEastAsia" w:hAnsiTheme="majorHAnsi" w:cstheme="majorHAnsi"/>
          <w:sz w:val="24"/>
          <w:szCs w:val="24"/>
          <w:lang w:val="ro-MD" w:eastAsia="ru-RU"/>
        </w:rPr>
        <w:t>ându-se</w:t>
      </w:r>
      <w:r w:rsidR="008C1FEC" w:rsidRPr="00CB5F81">
        <w:rPr>
          <w:rFonts w:asciiTheme="majorHAnsi" w:eastAsiaTheme="minorEastAsia" w:hAnsiTheme="majorHAnsi" w:cstheme="majorHAnsi"/>
          <w:sz w:val="24"/>
          <w:szCs w:val="24"/>
          <w:lang w:val="ro-MD" w:eastAsia="ru-RU"/>
        </w:rPr>
        <w:t xml:space="preserve"> că i</w:t>
      </w:r>
      <w:r w:rsidR="00493B70" w:rsidRPr="00CB5F81">
        <w:rPr>
          <w:rFonts w:asciiTheme="majorHAnsi" w:eastAsiaTheme="minorEastAsia" w:hAnsiTheme="majorHAnsi" w:cstheme="majorHAnsi"/>
          <w:sz w:val="24"/>
          <w:szCs w:val="24"/>
          <w:lang w:val="ro-MD" w:eastAsia="ru-RU"/>
        </w:rPr>
        <w:t>nstitui</w:t>
      </w:r>
      <w:r w:rsidR="00042C4C" w:rsidRPr="00CB5F81">
        <w:rPr>
          <w:rFonts w:asciiTheme="majorHAnsi" w:eastAsiaTheme="minorEastAsia" w:hAnsiTheme="majorHAnsi" w:cstheme="majorHAnsi"/>
          <w:sz w:val="24"/>
          <w:szCs w:val="24"/>
          <w:lang w:val="ro-MD" w:eastAsia="ru-RU"/>
        </w:rPr>
        <w:t xml:space="preserve">rea unor noi </w:t>
      </w:r>
      <w:r w:rsidR="008C1FEC" w:rsidRPr="00CB5F81">
        <w:rPr>
          <w:rFonts w:asciiTheme="majorHAnsi" w:eastAsiaTheme="minorEastAsia" w:hAnsiTheme="majorHAnsi" w:cstheme="majorHAnsi"/>
          <w:sz w:val="24"/>
          <w:szCs w:val="24"/>
          <w:lang w:val="ro-MD" w:eastAsia="ru-RU"/>
        </w:rPr>
        <w:t xml:space="preserve">formulare </w:t>
      </w:r>
      <w:r w:rsidR="00493B70" w:rsidRPr="00CB5F81">
        <w:rPr>
          <w:rFonts w:asciiTheme="majorHAnsi" w:eastAsiaTheme="minorEastAsia" w:hAnsiTheme="majorHAnsi" w:cstheme="majorHAnsi"/>
          <w:sz w:val="24"/>
          <w:szCs w:val="24"/>
          <w:lang w:val="ro-MD" w:eastAsia="ru-RU"/>
        </w:rPr>
        <w:t xml:space="preserve">de raportare ar </w:t>
      </w:r>
      <w:r w:rsidR="008C1FEC" w:rsidRPr="00CB5F81">
        <w:rPr>
          <w:rFonts w:asciiTheme="majorHAnsi" w:eastAsiaTheme="minorEastAsia" w:hAnsiTheme="majorHAnsi" w:cstheme="majorHAnsi"/>
          <w:sz w:val="24"/>
          <w:szCs w:val="24"/>
          <w:lang w:val="ro-MD" w:eastAsia="ru-RU"/>
        </w:rPr>
        <w:t xml:space="preserve">condiționa </w:t>
      </w:r>
      <w:r w:rsidR="00493B70" w:rsidRPr="00CB5F81">
        <w:rPr>
          <w:rFonts w:asciiTheme="majorHAnsi" w:eastAsiaTheme="minorEastAsia" w:hAnsiTheme="majorHAnsi" w:cstheme="majorHAnsi"/>
          <w:sz w:val="24"/>
          <w:szCs w:val="24"/>
          <w:lang w:val="ro-MD" w:eastAsia="ru-RU"/>
        </w:rPr>
        <w:t>presiuni</w:t>
      </w:r>
      <w:r>
        <w:rPr>
          <w:rFonts w:asciiTheme="majorHAnsi" w:eastAsiaTheme="minorEastAsia" w:hAnsiTheme="majorHAnsi" w:cstheme="majorHAnsi"/>
          <w:sz w:val="24"/>
          <w:szCs w:val="24"/>
          <w:lang w:val="ro-MD" w:eastAsia="ru-RU"/>
        </w:rPr>
        <w:t xml:space="preserve"> </w:t>
      </w:r>
      <w:r w:rsidR="00493B70" w:rsidRPr="00CB5F81">
        <w:rPr>
          <w:rFonts w:asciiTheme="majorHAnsi" w:eastAsiaTheme="minorEastAsia" w:hAnsiTheme="majorHAnsi" w:cstheme="majorHAnsi"/>
          <w:sz w:val="24"/>
          <w:szCs w:val="24"/>
          <w:lang w:val="ro-MD" w:eastAsia="ru-RU"/>
        </w:rPr>
        <w:t xml:space="preserve"> </w:t>
      </w:r>
      <w:r w:rsidR="008C1FEC" w:rsidRPr="00CB5F81">
        <w:rPr>
          <w:rFonts w:asciiTheme="majorHAnsi" w:eastAsiaTheme="minorEastAsia" w:hAnsiTheme="majorHAnsi" w:cstheme="majorHAnsi"/>
          <w:sz w:val="24"/>
          <w:szCs w:val="24"/>
          <w:lang w:val="ro-MD" w:eastAsia="ru-RU"/>
        </w:rPr>
        <w:t>suplimentare asupra mediului de afaceri la componenta de raportare;</w:t>
      </w:r>
    </w:p>
    <w:p w:rsidR="00493B70" w:rsidRPr="00CB5F81" w:rsidRDefault="00486A9F" w:rsidP="00D04386">
      <w:pPr>
        <w:pStyle w:val="ListParagraph"/>
        <w:numPr>
          <w:ilvl w:val="0"/>
          <w:numId w:val="4"/>
        </w:numPr>
        <w:tabs>
          <w:tab w:val="left" w:pos="270"/>
        </w:tabs>
        <w:jc w:val="both"/>
        <w:rPr>
          <w:lang w:val="ro-MD"/>
        </w:rPr>
      </w:pPr>
      <w:r>
        <w:rPr>
          <w:rFonts w:asciiTheme="majorHAnsi" w:eastAsiaTheme="minorEastAsia" w:hAnsiTheme="majorHAnsi" w:cstheme="majorHAnsi"/>
          <w:sz w:val="24"/>
          <w:szCs w:val="24"/>
          <w:lang w:val="ro-MD" w:eastAsia="ru-RU"/>
        </w:rPr>
        <w:t>i</w:t>
      </w:r>
      <w:r w:rsidR="00042C4C" w:rsidRPr="00CB5F81">
        <w:rPr>
          <w:rFonts w:asciiTheme="majorHAnsi" w:eastAsiaTheme="minorEastAsia" w:hAnsiTheme="majorHAnsi" w:cstheme="majorHAnsi"/>
          <w:sz w:val="24"/>
          <w:szCs w:val="24"/>
          <w:lang w:val="ro-MD" w:eastAsia="ru-RU"/>
        </w:rPr>
        <w:t>nsuficiența infrastructurii</w:t>
      </w:r>
      <w:r w:rsidR="00EC1EAF">
        <w:rPr>
          <w:rFonts w:asciiTheme="majorHAnsi" w:eastAsiaTheme="minorEastAsia" w:hAnsiTheme="majorHAnsi" w:cstheme="majorHAnsi"/>
          <w:sz w:val="24"/>
          <w:szCs w:val="24"/>
          <w:lang w:val="ro-MD" w:eastAsia="ru-RU"/>
        </w:rPr>
        <w:t xml:space="preserve"> </w:t>
      </w:r>
      <w:r w:rsidR="00D94DE6" w:rsidRPr="00CB5F81">
        <w:rPr>
          <w:rFonts w:asciiTheme="majorHAnsi" w:eastAsiaTheme="minorEastAsia" w:hAnsiTheme="majorHAnsi" w:cstheme="majorHAnsi"/>
          <w:sz w:val="24"/>
          <w:szCs w:val="24"/>
          <w:lang w:val="ro-MD" w:eastAsia="ru-RU"/>
        </w:rPr>
        <w:t xml:space="preserve">și conexiunii </w:t>
      </w:r>
      <w:r w:rsidR="00042C4C" w:rsidRPr="00CB5F81">
        <w:rPr>
          <w:rFonts w:asciiTheme="majorHAnsi" w:eastAsiaTheme="minorEastAsia" w:hAnsiTheme="majorHAnsi" w:cstheme="majorHAnsi"/>
          <w:sz w:val="24"/>
          <w:szCs w:val="24"/>
          <w:lang w:val="ro-MD" w:eastAsia="ru-RU"/>
        </w:rPr>
        <w:t xml:space="preserve">de date existente </w:t>
      </w:r>
      <w:r w:rsidR="00D94DE6" w:rsidRPr="007B162D">
        <w:rPr>
          <w:rFonts w:asciiTheme="majorHAnsi" w:eastAsiaTheme="minorEastAsia" w:hAnsiTheme="majorHAnsi" w:cstheme="majorHAnsi"/>
          <w:sz w:val="24"/>
          <w:szCs w:val="24"/>
          <w:lang w:val="ro-MD" w:eastAsia="ru-RU"/>
        </w:rPr>
        <w:t>în SI</w:t>
      </w:r>
      <w:r w:rsidR="00D94DE6" w:rsidRPr="00CB5F81">
        <w:rPr>
          <w:rFonts w:asciiTheme="majorHAnsi" w:eastAsiaTheme="minorEastAsia" w:hAnsiTheme="majorHAnsi" w:cstheme="majorHAnsi"/>
          <w:sz w:val="24"/>
          <w:szCs w:val="24"/>
          <w:lang w:val="ro-MD" w:eastAsia="ru-RU"/>
        </w:rPr>
        <w:t xml:space="preserve"> a</w:t>
      </w:r>
      <w:r>
        <w:rPr>
          <w:rFonts w:asciiTheme="majorHAnsi" w:eastAsiaTheme="minorEastAsia" w:hAnsiTheme="majorHAnsi" w:cstheme="majorHAnsi"/>
          <w:sz w:val="24"/>
          <w:szCs w:val="24"/>
          <w:lang w:val="ro-MD" w:eastAsia="ru-RU"/>
        </w:rPr>
        <w:t>l</w:t>
      </w:r>
      <w:r w:rsidR="00D94DE6" w:rsidRPr="00CB5F81">
        <w:rPr>
          <w:rFonts w:asciiTheme="majorHAnsi" w:eastAsiaTheme="minorEastAsia" w:hAnsiTheme="majorHAnsi" w:cstheme="majorHAnsi"/>
          <w:sz w:val="24"/>
          <w:szCs w:val="24"/>
          <w:lang w:val="ro-MD" w:eastAsia="ru-RU"/>
        </w:rPr>
        <w:t xml:space="preserve"> </w:t>
      </w:r>
      <w:r w:rsidR="00042C4C" w:rsidRPr="00CB5F81">
        <w:rPr>
          <w:rFonts w:asciiTheme="majorHAnsi" w:eastAsiaTheme="minorEastAsia" w:hAnsiTheme="majorHAnsi" w:cstheme="majorHAnsi"/>
          <w:sz w:val="24"/>
          <w:szCs w:val="24"/>
          <w:lang w:val="ro-MD" w:eastAsia="ru-RU"/>
        </w:rPr>
        <w:t>SFS pentru a genera rapoarte</w:t>
      </w:r>
      <w:r w:rsidR="00D94DE6" w:rsidRPr="00CB5F81">
        <w:rPr>
          <w:rFonts w:asciiTheme="majorHAnsi" w:eastAsiaTheme="minorEastAsia" w:hAnsiTheme="majorHAnsi" w:cstheme="majorHAnsi"/>
          <w:sz w:val="24"/>
          <w:szCs w:val="24"/>
          <w:lang w:val="ro-MD" w:eastAsia="ru-RU"/>
        </w:rPr>
        <w:t xml:space="preserve"> </w:t>
      </w:r>
      <w:r w:rsidR="00707419" w:rsidRPr="00CB5F81">
        <w:rPr>
          <w:rFonts w:asciiTheme="majorHAnsi" w:eastAsiaTheme="minorEastAsia" w:hAnsiTheme="majorHAnsi" w:cstheme="majorHAnsi"/>
          <w:sz w:val="24"/>
          <w:szCs w:val="24"/>
          <w:lang w:val="ro-MD" w:eastAsia="ru-RU"/>
        </w:rPr>
        <w:t>relevante pe</w:t>
      </w:r>
      <w:r w:rsidR="00D94DE6" w:rsidRPr="00CB5F81">
        <w:rPr>
          <w:rFonts w:asciiTheme="majorHAnsi" w:eastAsiaTheme="minorEastAsia" w:hAnsiTheme="majorHAnsi" w:cstheme="majorHAnsi"/>
          <w:sz w:val="24"/>
          <w:szCs w:val="24"/>
          <w:lang w:val="ro-MD" w:eastAsia="ru-RU"/>
        </w:rPr>
        <w:t xml:space="preserve"> tipuri de facilități fiscale</w:t>
      </w:r>
      <w:r w:rsidR="00707419" w:rsidRPr="00CB5F81">
        <w:rPr>
          <w:rFonts w:asciiTheme="majorHAnsi" w:eastAsiaTheme="minorEastAsia" w:hAnsiTheme="majorHAnsi" w:cstheme="majorHAnsi"/>
          <w:sz w:val="24"/>
          <w:szCs w:val="24"/>
          <w:lang w:val="ro-MD" w:eastAsia="ru-RU"/>
        </w:rPr>
        <w:t>;</w:t>
      </w:r>
    </w:p>
    <w:p w:rsidR="00C22993" w:rsidRPr="00CB5F81" w:rsidRDefault="00486A9F" w:rsidP="00D04386">
      <w:pPr>
        <w:pStyle w:val="ListParagraph"/>
        <w:numPr>
          <w:ilvl w:val="0"/>
          <w:numId w:val="4"/>
        </w:numPr>
        <w:tabs>
          <w:tab w:val="left" w:pos="270"/>
        </w:tabs>
        <w:jc w:val="both"/>
        <w:rPr>
          <w:rFonts w:asciiTheme="majorHAnsi" w:eastAsiaTheme="minorEastAsia" w:hAnsiTheme="majorHAnsi" w:cstheme="majorHAnsi"/>
          <w:sz w:val="24"/>
          <w:szCs w:val="24"/>
          <w:lang w:val="ro-MD" w:eastAsia="ru-RU"/>
        </w:rPr>
      </w:pPr>
      <w:r>
        <w:rPr>
          <w:rFonts w:asciiTheme="majorHAnsi" w:eastAsiaTheme="minorEastAsia" w:hAnsiTheme="majorHAnsi" w:cstheme="majorHAnsi"/>
          <w:sz w:val="24"/>
          <w:szCs w:val="24"/>
          <w:lang w:val="ro-MD" w:eastAsia="ru-RU"/>
        </w:rPr>
        <w:t>e</w:t>
      </w:r>
      <w:r w:rsidR="00C22993" w:rsidRPr="00CB5F81">
        <w:rPr>
          <w:rFonts w:asciiTheme="majorHAnsi" w:eastAsiaTheme="minorEastAsia" w:hAnsiTheme="majorHAnsi" w:cstheme="majorHAnsi"/>
          <w:sz w:val="24"/>
          <w:szCs w:val="24"/>
          <w:lang w:val="ro-MD" w:eastAsia="ru-RU"/>
        </w:rPr>
        <w:t>xistența unor incertitudini</w:t>
      </w:r>
      <w:r w:rsidR="00EC1EAF">
        <w:rPr>
          <w:rFonts w:asciiTheme="majorHAnsi" w:eastAsiaTheme="minorEastAsia" w:hAnsiTheme="majorHAnsi" w:cstheme="majorHAnsi"/>
          <w:sz w:val="24"/>
          <w:szCs w:val="24"/>
          <w:lang w:val="ro-MD" w:eastAsia="ru-RU"/>
        </w:rPr>
        <w:t xml:space="preserve"> </w:t>
      </w:r>
      <w:r w:rsidR="00C22993" w:rsidRPr="00CB5F81">
        <w:rPr>
          <w:rFonts w:asciiTheme="majorHAnsi" w:eastAsiaTheme="minorEastAsia" w:hAnsiTheme="majorHAnsi" w:cstheme="majorHAnsi"/>
          <w:sz w:val="24"/>
          <w:szCs w:val="24"/>
          <w:lang w:val="ro-MD" w:eastAsia="ru-RU"/>
        </w:rPr>
        <w:t>privind calcularea facilităților fiscale aferente TVA</w:t>
      </w:r>
      <w:r>
        <w:rPr>
          <w:rFonts w:asciiTheme="majorHAnsi" w:eastAsiaTheme="minorEastAsia" w:hAnsiTheme="majorHAnsi" w:cstheme="majorHAnsi"/>
          <w:sz w:val="24"/>
          <w:szCs w:val="24"/>
          <w:lang w:val="ro-MD" w:eastAsia="ru-RU"/>
        </w:rPr>
        <w:t>,</w:t>
      </w:r>
      <w:r w:rsidR="00C22993" w:rsidRPr="00CB5F81">
        <w:rPr>
          <w:rFonts w:asciiTheme="majorHAnsi" w:eastAsiaTheme="minorEastAsia" w:hAnsiTheme="majorHAnsi" w:cstheme="majorHAnsi"/>
          <w:sz w:val="24"/>
          <w:szCs w:val="24"/>
          <w:lang w:val="ro-MD" w:eastAsia="ru-RU"/>
        </w:rPr>
        <w:t xml:space="preserve"> avându-se</w:t>
      </w:r>
      <w:r w:rsidR="00EC1EAF">
        <w:rPr>
          <w:rFonts w:asciiTheme="majorHAnsi" w:eastAsiaTheme="minorEastAsia" w:hAnsiTheme="majorHAnsi" w:cstheme="majorHAnsi"/>
          <w:sz w:val="24"/>
          <w:szCs w:val="24"/>
          <w:lang w:val="ro-MD" w:eastAsia="ru-RU"/>
        </w:rPr>
        <w:t xml:space="preserve"> </w:t>
      </w:r>
      <w:r w:rsidR="00C22993" w:rsidRPr="00CB5F81">
        <w:rPr>
          <w:rFonts w:asciiTheme="majorHAnsi" w:eastAsiaTheme="minorEastAsia" w:hAnsiTheme="majorHAnsi" w:cstheme="majorHAnsi"/>
          <w:sz w:val="24"/>
          <w:szCs w:val="24"/>
          <w:lang w:val="ro-MD" w:eastAsia="ru-RU"/>
        </w:rPr>
        <w:t>în vedere aplicarea acestui impozit la fiecare verigă a lanțului valoric</w:t>
      </w:r>
      <w:r w:rsidR="004D0E2B" w:rsidRPr="00CB5F81">
        <w:rPr>
          <w:rFonts w:asciiTheme="majorHAnsi" w:eastAsiaTheme="minorEastAsia" w:hAnsiTheme="majorHAnsi" w:cstheme="majorHAnsi"/>
          <w:sz w:val="24"/>
          <w:szCs w:val="24"/>
          <w:lang w:val="ro-MD" w:eastAsia="ru-RU"/>
        </w:rPr>
        <w:t>;</w:t>
      </w:r>
    </w:p>
    <w:p w:rsidR="008A6A37" w:rsidRPr="00CB5F81" w:rsidRDefault="00486A9F" w:rsidP="00D04386">
      <w:pPr>
        <w:pStyle w:val="ListParagraph"/>
        <w:numPr>
          <w:ilvl w:val="0"/>
          <w:numId w:val="4"/>
        </w:numPr>
        <w:tabs>
          <w:tab w:val="left" w:pos="270"/>
        </w:tabs>
        <w:jc w:val="both"/>
        <w:rPr>
          <w:rFonts w:asciiTheme="majorHAnsi" w:eastAsiaTheme="minorEastAsia" w:hAnsiTheme="majorHAnsi" w:cstheme="majorHAnsi"/>
          <w:sz w:val="24"/>
          <w:szCs w:val="24"/>
          <w:lang w:val="ro-MD" w:eastAsia="ru-RU"/>
        </w:rPr>
      </w:pPr>
      <w:r>
        <w:rPr>
          <w:rFonts w:asciiTheme="majorHAnsi" w:hAnsiTheme="majorHAnsi" w:cstheme="majorHAnsi"/>
          <w:sz w:val="24"/>
          <w:szCs w:val="24"/>
          <w:lang w:val="ro-MD"/>
        </w:rPr>
        <w:t>l</w:t>
      </w:r>
      <w:r w:rsidR="00707419" w:rsidRPr="00CB5F81">
        <w:rPr>
          <w:rFonts w:asciiTheme="majorHAnsi" w:hAnsiTheme="majorHAnsi" w:cstheme="majorHAnsi"/>
          <w:sz w:val="24"/>
          <w:szCs w:val="24"/>
          <w:lang w:val="ro-MD"/>
        </w:rPr>
        <w:t>ipsa unor metodologii și instrumente</w:t>
      </w:r>
      <w:r w:rsidR="00EC1EAF">
        <w:rPr>
          <w:rFonts w:asciiTheme="majorHAnsi" w:hAnsiTheme="majorHAnsi" w:cstheme="majorHAnsi"/>
          <w:sz w:val="24"/>
          <w:szCs w:val="24"/>
          <w:lang w:val="ro-MD"/>
        </w:rPr>
        <w:t xml:space="preserve"> </w:t>
      </w:r>
      <w:r w:rsidR="00707419" w:rsidRPr="00CB5F81">
        <w:rPr>
          <w:rFonts w:asciiTheme="majorHAnsi" w:hAnsiTheme="majorHAnsi" w:cstheme="majorHAnsi"/>
          <w:sz w:val="24"/>
          <w:szCs w:val="24"/>
          <w:lang w:val="ro-MD"/>
        </w:rPr>
        <w:t xml:space="preserve">privind calcularea facilităților aferente scutirilor </w:t>
      </w:r>
      <w:r>
        <w:rPr>
          <w:rFonts w:asciiTheme="majorHAnsi" w:hAnsiTheme="majorHAnsi" w:cstheme="majorHAnsi"/>
          <w:sz w:val="24"/>
          <w:szCs w:val="24"/>
          <w:lang w:val="ro-MD"/>
        </w:rPr>
        <w:t>de</w:t>
      </w:r>
      <w:r w:rsidR="00707419" w:rsidRPr="00CB5F81">
        <w:rPr>
          <w:rFonts w:asciiTheme="majorHAnsi" w:hAnsiTheme="majorHAnsi" w:cstheme="majorHAnsi"/>
          <w:sz w:val="24"/>
          <w:szCs w:val="24"/>
          <w:lang w:val="ro-MD"/>
        </w:rPr>
        <w:t xml:space="preserve"> TVA</w:t>
      </w:r>
      <w:r w:rsidR="00D21868" w:rsidRPr="00CB5F81">
        <w:rPr>
          <w:rFonts w:asciiTheme="majorHAnsi" w:hAnsiTheme="majorHAnsi" w:cstheme="majorHAnsi"/>
          <w:sz w:val="24"/>
          <w:szCs w:val="24"/>
          <w:lang w:val="ro-MD"/>
        </w:rPr>
        <w:t>,</w:t>
      </w:r>
      <w:r w:rsidR="00707419" w:rsidRPr="00CB5F81">
        <w:rPr>
          <w:rFonts w:asciiTheme="majorHAnsi" w:hAnsiTheme="majorHAnsi" w:cstheme="majorHAnsi"/>
          <w:sz w:val="24"/>
          <w:szCs w:val="24"/>
          <w:lang w:val="ro-MD"/>
        </w:rPr>
        <w:t xml:space="preserve"> </w:t>
      </w:r>
      <w:r>
        <w:rPr>
          <w:rFonts w:asciiTheme="majorHAnsi" w:hAnsiTheme="majorHAnsi" w:cstheme="majorHAnsi"/>
          <w:sz w:val="24"/>
          <w:szCs w:val="24"/>
          <w:lang w:val="ro-MD"/>
        </w:rPr>
        <w:t>dat fiind</w:t>
      </w:r>
      <w:r w:rsidR="00707419" w:rsidRPr="00CB5F81">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faptul </w:t>
      </w:r>
      <w:r w:rsidR="00707419" w:rsidRPr="00CB5F81">
        <w:rPr>
          <w:rFonts w:asciiTheme="majorHAnsi" w:hAnsiTheme="majorHAnsi" w:cstheme="majorHAnsi"/>
          <w:sz w:val="24"/>
          <w:szCs w:val="24"/>
          <w:lang w:val="ro-MD"/>
        </w:rPr>
        <w:t>că</w:t>
      </w:r>
      <w:r>
        <w:rPr>
          <w:rFonts w:asciiTheme="majorHAnsi" w:hAnsiTheme="majorHAnsi" w:cstheme="majorHAnsi"/>
          <w:sz w:val="24"/>
          <w:szCs w:val="24"/>
          <w:lang w:val="ro-MD"/>
        </w:rPr>
        <w:t>,</w:t>
      </w:r>
      <w:r w:rsidR="00707419" w:rsidRPr="00CB5F81">
        <w:rPr>
          <w:rFonts w:asciiTheme="majorHAnsi" w:hAnsiTheme="majorHAnsi" w:cstheme="majorHAnsi"/>
          <w:sz w:val="24"/>
          <w:szCs w:val="24"/>
          <w:lang w:val="ro-MD"/>
        </w:rPr>
        <w:t xml:space="preserve"> </w:t>
      </w:r>
      <w:r w:rsidR="00707419" w:rsidRPr="00CB5F81">
        <w:rPr>
          <w:rFonts w:asciiTheme="majorHAnsi" w:eastAsiaTheme="minorEastAsia" w:hAnsiTheme="majorHAnsi" w:cstheme="majorHAnsi"/>
          <w:sz w:val="24"/>
          <w:szCs w:val="24"/>
          <w:lang w:val="ro-MD" w:eastAsia="ru-RU"/>
        </w:rPr>
        <w:t xml:space="preserve">în Declarația privind TVA, informația despre valoarea livrărilor de mărfuri/servicii este prezentată </w:t>
      </w:r>
      <w:r w:rsidR="004D0E2B" w:rsidRPr="00CB5F81">
        <w:rPr>
          <w:rFonts w:asciiTheme="majorHAnsi" w:eastAsiaTheme="minorEastAsia" w:hAnsiTheme="majorHAnsi" w:cstheme="majorHAnsi"/>
          <w:sz w:val="24"/>
          <w:szCs w:val="24"/>
          <w:lang w:val="ro-MD" w:eastAsia="ru-RU"/>
        </w:rPr>
        <w:t xml:space="preserve">întru-un mod agregat </w:t>
      </w:r>
      <w:r w:rsidR="00707419" w:rsidRPr="00CB5F81">
        <w:rPr>
          <w:rFonts w:asciiTheme="majorHAnsi" w:eastAsiaTheme="minorEastAsia" w:hAnsiTheme="majorHAnsi" w:cstheme="majorHAnsi"/>
          <w:sz w:val="24"/>
          <w:szCs w:val="24"/>
          <w:lang w:val="ro-MD" w:eastAsia="ru-RU"/>
        </w:rPr>
        <w:t xml:space="preserve">de </w:t>
      </w:r>
      <w:r w:rsidR="004D0E2B" w:rsidRPr="00CB5F81">
        <w:rPr>
          <w:rFonts w:asciiTheme="majorHAnsi" w:eastAsiaTheme="minorEastAsia" w:hAnsiTheme="majorHAnsi" w:cstheme="majorHAnsi"/>
          <w:sz w:val="24"/>
          <w:szCs w:val="24"/>
          <w:lang w:val="ro-MD" w:eastAsia="ru-RU"/>
        </w:rPr>
        <w:t xml:space="preserve">către </w:t>
      </w:r>
      <w:r w:rsidR="00707419" w:rsidRPr="00CB5F81">
        <w:rPr>
          <w:rFonts w:asciiTheme="majorHAnsi" w:eastAsiaTheme="minorEastAsia" w:hAnsiTheme="majorHAnsi" w:cstheme="majorHAnsi"/>
          <w:sz w:val="24"/>
          <w:szCs w:val="24"/>
          <w:lang w:val="ro-MD" w:eastAsia="ru-RU"/>
        </w:rPr>
        <w:t>plătitorii de TVA</w:t>
      </w:r>
      <w:r w:rsidR="004D0E2B" w:rsidRPr="00CB5F81">
        <w:rPr>
          <w:rFonts w:asciiTheme="majorHAnsi" w:eastAsiaTheme="minorEastAsia" w:hAnsiTheme="majorHAnsi" w:cstheme="majorHAnsi"/>
          <w:sz w:val="24"/>
          <w:szCs w:val="24"/>
          <w:lang w:val="ro-MD" w:eastAsia="ru-RU"/>
        </w:rPr>
        <w:t xml:space="preserve"> (</w:t>
      </w:r>
      <w:r w:rsidR="00707419" w:rsidRPr="00CB5F81">
        <w:rPr>
          <w:rFonts w:asciiTheme="majorHAnsi" w:eastAsiaTheme="minorEastAsia" w:hAnsiTheme="majorHAnsi" w:cstheme="majorHAnsi"/>
          <w:sz w:val="24"/>
          <w:szCs w:val="24"/>
          <w:lang w:val="ro-MD" w:eastAsia="ru-RU"/>
        </w:rPr>
        <w:t xml:space="preserve">fiind divizată doar </w:t>
      </w:r>
      <w:r w:rsidR="004D0E2B" w:rsidRPr="00CB5F81">
        <w:rPr>
          <w:rFonts w:asciiTheme="majorHAnsi" w:eastAsiaTheme="minorEastAsia" w:hAnsiTheme="majorHAnsi" w:cstheme="majorHAnsi"/>
          <w:sz w:val="24"/>
          <w:szCs w:val="24"/>
          <w:lang w:val="ro-MD" w:eastAsia="ru-RU"/>
        </w:rPr>
        <w:t>reieșind</w:t>
      </w:r>
      <w:r w:rsidR="00707419" w:rsidRPr="00CB5F81">
        <w:rPr>
          <w:rFonts w:asciiTheme="majorHAnsi" w:eastAsiaTheme="minorEastAsia" w:hAnsiTheme="majorHAnsi" w:cstheme="majorHAnsi"/>
          <w:sz w:val="24"/>
          <w:szCs w:val="24"/>
          <w:lang w:val="ro-MD" w:eastAsia="ru-RU"/>
        </w:rPr>
        <w:t xml:space="preserve"> din regimul de impozitare aplicat - impozitate </w:t>
      </w:r>
      <w:r w:rsidR="00D109FF" w:rsidRPr="00CB5F81">
        <w:rPr>
          <w:rFonts w:asciiTheme="majorHAnsi" w:eastAsiaTheme="minorEastAsia" w:hAnsiTheme="majorHAnsi" w:cstheme="majorHAnsi"/>
          <w:sz w:val="24"/>
          <w:szCs w:val="24"/>
          <w:lang w:val="ro-MD" w:eastAsia="ru-RU"/>
        </w:rPr>
        <w:t>l</w:t>
      </w:r>
      <w:r w:rsidR="004D0E2B" w:rsidRPr="00CB5F81">
        <w:rPr>
          <w:rFonts w:asciiTheme="majorHAnsi" w:eastAsiaTheme="minorEastAsia" w:hAnsiTheme="majorHAnsi" w:cstheme="majorHAnsi"/>
          <w:sz w:val="24"/>
          <w:szCs w:val="24"/>
          <w:lang w:val="ro-MD" w:eastAsia="ru-RU"/>
        </w:rPr>
        <w:t xml:space="preserve">a cota standard </w:t>
      </w:r>
      <w:r w:rsidR="00707419" w:rsidRPr="00CB5F81">
        <w:rPr>
          <w:rFonts w:asciiTheme="majorHAnsi" w:eastAsiaTheme="minorEastAsia" w:hAnsiTheme="majorHAnsi" w:cstheme="majorHAnsi"/>
          <w:sz w:val="24"/>
          <w:szCs w:val="24"/>
          <w:lang w:val="ro-MD" w:eastAsia="ru-RU"/>
        </w:rPr>
        <w:t>, impozitate la cota redusă, scutite de TVA fără drept de deducere</w:t>
      </w:r>
      <w:r>
        <w:rPr>
          <w:rFonts w:asciiTheme="majorHAnsi" w:eastAsiaTheme="minorEastAsia" w:hAnsiTheme="majorHAnsi" w:cstheme="majorHAnsi"/>
          <w:sz w:val="24"/>
          <w:szCs w:val="24"/>
          <w:lang w:val="ro-MD" w:eastAsia="ru-RU"/>
        </w:rPr>
        <w:t>)</w:t>
      </w:r>
      <w:r w:rsidR="00D21868" w:rsidRPr="00CB5F81">
        <w:rPr>
          <w:rFonts w:asciiTheme="majorHAnsi" w:eastAsiaTheme="minorEastAsia" w:hAnsiTheme="majorHAnsi" w:cstheme="majorHAnsi"/>
          <w:sz w:val="24"/>
          <w:szCs w:val="24"/>
          <w:lang w:val="ro-MD" w:eastAsia="ru-RU"/>
        </w:rPr>
        <w:t xml:space="preserve">. </w:t>
      </w:r>
    </w:p>
    <w:p w:rsidR="004D0E2B" w:rsidRPr="00CB5F81" w:rsidRDefault="00DC66D0" w:rsidP="008A6A37">
      <w:pPr>
        <w:tabs>
          <w:tab w:val="left" w:pos="90"/>
          <w:tab w:val="left" w:pos="270"/>
        </w:tabs>
        <w:ind w:left="90"/>
        <w:jc w:val="both"/>
        <w:rPr>
          <w:rFonts w:asciiTheme="majorHAnsi" w:eastAsiaTheme="minorEastAsia" w:hAnsiTheme="majorHAnsi" w:cstheme="majorHAnsi"/>
          <w:sz w:val="24"/>
          <w:szCs w:val="24"/>
          <w:lang w:eastAsia="ru-RU"/>
        </w:rPr>
      </w:pPr>
      <w:r>
        <w:rPr>
          <w:rFonts w:asciiTheme="majorHAnsi" w:eastAsiaTheme="minorEastAsia" w:hAnsiTheme="majorHAnsi" w:cstheme="majorHAnsi"/>
          <w:sz w:val="24"/>
          <w:szCs w:val="24"/>
          <w:lang w:eastAsia="ru-RU"/>
        </w:rPr>
        <w:t>Sesizând deficiențele expuse</w:t>
      </w:r>
      <w:r w:rsidR="00486A9F">
        <w:rPr>
          <w:rFonts w:asciiTheme="majorHAnsi" w:eastAsiaTheme="minorEastAsia" w:hAnsiTheme="majorHAnsi" w:cstheme="majorHAnsi"/>
          <w:sz w:val="24"/>
          <w:szCs w:val="24"/>
          <w:lang w:eastAsia="ru-RU"/>
        </w:rPr>
        <w:t>,</w:t>
      </w:r>
      <w:r>
        <w:rPr>
          <w:rFonts w:asciiTheme="majorHAnsi" w:eastAsiaTheme="minorEastAsia" w:hAnsiTheme="majorHAnsi" w:cstheme="majorHAnsi"/>
          <w:sz w:val="24"/>
          <w:szCs w:val="24"/>
          <w:lang w:eastAsia="ru-RU"/>
        </w:rPr>
        <w:t xml:space="preserve"> MF </w:t>
      </w:r>
      <w:r w:rsidR="004D0E2B" w:rsidRPr="00CB5F81">
        <w:rPr>
          <w:rFonts w:asciiTheme="majorHAnsi" w:eastAsiaTheme="minorEastAsia" w:hAnsiTheme="majorHAnsi" w:cstheme="majorHAnsi"/>
          <w:sz w:val="24"/>
          <w:szCs w:val="24"/>
          <w:lang w:eastAsia="ru-RU"/>
        </w:rPr>
        <w:t xml:space="preserve">a solicitat </w:t>
      </w:r>
      <w:r>
        <w:rPr>
          <w:rFonts w:asciiTheme="majorHAnsi" w:eastAsiaTheme="minorEastAsia" w:hAnsiTheme="majorHAnsi" w:cstheme="majorHAnsi"/>
          <w:sz w:val="24"/>
          <w:szCs w:val="24"/>
          <w:lang w:eastAsia="ru-RU"/>
        </w:rPr>
        <w:t xml:space="preserve">și beneficiază de </w:t>
      </w:r>
      <w:r w:rsidR="004F014A" w:rsidRPr="00CB5F81">
        <w:rPr>
          <w:rFonts w:asciiTheme="majorHAnsi" w:eastAsiaTheme="minorEastAsia" w:hAnsiTheme="majorHAnsi" w:cstheme="majorHAnsi"/>
          <w:sz w:val="24"/>
          <w:szCs w:val="24"/>
          <w:lang w:eastAsia="ru-RU"/>
        </w:rPr>
        <w:t>asisten</w:t>
      </w:r>
      <w:r w:rsidR="00486A9F">
        <w:rPr>
          <w:rFonts w:asciiTheme="majorHAnsi" w:eastAsiaTheme="minorEastAsia" w:hAnsiTheme="majorHAnsi" w:cstheme="majorHAnsi"/>
          <w:sz w:val="24"/>
          <w:szCs w:val="24"/>
          <w:lang w:eastAsia="ru-RU"/>
        </w:rPr>
        <w:t>ță</w:t>
      </w:r>
      <w:r w:rsidR="004D0E2B" w:rsidRPr="00CB5F81">
        <w:rPr>
          <w:rFonts w:asciiTheme="majorHAnsi" w:eastAsiaTheme="minorEastAsia" w:hAnsiTheme="majorHAnsi" w:cstheme="majorHAnsi"/>
          <w:sz w:val="24"/>
          <w:szCs w:val="24"/>
          <w:lang w:eastAsia="ru-RU"/>
        </w:rPr>
        <w:t xml:space="preserve"> tehnică din partea partenerilor de dezvoltare, în vederea estimării costului </w:t>
      </w:r>
      <w:r w:rsidR="004F014A" w:rsidRPr="00CB5F81">
        <w:rPr>
          <w:rFonts w:asciiTheme="majorHAnsi" w:eastAsiaTheme="minorEastAsia" w:hAnsiTheme="majorHAnsi" w:cstheme="majorHAnsi"/>
          <w:sz w:val="24"/>
          <w:szCs w:val="24"/>
          <w:lang w:eastAsia="ru-RU"/>
        </w:rPr>
        <w:t>facilităților</w:t>
      </w:r>
      <w:r w:rsidR="004D0E2B" w:rsidRPr="00CB5F81">
        <w:rPr>
          <w:rFonts w:asciiTheme="majorHAnsi" w:eastAsiaTheme="minorEastAsia" w:hAnsiTheme="majorHAnsi" w:cstheme="majorHAnsi"/>
          <w:sz w:val="24"/>
          <w:szCs w:val="24"/>
          <w:lang w:eastAsia="ru-RU"/>
        </w:rPr>
        <w:t xml:space="preserve"> fiscale</w:t>
      </w:r>
      <w:r w:rsidR="00486A9F">
        <w:rPr>
          <w:rFonts w:asciiTheme="majorHAnsi" w:eastAsiaTheme="minorEastAsia" w:hAnsiTheme="majorHAnsi" w:cstheme="majorHAnsi"/>
          <w:sz w:val="24"/>
          <w:szCs w:val="24"/>
          <w:lang w:eastAsia="ru-RU"/>
        </w:rPr>
        <w:t>,</w:t>
      </w:r>
      <w:r w:rsidR="004D0E2B" w:rsidRPr="00CB5F81">
        <w:rPr>
          <w:rFonts w:asciiTheme="majorHAnsi" w:eastAsiaTheme="minorEastAsia" w:hAnsiTheme="majorHAnsi" w:cstheme="majorHAnsi"/>
          <w:sz w:val="24"/>
          <w:szCs w:val="24"/>
          <w:lang w:eastAsia="ru-RU"/>
        </w:rPr>
        <w:t xml:space="preserve"> pentru a asigura </w:t>
      </w:r>
      <w:r w:rsidR="004F014A" w:rsidRPr="00CB5F81">
        <w:rPr>
          <w:rFonts w:asciiTheme="majorHAnsi" w:eastAsiaTheme="minorEastAsia" w:hAnsiTheme="majorHAnsi" w:cstheme="majorHAnsi"/>
          <w:sz w:val="24"/>
          <w:szCs w:val="24"/>
          <w:lang w:eastAsia="ru-RU"/>
        </w:rPr>
        <w:t>îmbunătățirea</w:t>
      </w:r>
      <w:r w:rsidR="004D0E2B" w:rsidRPr="00CB5F81">
        <w:rPr>
          <w:rFonts w:asciiTheme="majorHAnsi" w:eastAsiaTheme="minorEastAsia" w:hAnsiTheme="majorHAnsi" w:cstheme="majorHAnsi"/>
          <w:sz w:val="24"/>
          <w:szCs w:val="24"/>
          <w:lang w:eastAsia="ru-RU"/>
        </w:rPr>
        <w:t xml:space="preserve"> procesului de raportare a acestora.</w:t>
      </w:r>
    </w:p>
    <w:p w:rsidR="00A407C6" w:rsidRPr="00CB5F81" w:rsidRDefault="002221EA" w:rsidP="00D04386">
      <w:pPr>
        <w:pStyle w:val="Heading3"/>
        <w:numPr>
          <w:ilvl w:val="2"/>
          <w:numId w:val="21"/>
        </w:numPr>
        <w:tabs>
          <w:tab w:val="left" w:pos="360"/>
          <w:tab w:val="left" w:pos="540"/>
          <w:tab w:val="left" w:pos="630"/>
        </w:tabs>
        <w:spacing w:before="200" w:after="120" w:line="240" w:lineRule="auto"/>
        <w:ind w:left="0" w:firstLine="0"/>
        <w:jc w:val="both"/>
        <w:rPr>
          <w:rFonts w:eastAsiaTheme="minorEastAsia" w:cstheme="majorHAnsi"/>
          <w:b/>
          <w:color w:val="2E74B5" w:themeColor="accent1" w:themeShade="BF"/>
          <w:lang w:eastAsia="ru-RU"/>
        </w:rPr>
      </w:pPr>
      <w:bookmarkStart w:id="25" w:name="_Toc111467870"/>
      <w:r w:rsidRPr="00CB5F81">
        <w:rPr>
          <w:rFonts w:eastAsiaTheme="minorEastAsia" w:cstheme="majorHAnsi"/>
          <w:b/>
          <w:color w:val="2E74B5" w:themeColor="accent1" w:themeShade="BF"/>
          <w:lang w:eastAsia="ru-RU"/>
        </w:rPr>
        <w:t>S</w:t>
      </w:r>
      <w:r w:rsidR="00985D59">
        <w:rPr>
          <w:rFonts w:eastAsiaTheme="minorEastAsia" w:cstheme="majorHAnsi"/>
          <w:b/>
          <w:color w:val="2E74B5" w:themeColor="accent1" w:themeShade="BF"/>
          <w:lang w:eastAsia="ru-RU"/>
        </w:rPr>
        <w:t>FS</w:t>
      </w:r>
      <w:r w:rsidR="00F26632" w:rsidRPr="00CB5F81">
        <w:rPr>
          <w:rFonts w:eastAsiaTheme="minorEastAsia" w:cstheme="majorHAnsi"/>
          <w:b/>
          <w:color w:val="2E74B5" w:themeColor="accent1" w:themeShade="BF"/>
          <w:lang w:eastAsia="ru-RU"/>
        </w:rPr>
        <w:t xml:space="preserve"> nu a manifestat diligență și responsabilitate </w:t>
      </w:r>
      <w:r w:rsidR="003A3C13" w:rsidRPr="00CB5F81">
        <w:rPr>
          <w:rFonts w:eastAsiaTheme="minorEastAsia" w:cstheme="majorHAnsi"/>
          <w:b/>
          <w:color w:val="2E74B5" w:themeColor="accent1" w:themeShade="BF"/>
          <w:lang w:eastAsia="ru-RU"/>
        </w:rPr>
        <w:t xml:space="preserve">în procesul de </w:t>
      </w:r>
      <w:r w:rsidR="00AD0AEF" w:rsidRPr="00CB5F81">
        <w:rPr>
          <w:rFonts w:eastAsiaTheme="minorEastAsia" w:cstheme="majorHAnsi"/>
          <w:b/>
          <w:color w:val="2E74B5" w:themeColor="accent1" w:themeShade="BF"/>
          <w:lang w:eastAsia="ru-RU"/>
        </w:rPr>
        <w:t xml:space="preserve">evaluare și </w:t>
      </w:r>
      <w:r w:rsidR="003A3C13" w:rsidRPr="00CB5F81">
        <w:rPr>
          <w:rFonts w:eastAsiaTheme="minorEastAsia" w:cstheme="majorHAnsi"/>
          <w:b/>
          <w:color w:val="2E74B5" w:themeColor="accent1" w:themeShade="BF"/>
          <w:lang w:eastAsia="ru-RU"/>
        </w:rPr>
        <w:t xml:space="preserve">raportare a </w:t>
      </w:r>
      <w:r w:rsidR="00F26632" w:rsidRPr="00CB5F81">
        <w:rPr>
          <w:rFonts w:eastAsiaTheme="minorEastAsia" w:cstheme="majorHAnsi"/>
          <w:b/>
          <w:color w:val="2E74B5" w:themeColor="accent1" w:themeShade="BF"/>
          <w:lang w:eastAsia="ru-RU"/>
        </w:rPr>
        <w:t>costurilor bugetare a</w:t>
      </w:r>
      <w:r w:rsidR="00486A9F">
        <w:rPr>
          <w:rFonts w:eastAsiaTheme="minorEastAsia" w:cstheme="majorHAnsi"/>
          <w:b/>
          <w:color w:val="2E74B5" w:themeColor="accent1" w:themeShade="BF"/>
          <w:lang w:eastAsia="ru-RU"/>
        </w:rPr>
        <w:t>le</w:t>
      </w:r>
      <w:r w:rsidR="00F26632" w:rsidRPr="00CB5F81">
        <w:rPr>
          <w:rFonts w:eastAsiaTheme="minorEastAsia" w:cstheme="majorHAnsi"/>
          <w:b/>
          <w:color w:val="2E74B5" w:themeColor="accent1" w:themeShade="BF"/>
          <w:lang w:eastAsia="ru-RU"/>
        </w:rPr>
        <w:t xml:space="preserve"> facilităților fiscale, </w:t>
      </w:r>
      <w:r w:rsidR="003A3C13" w:rsidRPr="00CB5F81">
        <w:rPr>
          <w:rFonts w:eastAsiaTheme="minorEastAsia" w:cstheme="majorHAnsi"/>
          <w:b/>
          <w:color w:val="2E74B5" w:themeColor="accent1" w:themeShade="BF"/>
          <w:lang w:eastAsia="ru-RU"/>
        </w:rPr>
        <w:t>în consecință</w:t>
      </w:r>
      <w:r w:rsidR="00486A9F">
        <w:rPr>
          <w:rFonts w:eastAsiaTheme="minorEastAsia" w:cstheme="majorHAnsi"/>
          <w:b/>
          <w:color w:val="2E74B5" w:themeColor="accent1" w:themeShade="BF"/>
          <w:lang w:eastAsia="ru-RU"/>
        </w:rPr>
        <w:t>,</w:t>
      </w:r>
      <w:r w:rsidR="003A3C13" w:rsidRPr="00CB5F81">
        <w:rPr>
          <w:rFonts w:eastAsiaTheme="minorEastAsia" w:cstheme="majorHAnsi"/>
          <w:b/>
          <w:color w:val="2E74B5" w:themeColor="accent1" w:themeShade="BF"/>
          <w:lang w:eastAsia="ru-RU"/>
        </w:rPr>
        <w:t xml:space="preserve"> datele </w:t>
      </w:r>
      <w:r w:rsidR="00065423" w:rsidRPr="00CB5F81">
        <w:rPr>
          <w:rFonts w:eastAsiaTheme="minorEastAsia" w:cstheme="majorHAnsi"/>
          <w:b/>
          <w:color w:val="2E74B5" w:themeColor="accent1" w:themeShade="BF"/>
          <w:lang w:eastAsia="ru-RU"/>
        </w:rPr>
        <w:t>raportate</w:t>
      </w:r>
      <w:r w:rsidR="003A3C13" w:rsidRPr="00CB5F81">
        <w:rPr>
          <w:rFonts w:eastAsiaTheme="minorEastAsia" w:cstheme="majorHAnsi"/>
          <w:b/>
          <w:color w:val="2E74B5" w:themeColor="accent1" w:themeShade="BF"/>
          <w:lang w:eastAsia="ru-RU"/>
        </w:rPr>
        <w:t xml:space="preserve"> conțin</w:t>
      </w:r>
      <w:r w:rsidR="00486A9F">
        <w:rPr>
          <w:rFonts w:eastAsiaTheme="minorEastAsia" w:cstheme="majorHAnsi"/>
          <w:b/>
          <w:color w:val="2E74B5" w:themeColor="accent1" w:themeShade="BF"/>
          <w:lang w:eastAsia="ru-RU"/>
        </w:rPr>
        <w:t>ând</w:t>
      </w:r>
      <w:r w:rsidR="003A3C13" w:rsidRPr="00CB5F81">
        <w:rPr>
          <w:rFonts w:eastAsiaTheme="minorEastAsia" w:cstheme="majorHAnsi"/>
          <w:b/>
          <w:color w:val="2E74B5" w:themeColor="accent1" w:themeShade="BF"/>
          <w:lang w:eastAsia="ru-RU"/>
        </w:rPr>
        <w:t xml:space="preserve"> erori semnificative</w:t>
      </w:r>
      <w:bookmarkEnd w:id="25"/>
      <w:r w:rsidR="00A407C6" w:rsidRPr="00CB5F81">
        <w:rPr>
          <w:rFonts w:eastAsiaTheme="minorEastAsia" w:cstheme="majorHAnsi"/>
          <w:b/>
          <w:color w:val="2E74B5" w:themeColor="accent1" w:themeShade="BF"/>
          <w:lang w:eastAsia="ru-RU"/>
        </w:rPr>
        <w:t xml:space="preserve"> </w:t>
      </w:r>
    </w:p>
    <w:p w:rsidR="00BC4785" w:rsidRDefault="00BC4785" w:rsidP="00F10F1A">
      <w:pPr>
        <w:tabs>
          <w:tab w:val="left" w:pos="270"/>
        </w:tabs>
        <w:spacing w:after="0"/>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t>Conform datelor</w:t>
      </w:r>
      <w:r w:rsidR="00EC1EAF">
        <w:rPr>
          <w:rFonts w:asciiTheme="majorHAnsi" w:eastAsiaTheme="minorEastAsia" w:hAnsiTheme="majorHAnsi" w:cstheme="majorHAnsi"/>
          <w:sz w:val="24"/>
          <w:szCs w:val="24"/>
          <w:lang w:eastAsia="ru-RU"/>
        </w:rPr>
        <w:t xml:space="preserve"> </w:t>
      </w:r>
      <w:r w:rsidR="00BB5B66" w:rsidRPr="00CB5F81">
        <w:rPr>
          <w:rFonts w:asciiTheme="majorHAnsi" w:eastAsiaTheme="minorEastAsia" w:hAnsiTheme="majorHAnsi" w:cstheme="majorHAnsi"/>
          <w:sz w:val="24"/>
          <w:szCs w:val="24"/>
          <w:lang w:eastAsia="ru-RU"/>
        </w:rPr>
        <w:t>prezentate</w:t>
      </w:r>
      <w:r w:rsidR="00486A9F">
        <w:rPr>
          <w:rFonts w:asciiTheme="majorHAnsi" w:eastAsiaTheme="minorEastAsia" w:hAnsiTheme="majorHAnsi" w:cstheme="majorHAnsi"/>
          <w:sz w:val="24"/>
          <w:szCs w:val="24"/>
          <w:lang w:eastAsia="ru-RU"/>
        </w:rPr>
        <w:t>,</w:t>
      </w:r>
      <w:r w:rsidR="00BB5B66" w:rsidRPr="00CB5F81">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calculate și raportate MF</w:t>
      </w:r>
      <w:r w:rsidR="00EC1EAF">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de către SFS</w:t>
      </w:r>
      <w:r w:rsidR="00486A9F">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s</w:t>
      </w:r>
      <w:r w:rsidR="00486A9F">
        <w:rPr>
          <w:rFonts w:asciiTheme="majorHAnsi" w:eastAsiaTheme="minorEastAsia" w:hAnsiTheme="majorHAnsi" w:cstheme="majorHAnsi"/>
          <w:sz w:val="24"/>
          <w:szCs w:val="24"/>
          <w:lang w:eastAsia="ru-RU"/>
        </w:rPr>
        <w:t>e atestă</w:t>
      </w:r>
      <w:r w:rsidR="004F014A" w:rsidRPr="00CB5F81">
        <w:rPr>
          <w:rFonts w:asciiTheme="majorHAnsi" w:eastAsiaTheme="minorEastAsia" w:hAnsiTheme="majorHAnsi" w:cstheme="majorHAnsi"/>
          <w:sz w:val="24"/>
          <w:szCs w:val="24"/>
          <w:lang w:eastAsia="ru-RU"/>
        </w:rPr>
        <w:t xml:space="preserve"> că în </w:t>
      </w:r>
      <w:r w:rsidR="00372637" w:rsidRPr="00CB5F81">
        <w:rPr>
          <w:rFonts w:asciiTheme="majorHAnsi" w:eastAsiaTheme="minorEastAsia" w:hAnsiTheme="majorHAnsi" w:cstheme="majorHAnsi"/>
          <w:sz w:val="24"/>
          <w:szCs w:val="24"/>
          <w:lang w:eastAsia="ru-RU"/>
        </w:rPr>
        <w:t xml:space="preserve">anul </w:t>
      </w:r>
      <w:r w:rsidR="004F014A" w:rsidRPr="00CB5F81">
        <w:rPr>
          <w:rFonts w:asciiTheme="majorHAnsi" w:eastAsiaTheme="minorEastAsia" w:hAnsiTheme="majorHAnsi" w:cstheme="majorHAnsi"/>
          <w:sz w:val="24"/>
          <w:szCs w:val="24"/>
          <w:lang w:eastAsia="ru-RU"/>
        </w:rPr>
        <w:t>2020</w:t>
      </w:r>
      <w:r w:rsidRPr="00CB5F81">
        <w:rPr>
          <w:rFonts w:asciiTheme="majorHAnsi" w:eastAsiaTheme="minorEastAsia" w:hAnsiTheme="majorHAnsi" w:cstheme="majorHAnsi"/>
          <w:sz w:val="24"/>
          <w:szCs w:val="24"/>
          <w:lang w:eastAsia="ru-RU"/>
        </w:rPr>
        <w:t xml:space="preserve"> contribuabilii</w:t>
      </w:r>
      <w:r w:rsidR="00EC1EAF">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 xml:space="preserve">au beneficiat de înlesniri fiscale în valoare totală de </w:t>
      </w:r>
      <w:r w:rsidR="00372637" w:rsidRPr="00CB5F81">
        <w:rPr>
          <w:rFonts w:asciiTheme="majorHAnsi" w:eastAsiaTheme="minorEastAsia" w:hAnsiTheme="majorHAnsi" w:cstheme="majorHAnsi"/>
          <w:sz w:val="24"/>
          <w:szCs w:val="24"/>
          <w:lang w:eastAsia="ru-RU"/>
        </w:rPr>
        <w:t>2</w:t>
      </w:r>
      <w:r w:rsidRPr="00CB5F81">
        <w:rPr>
          <w:rFonts w:asciiTheme="majorHAnsi" w:eastAsiaTheme="minorEastAsia" w:hAnsiTheme="majorHAnsi" w:cstheme="majorHAnsi"/>
          <w:sz w:val="24"/>
          <w:szCs w:val="24"/>
          <w:lang w:eastAsia="ru-RU"/>
        </w:rPr>
        <w:t xml:space="preserve">,3 </w:t>
      </w:r>
      <w:r w:rsidR="00726434" w:rsidRPr="00CB5F81">
        <w:rPr>
          <w:rFonts w:asciiTheme="majorHAnsi" w:eastAsiaTheme="minorEastAsia" w:hAnsiTheme="majorHAnsi" w:cstheme="majorHAnsi"/>
          <w:sz w:val="24"/>
          <w:szCs w:val="24"/>
          <w:lang w:eastAsia="ru-RU"/>
        </w:rPr>
        <w:t>ml</w:t>
      </w:r>
      <w:r w:rsidR="00486A9F">
        <w:rPr>
          <w:rFonts w:asciiTheme="majorHAnsi" w:eastAsiaTheme="minorEastAsia" w:hAnsiTheme="majorHAnsi" w:cstheme="majorHAnsi"/>
          <w:sz w:val="24"/>
          <w:szCs w:val="24"/>
          <w:lang w:eastAsia="ru-RU"/>
        </w:rPr>
        <w:t>r</w:t>
      </w:r>
      <w:r w:rsidR="00726434" w:rsidRPr="00CB5F81">
        <w:rPr>
          <w:rFonts w:asciiTheme="majorHAnsi" w:eastAsiaTheme="minorEastAsia" w:hAnsiTheme="majorHAnsi" w:cstheme="majorHAnsi"/>
          <w:sz w:val="24"/>
          <w:szCs w:val="24"/>
          <w:lang w:eastAsia="ru-RU"/>
        </w:rPr>
        <w:t>d.</w:t>
      </w:r>
      <w:r w:rsidR="000401E1" w:rsidRPr="00CB5F81">
        <w:rPr>
          <w:rFonts w:asciiTheme="majorHAnsi" w:eastAsiaTheme="minorEastAsia" w:hAnsiTheme="majorHAnsi" w:cstheme="majorHAnsi"/>
          <w:sz w:val="24"/>
          <w:szCs w:val="24"/>
          <w:lang w:eastAsia="ru-RU"/>
        </w:rPr>
        <w:t xml:space="preserve"> </w:t>
      </w:r>
      <w:r w:rsidR="00372637" w:rsidRPr="00CB5F81">
        <w:rPr>
          <w:rFonts w:asciiTheme="majorHAnsi" w:eastAsiaTheme="minorEastAsia" w:hAnsiTheme="majorHAnsi" w:cstheme="majorHAnsi"/>
          <w:sz w:val="24"/>
          <w:szCs w:val="24"/>
          <w:lang w:eastAsia="ru-RU"/>
        </w:rPr>
        <w:t>lei,</w:t>
      </w:r>
      <w:r w:rsidRPr="00CB5F81">
        <w:rPr>
          <w:rFonts w:asciiTheme="majorHAnsi" w:eastAsiaTheme="minorEastAsia" w:hAnsiTheme="majorHAnsi" w:cstheme="majorHAnsi"/>
          <w:sz w:val="24"/>
          <w:szCs w:val="24"/>
          <w:lang w:eastAsia="ru-RU"/>
        </w:rPr>
        <w:t xml:space="preserve"> valoarea facilităților </w:t>
      </w:r>
      <w:r w:rsidRPr="00CB5F81">
        <w:rPr>
          <w:rFonts w:asciiTheme="majorHAnsi" w:eastAsiaTheme="minorEastAsia" w:hAnsiTheme="majorHAnsi" w:cstheme="majorHAnsi"/>
          <w:sz w:val="24"/>
          <w:szCs w:val="24"/>
          <w:lang w:eastAsia="ru-RU"/>
        </w:rPr>
        <w:lastRenderedPageBreak/>
        <w:t xml:space="preserve">structurate pe tipuri de taxe și impozite administrate de către SFS </w:t>
      </w:r>
      <w:r w:rsidR="00372637" w:rsidRPr="00CB5F81">
        <w:rPr>
          <w:rFonts w:asciiTheme="majorHAnsi" w:eastAsiaTheme="minorEastAsia" w:hAnsiTheme="majorHAnsi" w:cstheme="majorHAnsi"/>
          <w:sz w:val="24"/>
          <w:szCs w:val="24"/>
          <w:lang w:eastAsia="ru-RU"/>
        </w:rPr>
        <w:t xml:space="preserve">fiind prezentată </w:t>
      </w:r>
      <w:r w:rsidRPr="00CB5F81">
        <w:rPr>
          <w:rFonts w:asciiTheme="majorHAnsi" w:eastAsiaTheme="minorEastAsia" w:hAnsiTheme="majorHAnsi" w:cstheme="majorHAnsi"/>
          <w:sz w:val="24"/>
          <w:szCs w:val="24"/>
          <w:lang w:eastAsia="ru-RU"/>
        </w:rPr>
        <w:t>în</w:t>
      </w:r>
      <w:r w:rsidR="00EC1EAF">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 xml:space="preserve">următoarea </w:t>
      </w:r>
      <w:r w:rsidR="00CE1F7F" w:rsidRPr="003B791A">
        <w:rPr>
          <w:rFonts w:asciiTheme="majorHAnsi" w:eastAsiaTheme="minorEastAsia" w:hAnsiTheme="majorHAnsi" w:cstheme="majorHAnsi"/>
          <w:sz w:val="24"/>
          <w:szCs w:val="24"/>
          <w:lang w:eastAsia="ru-RU"/>
        </w:rPr>
        <w:t>D</w:t>
      </w:r>
      <w:r w:rsidR="00F10F1A" w:rsidRPr="003B791A">
        <w:rPr>
          <w:rFonts w:asciiTheme="majorHAnsi" w:eastAsiaTheme="minorEastAsia" w:hAnsiTheme="majorHAnsi" w:cstheme="majorHAnsi"/>
          <w:sz w:val="24"/>
          <w:szCs w:val="24"/>
          <w:lang w:eastAsia="ru-RU"/>
        </w:rPr>
        <w:t>ia</w:t>
      </w:r>
      <w:r w:rsidR="00F10F1A">
        <w:rPr>
          <w:rFonts w:asciiTheme="majorHAnsi" w:eastAsiaTheme="minorEastAsia" w:hAnsiTheme="majorHAnsi" w:cstheme="majorHAnsi"/>
          <w:sz w:val="24"/>
          <w:szCs w:val="24"/>
          <w:lang w:eastAsia="ru-RU"/>
        </w:rPr>
        <w:t>gram</w:t>
      </w:r>
      <w:r w:rsidR="00260D3D">
        <w:rPr>
          <w:rFonts w:asciiTheme="majorHAnsi" w:eastAsiaTheme="minorEastAsia" w:hAnsiTheme="majorHAnsi" w:cstheme="majorHAnsi"/>
          <w:sz w:val="24"/>
          <w:szCs w:val="24"/>
          <w:lang w:eastAsia="ru-RU"/>
        </w:rPr>
        <w:t>ă.</w:t>
      </w:r>
      <w:r w:rsidRPr="00CB5F81">
        <w:rPr>
          <w:rFonts w:asciiTheme="majorHAnsi" w:eastAsiaTheme="minorEastAsia" w:hAnsiTheme="majorHAnsi" w:cstheme="majorHAnsi"/>
          <w:sz w:val="24"/>
          <w:szCs w:val="24"/>
          <w:lang w:eastAsia="ru-RU"/>
        </w:rPr>
        <w:t xml:space="preserve"> </w:t>
      </w:r>
    </w:p>
    <w:p w:rsidR="00F10F1A" w:rsidRPr="000B0D94" w:rsidRDefault="00F10F1A" w:rsidP="00F10F1A">
      <w:pPr>
        <w:tabs>
          <w:tab w:val="left" w:pos="270"/>
        </w:tabs>
        <w:spacing w:after="0"/>
        <w:jc w:val="right"/>
        <w:rPr>
          <w:rFonts w:asciiTheme="majorHAnsi" w:eastAsiaTheme="minorEastAsia" w:hAnsiTheme="majorHAnsi" w:cstheme="majorHAnsi"/>
          <w:b/>
          <w:sz w:val="24"/>
          <w:szCs w:val="24"/>
          <w:lang w:eastAsia="ru-RU"/>
        </w:rPr>
      </w:pPr>
      <w:r w:rsidRPr="000B0D94">
        <w:rPr>
          <w:rFonts w:asciiTheme="majorHAnsi" w:eastAsiaTheme="minorEastAsia" w:hAnsiTheme="majorHAnsi" w:cstheme="majorHAnsi"/>
          <w:b/>
          <w:sz w:val="24"/>
          <w:szCs w:val="24"/>
          <w:lang w:eastAsia="ru-RU"/>
        </w:rPr>
        <w:t>Diagrama nr.3</w:t>
      </w:r>
    </w:p>
    <w:p w:rsidR="00A407C6" w:rsidRPr="00CB5F81" w:rsidRDefault="00A8712F" w:rsidP="00691D61">
      <w:pPr>
        <w:tabs>
          <w:tab w:val="left" w:pos="270"/>
        </w:tabs>
        <w:spacing w:after="0"/>
        <w:jc w:val="both"/>
        <w:rPr>
          <w:rFonts w:asciiTheme="majorHAnsi" w:hAnsiTheme="majorHAnsi" w:cstheme="majorHAnsi"/>
          <w:sz w:val="24"/>
          <w:szCs w:val="24"/>
        </w:rPr>
      </w:pPr>
      <w:r w:rsidRPr="00CB5F81">
        <w:rPr>
          <w:noProof/>
          <w:lang w:val="en-US"/>
        </w:rPr>
        <w:drawing>
          <wp:inline distT="0" distB="0" distL="0" distR="0" wp14:anchorId="0BAE80E7" wp14:editId="4093E52D">
            <wp:extent cx="5943600" cy="3606402"/>
            <wp:effectExtent l="0" t="0" r="0"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2637" w:rsidRPr="00CB5F81" w:rsidRDefault="004A541C" w:rsidP="00691D61">
      <w:pPr>
        <w:tabs>
          <w:tab w:val="left" w:pos="270"/>
        </w:tabs>
        <w:spacing w:after="120"/>
        <w:ind w:left="360"/>
        <w:jc w:val="both"/>
        <w:rPr>
          <w:rFonts w:asciiTheme="majorHAnsi" w:eastAsiaTheme="minorEastAsia" w:hAnsiTheme="majorHAnsi" w:cstheme="majorHAnsi"/>
          <w:i/>
          <w:sz w:val="18"/>
          <w:szCs w:val="18"/>
          <w:lang w:eastAsia="ru-RU"/>
        </w:rPr>
      </w:pPr>
      <w:r w:rsidRPr="000B0D94">
        <w:rPr>
          <w:rFonts w:asciiTheme="majorHAnsi" w:eastAsiaTheme="minorEastAsia" w:hAnsiTheme="majorHAnsi" w:cstheme="majorHAnsi"/>
          <w:b/>
          <w:i/>
          <w:sz w:val="18"/>
          <w:szCs w:val="18"/>
          <w:lang w:eastAsia="ru-RU"/>
        </w:rPr>
        <w:t>Sursa:</w:t>
      </w:r>
      <w:r w:rsidRPr="00CB5F81">
        <w:rPr>
          <w:rFonts w:asciiTheme="majorHAnsi" w:eastAsiaTheme="minorEastAsia" w:hAnsiTheme="majorHAnsi" w:cstheme="majorHAnsi"/>
          <w:i/>
          <w:sz w:val="18"/>
          <w:szCs w:val="18"/>
          <w:lang w:eastAsia="ru-RU"/>
        </w:rPr>
        <w:t xml:space="preserve"> Datele</w:t>
      </w:r>
      <w:r w:rsidR="00EC1EAF">
        <w:rPr>
          <w:rFonts w:asciiTheme="majorHAnsi" w:eastAsiaTheme="minorEastAsia" w:hAnsiTheme="majorHAnsi" w:cstheme="majorHAnsi"/>
          <w:i/>
          <w:sz w:val="18"/>
          <w:szCs w:val="18"/>
          <w:lang w:eastAsia="ru-RU"/>
        </w:rPr>
        <w:t xml:space="preserve"> </w:t>
      </w:r>
      <w:r w:rsidRPr="00CB5F81">
        <w:rPr>
          <w:rFonts w:asciiTheme="majorHAnsi" w:eastAsiaTheme="minorEastAsia" w:hAnsiTheme="majorHAnsi" w:cstheme="majorHAnsi"/>
          <w:i/>
          <w:sz w:val="18"/>
          <w:szCs w:val="18"/>
          <w:lang w:eastAsia="ru-RU"/>
        </w:rPr>
        <w:t>conform Registrului unic al fac</w:t>
      </w:r>
      <w:r w:rsidR="00691D61" w:rsidRPr="00CB5F81">
        <w:rPr>
          <w:rFonts w:asciiTheme="majorHAnsi" w:eastAsiaTheme="minorEastAsia" w:hAnsiTheme="majorHAnsi" w:cstheme="majorHAnsi"/>
          <w:i/>
          <w:sz w:val="18"/>
          <w:szCs w:val="18"/>
          <w:lang w:eastAsia="ru-RU"/>
        </w:rPr>
        <w:t>ilităților fiscale pe anul 2020</w:t>
      </w:r>
      <w:r w:rsidRPr="00CB5F81">
        <w:rPr>
          <w:rFonts w:asciiTheme="majorHAnsi" w:eastAsiaTheme="minorEastAsia" w:hAnsiTheme="majorHAnsi" w:cstheme="majorHAnsi"/>
          <w:i/>
          <w:sz w:val="18"/>
          <w:szCs w:val="18"/>
          <w:lang w:eastAsia="ru-RU"/>
        </w:rPr>
        <w:t>, prezentat</w:t>
      </w:r>
      <w:r w:rsidR="00260D3D">
        <w:rPr>
          <w:rFonts w:asciiTheme="majorHAnsi" w:eastAsiaTheme="minorEastAsia" w:hAnsiTheme="majorHAnsi" w:cstheme="majorHAnsi"/>
          <w:i/>
          <w:sz w:val="18"/>
          <w:szCs w:val="18"/>
          <w:lang w:eastAsia="ru-RU"/>
        </w:rPr>
        <w:t>e</w:t>
      </w:r>
      <w:r w:rsidRPr="00CB5F81">
        <w:rPr>
          <w:rFonts w:asciiTheme="majorHAnsi" w:eastAsiaTheme="minorEastAsia" w:hAnsiTheme="majorHAnsi" w:cstheme="majorHAnsi"/>
          <w:i/>
          <w:sz w:val="18"/>
          <w:szCs w:val="18"/>
          <w:lang w:eastAsia="ru-RU"/>
        </w:rPr>
        <w:t xml:space="preserve"> de SFS și</w:t>
      </w:r>
      <w:r w:rsidR="00EC1EAF">
        <w:rPr>
          <w:rFonts w:asciiTheme="majorHAnsi" w:eastAsiaTheme="minorEastAsia" w:hAnsiTheme="majorHAnsi" w:cstheme="majorHAnsi"/>
          <w:i/>
          <w:sz w:val="18"/>
          <w:szCs w:val="18"/>
          <w:lang w:eastAsia="ru-RU"/>
        </w:rPr>
        <w:t xml:space="preserve"> </w:t>
      </w:r>
      <w:r w:rsidRPr="00CB5F81">
        <w:rPr>
          <w:rFonts w:asciiTheme="majorHAnsi" w:eastAsiaTheme="minorEastAsia" w:hAnsiTheme="majorHAnsi" w:cstheme="majorHAnsi"/>
          <w:i/>
          <w:sz w:val="18"/>
          <w:szCs w:val="18"/>
          <w:lang w:eastAsia="ru-RU"/>
        </w:rPr>
        <w:t>actualizat</w:t>
      </w:r>
      <w:r w:rsidR="00D109FF" w:rsidRPr="00CB5F81">
        <w:rPr>
          <w:rFonts w:asciiTheme="majorHAnsi" w:eastAsiaTheme="minorEastAsia" w:hAnsiTheme="majorHAnsi" w:cstheme="majorHAnsi"/>
          <w:i/>
          <w:sz w:val="18"/>
          <w:szCs w:val="18"/>
          <w:lang w:eastAsia="ru-RU"/>
        </w:rPr>
        <w:t xml:space="preserve">e </w:t>
      </w:r>
      <w:r w:rsidRPr="00CB5F81">
        <w:rPr>
          <w:rFonts w:asciiTheme="majorHAnsi" w:eastAsiaTheme="minorEastAsia" w:hAnsiTheme="majorHAnsi" w:cstheme="majorHAnsi"/>
          <w:i/>
          <w:sz w:val="18"/>
          <w:szCs w:val="18"/>
          <w:lang w:eastAsia="ru-RU"/>
        </w:rPr>
        <w:t>pe parcursul auditului</w:t>
      </w:r>
      <w:r w:rsidR="00260D3D">
        <w:rPr>
          <w:rFonts w:asciiTheme="majorHAnsi" w:eastAsiaTheme="minorEastAsia" w:hAnsiTheme="majorHAnsi" w:cstheme="majorHAnsi"/>
          <w:i/>
          <w:sz w:val="18"/>
          <w:szCs w:val="18"/>
          <w:lang w:eastAsia="ru-RU"/>
        </w:rPr>
        <w:t>.</w:t>
      </w:r>
      <w:r w:rsidRPr="00CB5F81">
        <w:rPr>
          <w:rFonts w:asciiTheme="majorHAnsi" w:eastAsiaTheme="minorEastAsia" w:hAnsiTheme="majorHAnsi" w:cstheme="majorHAnsi"/>
          <w:i/>
          <w:sz w:val="18"/>
          <w:szCs w:val="18"/>
          <w:lang w:eastAsia="ru-RU"/>
        </w:rPr>
        <w:t xml:space="preserve"> </w:t>
      </w:r>
    </w:p>
    <w:p w:rsidR="00372637" w:rsidRPr="00CB5F81" w:rsidRDefault="00260D3D" w:rsidP="00372637">
      <w:pPr>
        <w:tabs>
          <w:tab w:val="left" w:pos="270"/>
        </w:tabs>
        <w:jc w:val="both"/>
        <w:rPr>
          <w:rFonts w:asciiTheme="majorHAnsi" w:eastAsiaTheme="minorEastAsia" w:hAnsiTheme="majorHAnsi" w:cstheme="majorHAnsi"/>
          <w:sz w:val="24"/>
          <w:szCs w:val="24"/>
          <w:lang w:eastAsia="ru-RU"/>
        </w:rPr>
      </w:pPr>
      <w:r>
        <w:rPr>
          <w:rFonts w:asciiTheme="majorHAnsi" w:eastAsiaTheme="minorEastAsia" w:hAnsiTheme="majorHAnsi" w:cstheme="majorHAnsi"/>
          <w:sz w:val="24"/>
          <w:szCs w:val="24"/>
          <w:lang w:eastAsia="ru-RU"/>
        </w:rPr>
        <w:t>În</w:t>
      </w:r>
      <w:r w:rsidR="00372637" w:rsidRPr="00CB5F81">
        <w:rPr>
          <w:rFonts w:asciiTheme="majorHAnsi" w:eastAsiaTheme="minorEastAsia" w:hAnsiTheme="majorHAnsi" w:cstheme="majorHAnsi"/>
          <w:sz w:val="24"/>
          <w:szCs w:val="24"/>
          <w:lang w:eastAsia="ru-RU"/>
        </w:rPr>
        <w:t xml:space="preserve"> </w:t>
      </w:r>
      <w:r w:rsidR="00372637" w:rsidRPr="003B791A">
        <w:rPr>
          <w:rFonts w:asciiTheme="majorHAnsi" w:eastAsiaTheme="minorEastAsia" w:hAnsiTheme="majorHAnsi" w:cstheme="majorHAnsi"/>
          <w:sz w:val="24"/>
          <w:szCs w:val="24"/>
          <w:lang w:eastAsia="ru-RU"/>
        </w:rPr>
        <w:t>total</w:t>
      </w:r>
      <w:r w:rsidR="00CE1F7F" w:rsidRPr="003B791A">
        <w:rPr>
          <w:rFonts w:asciiTheme="majorHAnsi" w:eastAsiaTheme="minorEastAsia" w:hAnsiTheme="majorHAnsi" w:cstheme="majorHAnsi"/>
          <w:sz w:val="24"/>
          <w:szCs w:val="24"/>
          <w:lang w:eastAsia="ru-RU"/>
        </w:rPr>
        <w:t>ul</w:t>
      </w:r>
      <w:r w:rsidR="00372637" w:rsidRPr="003B791A">
        <w:rPr>
          <w:rFonts w:asciiTheme="majorHAnsi" w:eastAsiaTheme="minorEastAsia" w:hAnsiTheme="majorHAnsi" w:cstheme="majorHAnsi"/>
          <w:sz w:val="24"/>
          <w:szCs w:val="24"/>
          <w:lang w:eastAsia="ru-RU"/>
        </w:rPr>
        <w:t xml:space="preserve"> </w:t>
      </w:r>
      <w:r w:rsidR="00372637" w:rsidRPr="00CB5F81">
        <w:rPr>
          <w:rFonts w:asciiTheme="majorHAnsi" w:eastAsiaTheme="minorEastAsia" w:hAnsiTheme="majorHAnsi" w:cstheme="majorHAnsi"/>
          <w:sz w:val="24"/>
          <w:szCs w:val="24"/>
          <w:lang w:eastAsia="ru-RU"/>
        </w:rPr>
        <w:t>înlesnirilor cuantificate de SFS, pondere</w:t>
      </w:r>
      <w:r>
        <w:rPr>
          <w:rFonts w:asciiTheme="majorHAnsi" w:eastAsiaTheme="minorEastAsia" w:hAnsiTheme="majorHAnsi" w:cstheme="majorHAnsi"/>
          <w:sz w:val="24"/>
          <w:szCs w:val="24"/>
          <w:lang w:eastAsia="ru-RU"/>
        </w:rPr>
        <w:t>a</w:t>
      </w:r>
      <w:r w:rsidR="00372637" w:rsidRPr="00CB5F81">
        <w:rPr>
          <w:rFonts w:asciiTheme="majorHAnsi" w:eastAsiaTheme="minorEastAsia" w:hAnsiTheme="majorHAnsi" w:cstheme="majorHAnsi"/>
          <w:sz w:val="24"/>
          <w:szCs w:val="24"/>
          <w:lang w:eastAsia="ru-RU"/>
        </w:rPr>
        <w:t xml:space="preserve"> semnificativă</w:t>
      </w:r>
      <w:r w:rsidR="007F043C" w:rsidRPr="00CB5F81">
        <w:rPr>
          <w:rFonts w:asciiTheme="majorHAnsi" w:eastAsiaTheme="minorEastAsia" w:hAnsiTheme="majorHAnsi" w:cstheme="majorHAnsi"/>
          <w:sz w:val="24"/>
          <w:szCs w:val="24"/>
          <w:lang w:eastAsia="ru-RU"/>
        </w:rPr>
        <w:t>, de</w:t>
      </w:r>
      <w:r w:rsidR="00EC1EAF">
        <w:rPr>
          <w:rFonts w:asciiTheme="majorHAnsi" w:eastAsiaTheme="minorEastAsia" w:hAnsiTheme="majorHAnsi" w:cstheme="majorHAnsi"/>
          <w:sz w:val="24"/>
          <w:szCs w:val="24"/>
          <w:lang w:eastAsia="ru-RU"/>
        </w:rPr>
        <w:t xml:space="preserve"> </w:t>
      </w:r>
      <w:r w:rsidR="00372637" w:rsidRPr="00CB5F81">
        <w:rPr>
          <w:rFonts w:asciiTheme="majorHAnsi" w:eastAsiaTheme="minorEastAsia" w:hAnsiTheme="majorHAnsi" w:cstheme="majorHAnsi"/>
          <w:sz w:val="24"/>
          <w:szCs w:val="24"/>
          <w:lang w:eastAsia="ru-RU"/>
        </w:rPr>
        <w:t>46,0%</w:t>
      </w:r>
      <w:r w:rsidR="007F043C" w:rsidRPr="00CB5F81">
        <w:rPr>
          <w:rFonts w:asciiTheme="majorHAnsi" w:eastAsiaTheme="minorEastAsia" w:hAnsiTheme="majorHAnsi" w:cstheme="majorHAnsi"/>
          <w:sz w:val="24"/>
          <w:szCs w:val="24"/>
          <w:lang w:eastAsia="ru-RU"/>
        </w:rPr>
        <w:t xml:space="preserve"> (1,0 </w:t>
      </w:r>
      <w:r w:rsidR="00726434" w:rsidRPr="00CB5F81">
        <w:rPr>
          <w:rFonts w:asciiTheme="majorHAnsi" w:eastAsiaTheme="minorEastAsia" w:hAnsiTheme="majorHAnsi" w:cstheme="majorHAnsi"/>
          <w:sz w:val="24"/>
          <w:szCs w:val="24"/>
          <w:lang w:eastAsia="ru-RU"/>
        </w:rPr>
        <w:t>ml</w:t>
      </w:r>
      <w:r>
        <w:rPr>
          <w:rFonts w:asciiTheme="majorHAnsi" w:eastAsiaTheme="minorEastAsia" w:hAnsiTheme="majorHAnsi" w:cstheme="majorHAnsi"/>
          <w:sz w:val="24"/>
          <w:szCs w:val="24"/>
          <w:lang w:eastAsia="ru-RU"/>
        </w:rPr>
        <w:t>r</w:t>
      </w:r>
      <w:r w:rsidR="00726434" w:rsidRPr="00CB5F81">
        <w:rPr>
          <w:rFonts w:asciiTheme="majorHAnsi" w:eastAsiaTheme="minorEastAsia" w:hAnsiTheme="majorHAnsi" w:cstheme="majorHAnsi"/>
          <w:sz w:val="24"/>
          <w:szCs w:val="24"/>
          <w:lang w:eastAsia="ru-RU"/>
        </w:rPr>
        <w:t>d.</w:t>
      </w:r>
      <w:r w:rsidR="007F043C" w:rsidRPr="00CB5F81">
        <w:rPr>
          <w:rFonts w:asciiTheme="majorHAnsi" w:eastAsiaTheme="minorEastAsia" w:hAnsiTheme="majorHAnsi" w:cstheme="majorHAnsi"/>
          <w:sz w:val="24"/>
          <w:szCs w:val="24"/>
          <w:lang w:eastAsia="ru-RU"/>
        </w:rPr>
        <w:t xml:space="preserve"> lei)</w:t>
      </w:r>
      <w:r>
        <w:rPr>
          <w:rFonts w:asciiTheme="majorHAnsi" w:eastAsiaTheme="minorEastAsia" w:hAnsiTheme="majorHAnsi" w:cstheme="majorHAnsi"/>
          <w:sz w:val="24"/>
          <w:szCs w:val="24"/>
          <w:lang w:eastAsia="ru-RU"/>
        </w:rPr>
        <w:t>,</w:t>
      </w:r>
      <w:r w:rsidR="007F043C" w:rsidRPr="00CB5F81">
        <w:rPr>
          <w:rFonts w:asciiTheme="majorHAnsi" w:eastAsiaTheme="minorEastAsia" w:hAnsiTheme="majorHAnsi" w:cstheme="majorHAnsi"/>
          <w:sz w:val="24"/>
          <w:szCs w:val="24"/>
          <w:lang w:eastAsia="ru-RU"/>
        </w:rPr>
        <w:t xml:space="preserve"> revine facilităților aferente TVA, aces</w:t>
      </w:r>
      <w:r w:rsidR="007F043C" w:rsidRPr="003B791A">
        <w:rPr>
          <w:rFonts w:asciiTheme="majorHAnsi" w:eastAsiaTheme="minorEastAsia" w:hAnsiTheme="majorHAnsi" w:cstheme="majorHAnsi"/>
          <w:sz w:val="24"/>
          <w:szCs w:val="24"/>
          <w:lang w:eastAsia="ru-RU"/>
        </w:rPr>
        <w:t>te</w:t>
      </w:r>
      <w:r w:rsidR="00CE1F7F" w:rsidRPr="003B791A">
        <w:rPr>
          <w:rFonts w:asciiTheme="majorHAnsi" w:eastAsiaTheme="minorEastAsia" w:hAnsiTheme="majorHAnsi" w:cstheme="majorHAnsi"/>
          <w:sz w:val="24"/>
          <w:szCs w:val="24"/>
          <w:lang w:eastAsia="ru-RU"/>
        </w:rPr>
        <w:t>a</w:t>
      </w:r>
      <w:r w:rsidR="007F043C" w:rsidRPr="00CB5F81">
        <w:rPr>
          <w:rFonts w:asciiTheme="majorHAnsi" w:eastAsiaTheme="minorEastAsia" w:hAnsiTheme="majorHAnsi" w:cstheme="majorHAnsi"/>
          <w:sz w:val="24"/>
          <w:szCs w:val="24"/>
          <w:lang w:eastAsia="ru-RU"/>
        </w:rPr>
        <w:t xml:space="preserve"> fiind urmate de scutirile la impozitul pe venit-27%, înlesniril</w:t>
      </w:r>
      <w:r>
        <w:rPr>
          <w:rFonts w:asciiTheme="majorHAnsi" w:eastAsiaTheme="minorEastAsia" w:hAnsiTheme="majorHAnsi" w:cstheme="majorHAnsi"/>
          <w:sz w:val="24"/>
          <w:szCs w:val="24"/>
          <w:lang w:eastAsia="ru-RU"/>
        </w:rPr>
        <w:t>e</w:t>
      </w:r>
      <w:r w:rsidR="007F043C" w:rsidRPr="00CB5F81">
        <w:rPr>
          <w:rFonts w:asciiTheme="majorHAnsi" w:eastAsiaTheme="minorEastAsia" w:hAnsiTheme="majorHAnsi" w:cstheme="majorHAnsi"/>
          <w:sz w:val="24"/>
          <w:szCs w:val="24"/>
          <w:lang w:eastAsia="ru-RU"/>
        </w:rPr>
        <w:t xml:space="preserve"> la impozitul pe bunurile imobiliare și </w:t>
      </w:r>
      <w:r>
        <w:rPr>
          <w:rFonts w:asciiTheme="majorHAnsi" w:eastAsiaTheme="minorEastAsia" w:hAnsiTheme="majorHAnsi" w:cstheme="majorHAnsi"/>
          <w:sz w:val="24"/>
          <w:szCs w:val="24"/>
          <w:lang w:eastAsia="ru-RU"/>
        </w:rPr>
        <w:t xml:space="preserve">la </w:t>
      </w:r>
      <w:r w:rsidR="007F043C" w:rsidRPr="00CB5F81">
        <w:rPr>
          <w:rFonts w:asciiTheme="majorHAnsi" w:eastAsiaTheme="minorEastAsia" w:hAnsiTheme="majorHAnsi" w:cstheme="majorHAnsi"/>
          <w:sz w:val="24"/>
          <w:szCs w:val="24"/>
          <w:lang w:eastAsia="ru-RU"/>
        </w:rPr>
        <w:t>impozitul funciar- 1</w:t>
      </w:r>
      <w:r w:rsidR="00A8712F" w:rsidRPr="00CB5F81">
        <w:rPr>
          <w:rFonts w:asciiTheme="majorHAnsi" w:eastAsiaTheme="minorEastAsia" w:hAnsiTheme="majorHAnsi" w:cstheme="majorHAnsi"/>
          <w:sz w:val="24"/>
          <w:szCs w:val="24"/>
          <w:lang w:eastAsia="ru-RU"/>
        </w:rPr>
        <w:t>5,5</w:t>
      </w:r>
      <w:r w:rsidR="007F043C" w:rsidRPr="00CB5F81">
        <w:rPr>
          <w:rFonts w:asciiTheme="majorHAnsi" w:eastAsiaTheme="minorEastAsia" w:hAnsiTheme="majorHAnsi" w:cstheme="majorHAnsi"/>
          <w:sz w:val="24"/>
          <w:szCs w:val="24"/>
          <w:lang w:eastAsia="ru-RU"/>
        </w:rPr>
        <w:t>%.</w:t>
      </w:r>
      <w:r w:rsidR="00382605" w:rsidRPr="00CB5F81">
        <w:rPr>
          <w:rFonts w:asciiTheme="majorHAnsi" w:eastAsiaTheme="minorEastAsia" w:hAnsiTheme="majorHAnsi" w:cstheme="majorHAnsi"/>
          <w:sz w:val="24"/>
          <w:szCs w:val="24"/>
          <w:lang w:eastAsia="ru-RU"/>
        </w:rPr>
        <w:t xml:space="preserve"> </w:t>
      </w:r>
    </w:p>
    <w:p w:rsidR="00634C50" w:rsidRPr="00CB5F81" w:rsidRDefault="00382605" w:rsidP="00372637">
      <w:pPr>
        <w:tabs>
          <w:tab w:val="left" w:pos="270"/>
        </w:tabs>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t xml:space="preserve">Verificările </w:t>
      </w:r>
      <w:r w:rsidR="00260D3D">
        <w:rPr>
          <w:rFonts w:asciiTheme="majorHAnsi" w:eastAsiaTheme="minorEastAsia" w:hAnsiTheme="majorHAnsi" w:cstheme="majorHAnsi"/>
          <w:sz w:val="24"/>
          <w:szCs w:val="24"/>
          <w:lang w:eastAsia="ru-RU"/>
        </w:rPr>
        <w:t xml:space="preserve">efectuate </w:t>
      </w:r>
      <w:r w:rsidRPr="00CB5F81">
        <w:rPr>
          <w:rFonts w:asciiTheme="majorHAnsi" w:eastAsiaTheme="minorEastAsia" w:hAnsiTheme="majorHAnsi" w:cstheme="majorHAnsi"/>
          <w:sz w:val="24"/>
          <w:szCs w:val="24"/>
          <w:lang w:eastAsia="ru-RU"/>
        </w:rPr>
        <w:t xml:space="preserve">de audit </w:t>
      </w:r>
      <w:r w:rsidR="00260D3D">
        <w:rPr>
          <w:rFonts w:asciiTheme="majorHAnsi" w:eastAsiaTheme="minorEastAsia" w:hAnsiTheme="majorHAnsi" w:cstheme="majorHAnsi"/>
          <w:sz w:val="24"/>
          <w:szCs w:val="24"/>
          <w:lang w:eastAsia="ru-RU"/>
        </w:rPr>
        <w:t>relev</w:t>
      </w:r>
      <w:r w:rsidRPr="00CB5F81">
        <w:rPr>
          <w:rFonts w:asciiTheme="majorHAnsi" w:eastAsiaTheme="minorEastAsia" w:hAnsiTheme="majorHAnsi" w:cstheme="majorHAnsi"/>
          <w:sz w:val="24"/>
          <w:szCs w:val="24"/>
          <w:lang w:eastAsia="ru-RU"/>
        </w:rPr>
        <w:t xml:space="preserve">ă </w:t>
      </w:r>
      <w:r w:rsidR="00634C50" w:rsidRPr="00CB5F81">
        <w:rPr>
          <w:rFonts w:asciiTheme="majorHAnsi" w:eastAsiaTheme="minorEastAsia" w:hAnsiTheme="majorHAnsi" w:cstheme="majorHAnsi"/>
          <w:sz w:val="24"/>
          <w:szCs w:val="24"/>
          <w:lang w:eastAsia="ru-RU"/>
        </w:rPr>
        <w:t xml:space="preserve">că disfuncționalitățile identificate în </w:t>
      </w:r>
      <w:r w:rsidR="00634C50" w:rsidRPr="00CB5F81">
        <w:rPr>
          <w:rFonts w:asciiTheme="majorHAnsi" w:eastAsiaTheme="minorEastAsia" w:hAnsiTheme="majorHAnsi" w:cstheme="majorHAnsi"/>
          <w:i/>
          <w:sz w:val="24"/>
          <w:szCs w:val="24"/>
          <w:lang w:eastAsia="ru-RU"/>
        </w:rPr>
        <w:t>procesul de</w:t>
      </w:r>
      <w:r w:rsidR="00EC1EAF">
        <w:rPr>
          <w:rFonts w:asciiTheme="majorHAnsi" w:eastAsiaTheme="minorEastAsia" w:hAnsiTheme="majorHAnsi" w:cstheme="majorHAnsi"/>
          <w:i/>
          <w:sz w:val="24"/>
          <w:szCs w:val="24"/>
          <w:lang w:eastAsia="ru-RU"/>
        </w:rPr>
        <w:t xml:space="preserve"> </w:t>
      </w:r>
      <w:r w:rsidR="00634C50" w:rsidRPr="00CB5F81">
        <w:rPr>
          <w:rFonts w:asciiTheme="majorHAnsi" w:eastAsiaTheme="minorEastAsia" w:hAnsiTheme="majorHAnsi" w:cstheme="majorHAnsi"/>
          <w:i/>
          <w:sz w:val="24"/>
          <w:szCs w:val="24"/>
          <w:lang w:eastAsia="ru-RU"/>
        </w:rPr>
        <w:t xml:space="preserve">generalizare și prezentare </w:t>
      </w:r>
      <w:r w:rsidR="00002CB4">
        <w:rPr>
          <w:rFonts w:asciiTheme="majorHAnsi" w:eastAsiaTheme="minorEastAsia" w:hAnsiTheme="majorHAnsi" w:cstheme="majorHAnsi"/>
          <w:i/>
          <w:sz w:val="24"/>
          <w:szCs w:val="24"/>
          <w:lang w:eastAsia="ru-RU"/>
        </w:rPr>
        <w:t>a informației privind scutirile</w:t>
      </w:r>
      <w:r w:rsidR="00634C50" w:rsidRPr="00CB5F81">
        <w:rPr>
          <w:rFonts w:asciiTheme="majorHAnsi" w:eastAsiaTheme="minorEastAsia" w:hAnsiTheme="majorHAnsi" w:cstheme="majorHAnsi"/>
          <w:i/>
          <w:sz w:val="24"/>
          <w:szCs w:val="24"/>
          <w:lang w:eastAsia="ru-RU"/>
        </w:rPr>
        <w:t xml:space="preserve">/facilitățile aferente impozitelor, taxelor și plăților administrate de SFS </w:t>
      </w:r>
      <w:r w:rsidR="00634C50" w:rsidRPr="00CB5F81">
        <w:rPr>
          <w:rFonts w:asciiTheme="majorHAnsi" w:eastAsiaTheme="minorEastAsia" w:hAnsiTheme="majorHAnsi" w:cstheme="majorHAnsi"/>
          <w:sz w:val="24"/>
          <w:szCs w:val="24"/>
          <w:lang w:eastAsia="ru-RU"/>
        </w:rPr>
        <w:t xml:space="preserve">au generat raportarea unor date eronate referitor la costurile facilităților administrate de organul fiscal. </w:t>
      </w:r>
      <w:r w:rsidR="00277724" w:rsidRPr="00CB5F81">
        <w:rPr>
          <w:rFonts w:asciiTheme="majorHAnsi" w:eastAsiaTheme="minorEastAsia" w:hAnsiTheme="majorHAnsi" w:cstheme="majorHAnsi"/>
          <w:sz w:val="24"/>
          <w:szCs w:val="24"/>
          <w:lang w:eastAsia="ru-RU"/>
        </w:rPr>
        <w:t>Datele agregate privind valoarea facilităților fiscale administrate de SFS în anul 2020</w:t>
      </w:r>
      <w:r w:rsidR="00260D3D">
        <w:rPr>
          <w:rFonts w:asciiTheme="majorHAnsi" w:eastAsiaTheme="minorEastAsia" w:hAnsiTheme="majorHAnsi" w:cstheme="majorHAnsi"/>
          <w:sz w:val="24"/>
          <w:szCs w:val="24"/>
          <w:lang w:eastAsia="ru-RU"/>
        </w:rPr>
        <w:t>,</w:t>
      </w:r>
      <w:r w:rsidR="00277724" w:rsidRPr="00CB5F81">
        <w:rPr>
          <w:rFonts w:asciiTheme="majorHAnsi" w:eastAsiaTheme="minorEastAsia" w:hAnsiTheme="majorHAnsi" w:cstheme="majorHAnsi"/>
          <w:sz w:val="24"/>
          <w:szCs w:val="24"/>
          <w:lang w:eastAsia="ru-RU"/>
        </w:rPr>
        <w:t xml:space="preserve"> precum și valoarea erorilor identificate de către echipa de audit se prezintă în Anexa nr. </w:t>
      </w:r>
      <w:r w:rsidR="00345F26" w:rsidRPr="003B791A">
        <w:rPr>
          <w:rFonts w:asciiTheme="majorHAnsi" w:eastAsiaTheme="minorEastAsia" w:hAnsiTheme="majorHAnsi" w:cstheme="majorHAnsi"/>
          <w:sz w:val="24"/>
          <w:szCs w:val="24"/>
          <w:lang w:eastAsia="ru-RU"/>
        </w:rPr>
        <w:t>3</w:t>
      </w:r>
      <w:r w:rsidR="00CE1F7F" w:rsidRPr="003B791A">
        <w:rPr>
          <w:rFonts w:asciiTheme="majorHAnsi" w:eastAsiaTheme="minorEastAsia" w:hAnsiTheme="majorHAnsi" w:cstheme="majorHAnsi"/>
          <w:sz w:val="24"/>
          <w:szCs w:val="24"/>
          <w:lang w:eastAsia="ru-RU"/>
        </w:rPr>
        <w:t xml:space="preserve"> la prezentul Raport de </w:t>
      </w:r>
      <w:r w:rsidR="00260D3D">
        <w:rPr>
          <w:rFonts w:asciiTheme="majorHAnsi" w:eastAsiaTheme="minorEastAsia" w:hAnsiTheme="majorHAnsi" w:cstheme="majorHAnsi"/>
          <w:sz w:val="24"/>
          <w:szCs w:val="24"/>
          <w:lang w:eastAsia="ru-RU"/>
        </w:rPr>
        <w:t>a</w:t>
      </w:r>
      <w:r w:rsidR="00CE1F7F" w:rsidRPr="003B791A">
        <w:rPr>
          <w:rFonts w:asciiTheme="majorHAnsi" w:eastAsiaTheme="minorEastAsia" w:hAnsiTheme="majorHAnsi" w:cstheme="majorHAnsi"/>
          <w:sz w:val="24"/>
          <w:szCs w:val="24"/>
          <w:lang w:eastAsia="ru-RU"/>
        </w:rPr>
        <w:t>udit</w:t>
      </w:r>
      <w:r w:rsidR="00277724" w:rsidRPr="003B791A">
        <w:rPr>
          <w:rFonts w:asciiTheme="majorHAnsi" w:eastAsiaTheme="minorEastAsia" w:hAnsiTheme="majorHAnsi" w:cstheme="majorHAnsi"/>
          <w:sz w:val="24"/>
          <w:szCs w:val="24"/>
          <w:lang w:eastAsia="ru-RU"/>
        </w:rPr>
        <w:t>.</w:t>
      </w:r>
      <w:r w:rsidR="00277724" w:rsidRPr="00CB5F81">
        <w:rPr>
          <w:rFonts w:asciiTheme="majorHAnsi" w:eastAsiaTheme="minorEastAsia" w:hAnsiTheme="majorHAnsi" w:cstheme="majorHAnsi"/>
          <w:sz w:val="24"/>
          <w:szCs w:val="24"/>
          <w:lang w:eastAsia="ru-RU"/>
        </w:rPr>
        <w:t xml:space="preserve"> </w:t>
      </w:r>
      <w:r w:rsidR="00634C50" w:rsidRPr="00CB5F81">
        <w:rPr>
          <w:rFonts w:asciiTheme="majorHAnsi" w:eastAsiaTheme="minorEastAsia" w:hAnsiTheme="majorHAnsi" w:cstheme="majorHAnsi"/>
          <w:sz w:val="24"/>
          <w:szCs w:val="24"/>
          <w:lang w:eastAsia="ru-RU"/>
        </w:rPr>
        <w:t xml:space="preserve">Cele menționate au fost condiționate </w:t>
      </w:r>
      <w:r w:rsidR="00A46B2D" w:rsidRPr="00CB5F81">
        <w:rPr>
          <w:rFonts w:asciiTheme="majorHAnsi" w:eastAsiaTheme="minorEastAsia" w:hAnsiTheme="majorHAnsi" w:cstheme="majorHAnsi"/>
          <w:sz w:val="24"/>
          <w:szCs w:val="24"/>
          <w:lang w:eastAsia="ru-RU"/>
        </w:rPr>
        <w:t xml:space="preserve">atât </w:t>
      </w:r>
      <w:r w:rsidR="00634C50" w:rsidRPr="00CB5F81">
        <w:rPr>
          <w:rFonts w:asciiTheme="majorHAnsi" w:eastAsiaTheme="minorEastAsia" w:hAnsiTheme="majorHAnsi" w:cstheme="majorHAnsi"/>
          <w:sz w:val="24"/>
          <w:szCs w:val="24"/>
          <w:lang w:eastAsia="ru-RU"/>
        </w:rPr>
        <w:t xml:space="preserve">de lipsa </w:t>
      </w:r>
      <w:r w:rsidRPr="00CB5F81">
        <w:rPr>
          <w:rFonts w:asciiTheme="majorHAnsi" w:eastAsiaTheme="minorEastAsia" w:hAnsiTheme="majorHAnsi" w:cstheme="majorHAnsi"/>
          <w:sz w:val="24"/>
          <w:szCs w:val="24"/>
          <w:lang w:eastAsia="ru-RU"/>
        </w:rPr>
        <w:t>unor reglementări</w:t>
      </w:r>
      <w:r w:rsidR="00E462A3" w:rsidRPr="00CB5F81">
        <w:rPr>
          <w:rFonts w:asciiTheme="majorHAnsi" w:eastAsiaTheme="minorEastAsia" w:hAnsiTheme="majorHAnsi" w:cstheme="majorHAnsi"/>
          <w:sz w:val="24"/>
          <w:szCs w:val="24"/>
          <w:lang w:eastAsia="ru-RU"/>
        </w:rPr>
        <w:t xml:space="preserve">/ metodologii </w:t>
      </w:r>
      <w:r w:rsidR="00260D3D">
        <w:rPr>
          <w:rFonts w:asciiTheme="majorHAnsi" w:eastAsiaTheme="minorEastAsia" w:hAnsiTheme="majorHAnsi" w:cstheme="majorHAnsi"/>
          <w:sz w:val="24"/>
          <w:szCs w:val="24"/>
          <w:lang w:eastAsia="ru-RU"/>
        </w:rPr>
        <w:t>privind</w:t>
      </w:r>
      <w:r w:rsidRPr="00CB5F81">
        <w:rPr>
          <w:rFonts w:asciiTheme="majorHAnsi" w:eastAsiaTheme="minorEastAsia" w:hAnsiTheme="majorHAnsi" w:cstheme="majorHAnsi"/>
          <w:sz w:val="24"/>
          <w:szCs w:val="24"/>
          <w:lang w:eastAsia="ru-RU"/>
        </w:rPr>
        <w:t xml:space="preserve"> </w:t>
      </w:r>
      <w:r w:rsidR="00B21E63" w:rsidRPr="00CB5F81">
        <w:rPr>
          <w:rFonts w:asciiTheme="majorHAnsi" w:eastAsiaTheme="minorEastAsia" w:hAnsiTheme="majorHAnsi" w:cstheme="majorHAnsi"/>
          <w:sz w:val="24"/>
          <w:szCs w:val="24"/>
          <w:lang w:eastAsia="ru-RU"/>
        </w:rPr>
        <w:t>evalu</w:t>
      </w:r>
      <w:r w:rsidR="00260D3D">
        <w:rPr>
          <w:rFonts w:asciiTheme="majorHAnsi" w:eastAsiaTheme="minorEastAsia" w:hAnsiTheme="majorHAnsi" w:cstheme="majorHAnsi"/>
          <w:sz w:val="24"/>
          <w:szCs w:val="24"/>
          <w:lang w:eastAsia="ru-RU"/>
        </w:rPr>
        <w:t>area</w:t>
      </w:r>
      <w:r w:rsidRPr="00CB5F81">
        <w:rPr>
          <w:rFonts w:asciiTheme="majorHAnsi" w:eastAsiaTheme="minorEastAsia" w:hAnsiTheme="majorHAnsi" w:cstheme="majorHAnsi"/>
          <w:sz w:val="24"/>
          <w:szCs w:val="24"/>
          <w:lang w:eastAsia="ru-RU"/>
        </w:rPr>
        <w:t xml:space="preserve"> costurilor bugetare a</w:t>
      </w:r>
      <w:r w:rsidR="00260D3D">
        <w:rPr>
          <w:rFonts w:asciiTheme="majorHAnsi" w:eastAsiaTheme="minorEastAsia" w:hAnsiTheme="majorHAnsi" w:cstheme="majorHAnsi"/>
          <w:sz w:val="24"/>
          <w:szCs w:val="24"/>
          <w:lang w:eastAsia="ru-RU"/>
        </w:rPr>
        <w:t>le</w:t>
      </w:r>
      <w:r w:rsidRPr="00CB5F81">
        <w:rPr>
          <w:rFonts w:asciiTheme="majorHAnsi" w:eastAsiaTheme="minorEastAsia" w:hAnsiTheme="majorHAnsi" w:cstheme="majorHAnsi"/>
          <w:sz w:val="24"/>
          <w:szCs w:val="24"/>
          <w:lang w:eastAsia="ru-RU"/>
        </w:rPr>
        <w:t xml:space="preserve"> facilităților</w:t>
      </w:r>
      <w:r w:rsidR="00E462A3" w:rsidRPr="00CB5F81">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w:t>
      </w:r>
      <w:r w:rsidR="00A46B2D" w:rsidRPr="00CB5F81">
        <w:rPr>
          <w:rFonts w:asciiTheme="majorHAnsi" w:eastAsiaTheme="minorEastAsia" w:hAnsiTheme="majorHAnsi" w:cstheme="majorHAnsi"/>
          <w:sz w:val="24"/>
          <w:szCs w:val="24"/>
          <w:lang w:eastAsia="ru-RU"/>
        </w:rPr>
        <w:t xml:space="preserve">cât și de </w:t>
      </w:r>
      <w:r w:rsidR="00634C50" w:rsidRPr="00CB5F81">
        <w:rPr>
          <w:rFonts w:asciiTheme="majorHAnsi" w:eastAsiaTheme="minorEastAsia" w:hAnsiTheme="majorHAnsi" w:cstheme="majorHAnsi"/>
          <w:sz w:val="24"/>
          <w:szCs w:val="24"/>
          <w:lang w:eastAsia="ru-RU"/>
        </w:rPr>
        <w:t xml:space="preserve">neacordarea atenției cuvenite de către </w:t>
      </w:r>
      <w:r w:rsidR="00A46B2D" w:rsidRPr="00CB5F81">
        <w:rPr>
          <w:rFonts w:asciiTheme="majorHAnsi" w:eastAsiaTheme="minorEastAsia" w:hAnsiTheme="majorHAnsi" w:cstheme="majorHAnsi"/>
          <w:sz w:val="24"/>
          <w:szCs w:val="24"/>
          <w:lang w:eastAsia="ru-RU"/>
        </w:rPr>
        <w:t xml:space="preserve">responsabilii </w:t>
      </w:r>
      <w:r w:rsidR="00634C50" w:rsidRPr="00CB5F81">
        <w:rPr>
          <w:rFonts w:asciiTheme="majorHAnsi" w:eastAsiaTheme="minorEastAsia" w:hAnsiTheme="majorHAnsi" w:cstheme="majorHAnsi"/>
          <w:sz w:val="24"/>
          <w:szCs w:val="24"/>
          <w:lang w:eastAsia="ru-RU"/>
        </w:rPr>
        <w:t xml:space="preserve">cărora </w:t>
      </w:r>
      <w:r w:rsidR="00A46B2D" w:rsidRPr="00CB5F81">
        <w:rPr>
          <w:rFonts w:asciiTheme="majorHAnsi" w:eastAsiaTheme="minorEastAsia" w:hAnsiTheme="majorHAnsi" w:cstheme="majorHAnsi"/>
          <w:sz w:val="24"/>
          <w:szCs w:val="24"/>
          <w:lang w:eastAsia="ru-RU"/>
        </w:rPr>
        <w:t>le-au fost delegate atribuții pe segmentul respectiv de activitate.</w:t>
      </w:r>
      <w:r w:rsidR="00277724" w:rsidRPr="00CB5F81">
        <w:rPr>
          <w:rFonts w:asciiTheme="majorHAnsi" w:eastAsiaTheme="minorEastAsia" w:hAnsiTheme="majorHAnsi" w:cstheme="majorHAnsi"/>
          <w:sz w:val="24"/>
          <w:szCs w:val="24"/>
          <w:lang w:eastAsia="ru-RU"/>
        </w:rPr>
        <w:t xml:space="preserve"> </w:t>
      </w:r>
      <w:r w:rsidR="00E87076">
        <w:rPr>
          <w:rFonts w:asciiTheme="majorHAnsi" w:eastAsiaTheme="minorEastAsia" w:hAnsiTheme="majorHAnsi" w:cstheme="majorHAnsi"/>
          <w:sz w:val="24"/>
          <w:szCs w:val="24"/>
          <w:lang w:eastAsia="ru-RU"/>
        </w:rPr>
        <w:t>Pe</w:t>
      </w:r>
      <w:r w:rsidR="00A46B2D" w:rsidRPr="00CB5F81">
        <w:rPr>
          <w:rFonts w:asciiTheme="majorHAnsi" w:eastAsiaTheme="minorEastAsia" w:hAnsiTheme="majorHAnsi" w:cstheme="majorHAnsi"/>
          <w:sz w:val="24"/>
          <w:szCs w:val="24"/>
          <w:lang w:eastAsia="ru-RU"/>
        </w:rPr>
        <w:t>ntru susținerea celor expuse</w:t>
      </w:r>
      <w:r w:rsidR="00E87076">
        <w:rPr>
          <w:rFonts w:asciiTheme="majorHAnsi" w:eastAsiaTheme="minorEastAsia" w:hAnsiTheme="majorHAnsi" w:cstheme="majorHAnsi"/>
          <w:sz w:val="24"/>
          <w:szCs w:val="24"/>
          <w:lang w:eastAsia="ru-RU"/>
        </w:rPr>
        <w:t>,</w:t>
      </w:r>
      <w:r w:rsidR="00A46B2D" w:rsidRPr="00CB5F81">
        <w:rPr>
          <w:rFonts w:asciiTheme="majorHAnsi" w:eastAsiaTheme="minorEastAsia" w:hAnsiTheme="majorHAnsi" w:cstheme="majorHAnsi"/>
          <w:sz w:val="24"/>
          <w:szCs w:val="24"/>
          <w:lang w:eastAsia="ru-RU"/>
        </w:rPr>
        <w:t xml:space="preserve"> se exemplifică următoarele observații de audit.</w:t>
      </w:r>
    </w:p>
    <w:p w:rsidR="00344BF7" w:rsidRPr="00040BCB" w:rsidRDefault="00CD786A" w:rsidP="00040BCB">
      <w:pPr>
        <w:pStyle w:val="ListParagraph"/>
        <w:numPr>
          <w:ilvl w:val="0"/>
          <w:numId w:val="5"/>
        </w:numPr>
        <w:tabs>
          <w:tab w:val="left" w:pos="270"/>
          <w:tab w:val="left" w:pos="540"/>
        </w:tabs>
        <w:spacing w:after="120"/>
        <w:ind w:left="274" w:firstLine="0"/>
        <w:jc w:val="both"/>
        <w:rPr>
          <w:rFonts w:asciiTheme="majorHAnsi" w:eastAsiaTheme="minorEastAsia" w:hAnsiTheme="majorHAnsi" w:cstheme="majorHAnsi"/>
          <w:i/>
          <w:sz w:val="24"/>
          <w:szCs w:val="24"/>
          <w:lang w:val="ro-MD" w:eastAsia="ru-RU"/>
        </w:rPr>
      </w:pPr>
      <w:r w:rsidRPr="00040BCB">
        <w:rPr>
          <w:rFonts w:asciiTheme="minorHAnsi" w:eastAsiaTheme="minorEastAsia" w:hAnsiTheme="minorHAnsi" w:cstheme="minorHAnsi"/>
          <w:i/>
          <w:color w:val="2F5496" w:themeColor="accent5" w:themeShade="BF"/>
          <w:sz w:val="24"/>
          <w:szCs w:val="24"/>
          <w:lang w:val="ro-MD" w:eastAsia="ru-RU"/>
        </w:rPr>
        <w:t xml:space="preserve"> Estimarea costului </w:t>
      </w:r>
      <w:r w:rsidR="00344BF7" w:rsidRPr="00040BCB">
        <w:rPr>
          <w:rFonts w:asciiTheme="minorHAnsi" w:eastAsiaTheme="minorEastAsia" w:hAnsiTheme="minorHAnsi" w:cstheme="minorHAnsi"/>
          <w:i/>
          <w:color w:val="2F5496" w:themeColor="accent5" w:themeShade="BF"/>
          <w:sz w:val="24"/>
          <w:szCs w:val="24"/>
          <w:lang w:val="ro-MD" w:eastAsia="ru-RU"/>
        </w:rPr>
        <w:t>facilității fiscale aferente</w:t>
      </w:r>
      <w:r w:rsidR="00EC1EAF" w:rsidRPr="00040BCB">
        <w:rPr>
          <w:rFonts w:asciiTheme="minorHAnsi" w:eastAsiaTheme="minorEastAsia" w:hAnsiTheme="minorHAnsi" w:cstheme="minorHAnsi"/>
          <w:i/>
          <w:color w:val="2F5496" w:themeColor="accent5" w:themeShade="BF"/>
          <w:sz w:val="24"/>
          <w:szCs w:val="24"/>
          <w:lang w:val="ro-MD" w:eastAsia="ru-RU"/>
        </w:rPr>
        <w:t xml:space="preserve"> </w:t>
      </w:r>
      <w:r w:rsidR="001F689A" w:rsidRPr="00040BCB">
        <w:rPr>
          <w:rFonts w:asciiTheme="minorHAnsi" w:eastAsiaTheme="minorEastAsia" w:hAnsiTheme="minorHAnsi" w:cstheme="minorHAnsi"/>
          <w:i/>
          <w:color w:val="2F5496" w:themeColor="accent5" w:themeShade="BF"/>
          <w:sz w:val="24"/>
          <w:szCs w:val="24"/>
          <w:lang w:val="ro-MD" w:eastAsia="ru-RU"/>
        </w:rPr>
        <w:t xml:space="preserve">unor </w:t>
      </w:r>
      <w:r w:rsidR="00344BF7" w:rsidRPr="00040BCB">
        <w:rPr>
          <w:rFonts w:asciiTheme="minorHAnsi" w:eastAsiaTheme="minorEastAsia" w:hAnsiTheme="minorHAnsi" w:cstheme="minorHAnsi"/>
          <w:i/>
          <w:color w:val="2F5496" w:themeColor="accent5" w:themeShade="BF"/>
          <w:sz w:val="24"/>
          <w:szCs w:val="24"/>
          <w:lang w:val="ro-MD" w:eastAsia="ru-RU"/>
        </w:rPr>
        <w:t xml:space="preserve">scutiri de </w:t>
      </w:r>
      <w:r w:rsidR="001F689A" w:rsidRPr="00040BCB">
        <w:rPr>
          <w:rFonts w:asciiTheme="minorHAnsi" w:eastAsiaTheme="minorEastAsia" w:hAnsiTheme="minorHAnsi" w:cstheme="minorHAnsi"/>
          <w:i/>
          <w:color w:val="2F5496" w:themeColor="accent5" w:themeShade="BF"/>
          <w:sz w:val="24"/>
          <w:szCs w:val="24"/>
          <w:lang w:val="ro-MD" w:eastAsia="ru-RU"/>
        </w:rPr>
        <w:t>TVA s-a efectuat în lipsa unei</w:t>
      </w:r>
      <w:r w:rsidR="00EC1EAF" w:rsidRPr="00040BCB">
        <w:rPr>
          <w:rFonts w:asciiTheme="minorHAnsi" w:eastAsiaTheme="minorEastAsia" w:hAnsiTheme="minorHAnsi" w:cstheme="minorHAnsi"/>
          <w:i/>
          <w:color w:val="2F5496" w:themeColor="accent5" w:themeShade="BF"/>
          <w:sz w:val="24"/>
          <w:szCs w:val="24"/>
          <w:lang w:val="ro-MD" w:eastAsia="ru-RU"/>
        </w:rPr>
        <w:t xml:space="preserve"> </w:t>
      </w:r>
      <w:r w:rsidR="001F689A" w:rsidRPr="00040BCB">
        <w:rPr>
          <w:rFonts w:asciiTheme="minorHAnsi" w:eastAsiaTheme="minorEastAsia" w:hAnsiTheme="minorHAnsi" w:cstheme="minorHAnsi"/>
          <w:i/>
          <w:color w:val="2F5496" w:themeColor="accent5" w:themeShade="BF"/>
          <w:sz w:val="24"/>
          <w:szCs w:val="24"/>
          <w:lang w:val="ro-MD" w:eastAsia="ru-RU"/>
        </w:rPr>
        <w:t>metodologii</w:t>
      </w:r>
      <w:r w:rsidRPr="00040BCB">
        <w:rPr>
          <w:rFonts w:asciiTheme="minorHAnsi" w:eastAsiaTheme="minorEastAsia" w:hAnsiTheme="minorHAnsi" w:cstheme="minorHAnsi"/>
          <w:i/>
          <w:color w:val="2F5496" w:themeColor="accent5" w:themeShade="BF"/>
          <w:sz w:val="24"/>
          <w:szCs w:val="24"/>
          <w:lang w:val="ro-MD" w:eastAsia="ru-RU"/>
        </w:rPr>
        <w:t xml:space="preserve"> de </w:t>
      </w:r>
      <w:r w:rsidR="001F689A" w:rsidRPr="00040BCB">
        <w:rPr>
          <w:rFonts w:asciiTheme="minorHAnsi" w:eastAsiaTheme="minorEastAsia" w:hAnsiTheme="minorHAnsi" w:cstheme="minorHAnsi"/>
          <w:i/>
          <w:color w:val="2F5496" w:themeColor="accent5" w:themeShade="BF"/>
          <w:sz w:val="24"/>
          <w:szCs w:val="24"/>
          <w:lang w:val="ro-MD" w:eastAsia="ru-RU"/>
        </w:rPr>
        <w:t>calcul, iar valoarea înlesnirii nu are o argumentare justificată</w:t>
      </w:r>
      <w:r w:rsidR="00EC1EAF" w:rsidRPr="00040BCB">
        <w:rPr>
          <w:rFonts w:asciiTheme="minorHAnsi" w:eastAsiaTheme="minorEastAsia" w:hAnsiTheme="minorHAnsi" w:cstheme="minorHAnsi"/>
          <w:i/>
          <w:color w:val="2F5496" w:themeColor="accent5" w:themeShade="BF"/>
          <w:sz w:val="24"/>
          <w:szCs w:val="24"/>
          <w:lang w:val="ro-MD" w:eastAsia="ru-RU"/>
        </w:rPr>
        <w:t xml:space="preserve"> </w:t>
      </w:r>
      <w:r w:rsidR="00B247E6" w:rsidRPr="00040BCB">
        <w:rPr>
          <w:rFonts w:asciiTheme="minorHAnsi" w:eastAsiaTheme="minorEastAsia" w:hAnsiTheme="minorHAnsi" w:cstheme="minorHAnsi"/>
          <w:i/>
          <w:color w:val="2F5496" w:themeColor="accent5" w:themeShade="BF"/>
          <w:sz w:val="24"/>
          <w:szCs w:val="24"/>
          <w:lang w:val="ro-MD" w:eastAsia="ru-RU"/>
        </w:rPr>
        <w:t>(</w:t>
      </w:r>
      <w:r w:rsidR="007B4D96" w:rsidRPr="00040BCB">
        <w:rPr>
          <w:rFonts w:asciiTheme="minorHAnsi" w:eastAsiaTheme="minorEastAsia" w:hAnsiTheme="minorHAnsi" w:cstheme="minorHAnsi"/>
          <w:i/>
          <w:color w:val="2F5496" w:themeColor="accent5" w:themeShade="BF"/>
          <w:sz w:val="24"/>
          <w:szCs w:val="24"/>
          <w:lang w:val="ro-MD" w:eastAsia="ru-RU"/>
        </w:rPr>
        <w:t>C</w:t>
      </w:r>
      <w:r w:rsidR="008068E9" w:rsidRPr="00040BCB">
        <w:rPr>
          <w:rFonts w:asciiTheme="minorHAnsi" w:eastAsiaTheme="minorEastAsia" w:hAnsiTheme="minorHAnsi" w:cstheme="minorHAnsi"/>
          <w:i/>
          <w:color w:val="2F5496" w:themeColor="accent5" w:themeShade="BF"/>
          <w:sz w:val="24"/>
          <w:szCs w:val="24"/>
          <w:lang w:val="ro-MD" w:eastAsia="ru-RU"/>
        </w:rPr>
        <w:t>odu</w:t>
      </w:r>
      <w:r w:rsidR="007B4D96" w:rsidRPr="00040BCB">
        <w:rPr>
          <w:rFonts w:asciiTheme="minorHAnsi" w:eastAsiaTheme="minorEastAsia" w:hAnsiTheme="minorHAnsi" w:cstheme="minorHAnsi"/>
          <w:i/>
          <w:color w:val="2F5496" w:themeColor="accent5" w:themeShade="BF"/>
          <w:sz w:val="24"/>
          <w:szCs w:val="24"/>
          <w:lang w:val="ro-MD" w:eastAsia="ru-RU"/>
        </w:rPr>
        <w:t>rile</w:t>
      </w:r>
      <w:r w:rsidR="008068E9" w:rsidRPr="00040BCB">
        <w:rPr>
          <w:rFonts w:asciiTheme="minorHAnsi" w:eastAsiaTheme="minorEastAsia" w:hAnsiTheme="minorHAnsi" w:cstheme="minorHAnsi"/>
          <w:i/>
          <w:color w:val="2F5496" w:themeColor="accent5" w:themeShade="BF"/>
          <w:sz w:val="24"/>
          <w:szCs w:val="24"/>
          <w:lang w:val="ro-MD" w:eastAsia="ru-RU"/>
        </w:rPr>
        <w:t xml:space="preserve"> </w:t>
      </w:r>
      <w:r w:rsidR="00BF7A73" w:rsidRPr="00040BCB">
        <w:rPr>
          <w:rFonts w:asciiTheme="minorHAnsi" w:eastAsiaTheme="minorEastAsia" w:hAnsiTheme="minorHAnsi" w:cstheme="minorHAnsi"/>
          <w:i/>
          <w:color w:val="2F5496" w:themeColor="accent5" w:themeShade="BF"/>
          <w:sz w:val="24"/>
          <w:szCs w:val="24"/>
          <w:lang w:val="ro-MD" w:eastAsia="ru-RU"/>
        </w:rPr>
        <w:t>facilit</w:t>
      </w:r>
      <w:r w:rsidR="00E87076" w:rsidRPr="00040BCB">
        <w:rPr>
          <w:rFonts w:asciiTheme="minorHAnsi" w:eastAsiaTheme="minorEastAsia" w:hAnsiTheme="minorHAnsi" w:cstheme="minorHAnsi"/>
          <w:i/>
          <w:color w:val="2F5496" w:themeColor="accent5" w:themeShade="BF"/>
          <w:sz w:val="24"/>
          <w:szCs w:val="24"/>
          <w:lang w:val="ro-MD" w:eastAsia="ru-RU"/>
        </w:rPr>
        <w:t>ă</w:t>
      </w:r>
      <w:r w:rsidR="00BF7A73" w:rsidRPr="00040BCB">
        <w:rPr>
          <w:rFonts w:asciiTheme="minorHAnsi" w:eastAsiaTheme="minorEastAsia" w:hAnsiTheme="minorHAnsi" w:cstheme="minorHAnsi"/>
          <w:i/>
          <w:color w:val="2F5496" w:themeColor="accent5" w:themeShade="BF"/>
          <w:sz w:val="24"/>
          <w:szCs w:val="24"/>
          <w:lang w:val="ro-MD" w:eastAsia="ru-RU"/>
        </w:rPr>
        <w:t>ților:</w:t>
      </w:r>
      <w:r w:rsidR="008068E9" w:rsidRPr="00040BCB">
        <w:rPr>
          <w:rFonts w:asciiTheme="minorHAnsi" w:eastAsiaTheme="minorEastAsia" w:hAnsiTheme="minorHAnsi" w:cstheme="minorHAnsi"/>
          <w:i/>
          <w:color w:val="2F5496" w:themeColor="accent5" w:themeShade="BF"/>
          <w:sz w:val="24"/>
          <w:szCs w:val="24"/>
          <w:lang w:val="ro-MD" w:eastAsia="ru-RU"/>
        </w:rPr>
        <w:t xml:space="preserve"> CFTVA017</w:t>
      </w:r>
      <w:r w:rsidR="0059226A" w:rsidRPr="00040BCB">
        <w:rPr>
          <w:rFonts w:asciiTheme="minorHAnsi" w:eastAsiaTheme="minorEastAsia" w:hAnsiTheme="minorHAnsi" w:cstheme="minorHAnsi"/>
          <w:i/>
          <w:color w:val="2F5496" w:themeColor="accent5" w:themeShade="BF"/>
          <w:sz w:val="24"/>
          <w:szCs w:val="24"/>
          <w:lang w:val="ro-MD" w:eastAsia="ru-RU"/>
        </w:rPr>
        <w:t xml:space="preserve"> </w:t>
      </w:r>
      <w:r w:rsidR="008068E9" w:rsidRPr="00040BCB">
        <w:rPr>
          <w:rFonts w:asciiTheme="minorHAnsi" w:eastAsiaTheme="minorEastAsia" w:hAnsiTheme="minorHAnsi" w:cstheme="minorHAnsi"/>
          <w:i/>
          <w:color w:val="2F5496" w:themeColor="accent5" w:themeShade="BF"/>
          <w:sz w:val="24"/>
          <w:szCs w:val="24"/>
          <w:lang w:val="ro-MD" w:eastAsia="ru-RU"/>
        </w:rPr>
        <w:t>și</w:t>
      </w:r>
      <w:r w:rsidR="00BF7A73" w:rsidRPr="00040BCB">
        <w:rPr>
          <w:rFonts w:asciiTheme="minorHAnsi" w:eastAsiaTheme="minorEastAsia" w:hAnsiTheme="minorHAnsi" w:cstheme="minorHAnsi"/>
          <w:i/>
          <w:color w:val="2F5496" w:themeColor="accent5" w:themeShade="BF"/>
          <w:sz w:val="24"/>
          <w:szCs w:val="24"/>
          <w:lang w:val="ro-MD" w:eastAsia="ru-RU"/>
        </w:rPr>
        <w:t xml:space="preserve"> CTVA022)</w:t>
      </w:r>
      <w:r w:rsidR="008068E9" w:rsidRPr="00040BCB">
        <w:rPr>
          <w:rFonts w:asciiTheme="minorHAnsi" w:eastAsiaTheme="minorEastAsia" w:hAnsiTheme="minorHAnsi" w:cstheme="minorHAnsi"/>
          <w:i/>
          <w:color w:val="2F5496" w:themeColor="accent5" w:themeShade="BF"/>
          <w:sz w:val="24"/>
          <w:szCs w:val="24"/>
          <w:lang w:val="ro-MD" w:eastAsia="ru-RU"/>
        </w:rPr>
        <w:t xml:space="preserve"> </w:t>
      </w:r>
    </w:p>
    <w:p w:rsidR="00344BF7" w:rsidRPr="00CB5F81" w:rsidRDefault="006341F1" w:rsidP="006341F1">
      <w:pPr>
        <w:tabs>
          <w:tab w:val="left" w:pos="270"/>
        </w:tabs>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t>Potrivit art.103 alin</w:t>
      </w:r>
      <w:r w:rsidR="008068E9" w:rsidRPr="00CB5F81">
        <w:rPr>
          <w:rFonts w:asciiTheme="majorHAnsi" w:eastAsiaTheme="minorEastAsia" w:hAnsiTheme="majorHAnsi" w:cstheme="majorHAnsi"/>
          <w:sz w:val="24"/>
          <w:szCs w:val="24"/>
          <w:lang w:eastAsia="ru-RU"/>
        </w:rPr>
        <w:t>.</w:t>
      </w:r>
      <w:r w:rsidR="00B44F2F" w:rsidRPr="00CB5F81">
        <w:rPr>
          <w:rFonts w:asciiTheme="majorHAnsi" w:eastAsiaTheme="minorEastAsia" w:hAnsiTheme="majorHAnsi" w:cstheme="majorHAnsi"/>
          <w:sz w:val="24"/>
          <w:szCs w:val="24"/>
          <w:lang w:eastAsia="ru-RU"/>
        </w:rPr>
        <w:t>(1) pct.18</w:t>
      </w:r>
      <w:r w:rsidR="008A6A37" w:rsidRPr="00CB5F81">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w:t>
      </w:r>
      <w:r w:rsidRPr="003B791A">
        <w:rPr>
          <w:rFonts w:asciiTheme="majorHAnsi" w:eastAsiaTheme="minorEastAsia" w:hAnsiTheme="majorHAnsi" w:cstheme="majorHAnsi"/>
          <w:sz w:val="24"/>
          <w:szCs w:val="24"/>
          <w:lang w:eastAsia="ru-RU"/>
        </w:rPr>
        <w:t>din C</w:t>
      </w:r>
      <w:r w:rsidR="00030F9C" w:rsidRPr="003B791A">
        <w:rPr>
          <w:rFonts w:asciiTheme="majorHAnsi" w:eastAsiaTheme="minorEastAsia" w:hAnsiTheme="majorHAnsi" w:cstheme="majorHAnsi"/>
          <w:sz w:val="24"/>
          <w:szCs w:val="24"/>
          <w:lang w:eastAsia="ru-RU"/>
        </w:rPr>
        <w:t>odul fiscal</w:t>
      </w:r>
      <w:r w:rsidR="00E87076">
        <w:rPr>
          <w:rFonts w:asciiTheme="majorHAnsi" w:eastAsiaTheme="minorEastAsia" w:hAnsiTheme="majorHAnsi" w:cstheme="majorHAnsi"/>
          <w:sz w:val="24"/>
          <w:szCs w:val="24"/>
          <w:lang w:eastAsia="ru-RU"/>
        </w:rPr>
        <w:t>,</w:t>
      </w:r>
      <w:r w:rsidRPr="003B791A">
        <w:rPr>
          <w:rFonts w:asciiTheme="majorHAnsi" w:eastAsiaTheme="minorEastAsia" w:hAnsiTheme="majorHAnsi" w:cstheme="majorHAnsi"/>
          <w:sz w:val="24"/>
          <w:szCs w:val="24"/>
          <w:lang w:eastAsia="ru-RU"/>
        </w:rPr>
        <w:t xml:space="preserve"> „</w:t>
      </w:r>
      <w:r w:rsidRPr="003B791A">
        <w:rPr>
          <w:rFonts w:asciiTheme="majorHAnsi" w:eastAsiaTheme="minorEastAsia" w:hAnsiTheme="majorHAnsi" w:cstheme="majorHAnsi"/>
          <w:i/>
          <w:sz w:val="24"/>
          <w:szCs w:val="24"/>
          <w:lang w:eastAsia="ru-RU"/>
        </w:rPr>
        <w:t>se</w:t>
      </w:r>
      <w:r w:rsidRPr="00CB5F81">
        <w:rPr>
          <w:rFonts w:asciiTheme="majorHAnsi" w:eastAsiaTheme="minorEastAsia" w:hAnsiTheme="majorHAnsi" w:cstheme="majorHAnsi"/>
          <w:i/>
          <w:sz w:val="24"/>
          <w:szCs w:val="24"/>
          <w:lang w:eastAsia="ru-RU"/>
        </w:rPr>
        <w:t xml:space="preserve"> scutesc de TVA fără drept de deducere energia electrică importată și livrată către operatorul rețelei de transport și de sistem, operatorii rețelelor de distribuție și furnizorii energiei electrice sau importată de către operatorul rețelei de transport și de sistem, operatorii rețelelor de distribuție și furnizorii energiei electrice, cu excepția serviciilor de transport și distribuție a energiei electrice</w:t>
      </w:r>
      <w:r w:rsidRPr="00CB5F81">
        <w:rPr>
          <w:rFonts w:asciiTheme="majorHAnsi" w:eastAsiaTheme="minorEastAsia" w:hAnsiTheme="majorHAnsi" w:cstheme="majorHAnsi"/>
          <w:sz w:val="24"/>
          <w:szCs w:val="24"/>
          <w:lang w:eastAsia="ru-RU"/>
        </w:rPr>
        <w:t xml:space="preserve">”. </w:t>
      </w:r>
      <w:r w:rsidR="00344BF7" w:rsidRPr="00CB5F81">
        <w:rPr>
          <w:rFonts w:asciiTheme="majorHAnsi" w:eastAsiaTheme="minorEastAsia" w:hAnsiTheme="majorHAnsi" w:cstheme="majorHAnsi"/>
          <w:sz w:val="24"/>
          <w:szCs w:val="24"/>
          <w:lang w:eastAsia="ru-RU"/>
        </w:rPr>
        <w:t xml:space="preserve">Conform datelor calculate de SFS, suma totală a </w:t>
      </w:r>
      <w:r w:rsidR="00344BF7" w:rsidRPr="00CB5F81">
        <w:rPr>
          <w:rFonts w:asciiTheme="majorHAnsi" w:eastAsiaTheme="minorEastAsia" w:hAnsiTheme="majorHAnsi" w:cstheme="majorHAnsi"/>
          <w:sz w:val="24"/>
          <w:szCs w:val="24"/>
          <w:lang w:eastAsia="ru-RU"/>
        </w:rPr>
        <w:lastRenderedPageBreak/>
        <w:t>facilităților de care au beneficiat 10 contribuabili producători, distribuitori și furnizori de energie electrică</w:t>
      </w:r>
      <w:r w:rsidR="00EC1EAF">
        <w:rPr>
          <w:rFonts w:asciiTheme="majorHAnsi" w:eastAsiaTheme="minorEastAsia" w:hAnsiTheme="majorHAnsi" w:cstheme="majorHAnsi"/>
          <w:sz w:val="24"/>
          <w:szCs w:val="24"/>
          <w:lang w:eastAsia="ru-RU"/>
        </w:rPr>
        <w:t xml:space="preserve"> </w:t>
      </w:r>
      <w:r w:rsidR="00344BF7" w:rsidRPr="00CB5F81">
        <w:rPr>
          <w:rFonts w:asciiTheme="majorHAnsi" w:eastAsiaTheme="minorEastAsia" w:hAnsiTheme="majorHAnsi" w:cstheme="majorHAnsi"/>
          <w:sz w:val="24"/>
          <w:szCs w:val="24"/>
          <w:lang w:eastAsia="ru-RU"/>
        </w:rPr>
        <w:t>a</w:t>
      </w:r>
      <w:r w:rsidR="00EC1EAF">
        <w:rPr>
          <w:rFonts w:asciiTheme="majorHAnsi" w:eastAsiaTheme="minorEastAsia" w:hAnsiTheme="majorHAnsi" w:cstheme="majorHAnsi"/>
          <w:sz w:val="24"/>
          <w:szCs w:val="24"/>
          <w:lang w:eastAsia="ru-RU"/>
        </w:rPr>
        <w:t xml:space="preserve"> </w:t>
      </w:r>
      <w:r w:rsidR="00344BF7" w:rsidRPr="00CB5F81">
        <w:rPr>
          <w:rFonts w:asciiTheme="majorHAnsi" w:eastAsiaTheme="minorEastAsia" w:hAnsiTheme="majorHAnsi" w:cstheme="majorHAnsi"/>
          <w:sz w:val="24"/>
          <w:szCs w:val="24"/>
          <w:lang w:eastAsia="ru-RU"/>
        </w:rPr>
        <w:t>constituit 329,9 mil. lei.</w:t>
      </w:r>
    </w:p>
    <w:p w:rsidR="001135FE" w:rsidRDefault="00B7289E" w:rsidP="003619A7">
      <w:pPr>
        <w:tabs>
          <w:tab w:val="left" w:pos="270"/>
        </w:tabs>
        <w:spacing w:after="120"/>
        <w:jc w:val="both"/>
        <w:rPr>
          <w:rFonts w:asciiTheme="majorHAnsi" w:eastAsiaTheme="minorEastAsia" w:hAnsiTheme="majorHAnsi" w:cstheme="majorHAnsi"/>
          <w:sz w:val="24"/>
          <w:szCs w:val="24"/>
          <w:lang w:eastAsia="ru-RU"/>
        </w:rPr>
      </w:pPr>
      <w:r>
        <w:rPr>
          <w:rFonts w:asciiTheme="majorHAnsi" w:eastAsiaTheme="minorEastAsia" w:hAnsiTheme="majorHAnsi" w:cstheme="majorHAnsi"/>
          <w:sz w:val="24"/>
          <w:szCs w:val="24"/>
          <w:lang w:eastAsia="ru-RU"/>
        </w:rPr>
        <w:t>Din</w:t>
      </w:r>
      <w:r w:rsidR="00076642">
        <w:rPr>
          <w:rFonts w:asciiTheme="majorHAnsi" w:eastAsiaTheme="minorEastAsia" w:hAnsiTheme="majorHAnsi" w:cstheme="majorHAnsi"/>
          <w:sz w:val="24"/>
          <w:szCs w:val="24"/>
          <w:lang w:eastAsia="ru-RU"/>
        </w:rPr>
        <w:t xml:space="preserve">  informaț</w:t>
      </w:r>
      <w:r>
        <w:rPr>
          <w:rFonts w:asciiTheme="majorHAnsi" w:eastAsiaTheme="minorEastAsia" w:hAnsiTheme="majorHAnsi" w:cstheme="majorHAnsi"/>
          <w:sz w:val="24"/>
          <w:szCs w:val="24"/>
          <w:lang w:eastAsia="ru-RU"/>
        </w:rPr>
        <w:t>ia</w:t>
      </w:r>
      <w:r w:rsidR="00076642">
        <w:rPr>
          <w:rFonts w:asciiTheme="majorHAnsi" w:eastAsiaTheme="minorEastAsia" w:hAnsiTheme="majorHAnsi" w:cstheme="majorHAnsi"/>
          <w:sz w:val="24"/>
          <w:szCs w:val="24"/>
          <w:lang w:eastAsia="ru-RU"/>
        </w:rPr>
        <w:t xml:space="preserve">  inițial</w:t>
      </w:r>
      <w:r>
        <w:rPr>
          <w:rFonts w:asciiTheme="majorHAnsi" w:eastAsiaTheme="minorEastAsia" w:hAnsiTheme="majorHAnsi" w:cstheme="majorHAnsi"/>
          <w:sz w:val="24"/>
          <w:szCs w:val="24"/>
          <w:lang w:eastAsia="ru-RU"/>
        </w:rPr>
        <w:t>ă</w:t>
      </w:r>
      <w:r w:rsidR="00CC60F9">
        <w:rPr>
          <w:rStyle w:val="FootnoteReference"/>
          <w:rFonts w:asciiTheme="majorHAnsi" w:eastAsiaTheme="minorEastAsia" w:hAnsiTheme="majorHAnsi" w:cstheme="majorHAnsi"/>
          <w:sz w:val="24"/>
          <w:szCs w:val="24"/>
          <w:lang w:eastAsia="ru-RU"/>
        </w:rPr>
        <w:footnoteReference w:id="15"/>
      </w:r>
      <w:r w:rsidR="00076642">
        <w:rPr>
          <w:rFonts w:asciiTheme="majorHAnsi" w:eastAsiaTheme="minorEastAsia" w:hAnsiTheme="majorHAnsi" w:cstheme="majorHAnsi"/>
          <w:sz w:val="24"/>
          <w:szCs w:val="24"/>
          <w:lang w:eastAsia="ru-RU"/>
        </w:rPr>
        <w:t xml:space="preserve"> prezentat</w:t>
      </w:r>
      <w:r>
        <w:rPr>
          <w:rFonts w:asciiTheme="majorHAnsi" w:eastAsiaTheme="minorEastAsia" w:hAnsiTheme="majorHAnsi" w:cstheme="majorHAnsi"/>
          <w:sz w:val="24"/>
          <w:szCs w:val="24"/>
          <w:lang w:eastAsia="ru-RU"/>
        </w:rPr>
        <w:t>ă</w:t>
      </w:r>
      <w:r w:rsidR="00076642">
        <w:rPr>
          <w:rFonts w:asciiTheme="majorHAnsi" w:eastAsiaTheme="minorEastAsia" w:hAnsiTheme="majorHAnsi" w:cstheme="majorHAnsi"/>
          <w:sz w:val="24"/>
          <w:szCs w:val="24"/>
          <w:lang w:eastAsia="ru-RU"/>
        </w:rPr>
        <w:t xml:space="preserve"> de SFS referitor la estimarea </w:t>
      </w:r>
      <w:r w:rsidR="00E37C2E">
        <w:rPr>
          <w:rFonts w:asciiTheme="majorHAnsi" w:eastAsiaTheme="minorEastAsia" w:hAnsiTheme="majorHAnsi" w:cstheme="majorHAnsi"/>
          <w:sz w:val="24"/>
          <w:szCs w:val="24"/>
          <w:lang w:eastAsia="ru-RU"/>
        </w:rPr>
        <w:t>a</w:t>
      </w:r>
      <w:r w:rsidR="00076642">
        <w:rPr>
          <w:rFonts w:asciiTheme="majorHAnsi" w:eastAsiaTheme="minorEastAsia" w:hAnsiTheme="majorHAnsi" w:cstheme="majorHAnsi"/>
          <w:sz w:val="24"/>
          <w:szCs w:val="24"/>
          <w:lang w:eastAsia="ru-RU"/>
        </w:rPr>
        <w:t>cestei înlesniri rezultă că organul fiscal a determinat valoarea  livrărilor scutite de TVA fără drept de deducere în baza Declarațiilor TVA prezentate pentru anul 2020</w:t>
      </w:r>
      <w:r w:rsidR="00370422">
        <w:rPr>
          <w:rStyle w:val="FootnoteReference"/>
          <w:rFonts w:asciiTheme="majorHAnsi" w:eastAsiaTheme="minorEastAsia" w:hAnsiTheme="majorHAnsi" w:cstheme="majorHAnsi"/>
          <w:sz w:val="24"/>
          <w:szCs w:val="24"/>
          <w:lang w:eastAsia="ru-RU"/>
        </w:rPr>
        <w:footnoteReference w:id="16"/>
      </w:r>
      <w:r w:rsidR="00E37C2E">
        <w:rPr>
          <w:rFonts w:asciiTheme="majorHAnsi" w:eastAsiaTheme="minorEastAsia" w:hAnsiTheme="majorHAnsi" w:cstheme="majorHAnsi"/>
          <w:sz w:val="24"/>
          <w:szCs w:val="24"/>
          <w:lang w:eastAsia="ru-RU"/>
        </w:rPr>
        <w:t xml:space="preserve"> de către agenții economici</w:t>
      </w:r>
      <w:r w:rsidR="00076642">
        <w:rPr>
          <w:rFonts w:asciiTheme="majorHAnsi" w:eastAsiaTheme="minorEastAsia" w:hAnsiTheme="majorHAnsi" w:cstheme="majorHAnsi"/>
          <w:sz w:val="24"/>
          <w:szCs w:val="24"/>
          <w:lang w:eastAsia="ru-RU"/>
        </w:rPr>
        <w:t>, care a fost preluată și  utilizată în testări de către audit. Astfel</w:t>
      </w:r>
      <w:r w:rsidR="00076642" w:rsidRPr="00076642">
        <w:rPr>
          <w:rFonts w:asciiTheme="majorHAnsi" w:eastAsiaTheme="minorEastAsia" w:hAnsiTheme="majorHAnsi" w:cstheme="majorHAnsi"/>
          <w:sz w:val="24"/>
          <w:szCs w:val="24"/>
          <w:lang w:val="ro-RO" w:eastAsia="ru-RU"/>
        </w:rPr>
        <w:t xml:space="preserve">, recalculele </w:t>
      </w:r>
      <w:r w:rsidR="00076642">
        <w:rPr>
          <w:rFonts w:asciiTheme="majorHAnsi" w:eastAsiaTheme="minorEastAsia" w:hAnsiTheme="majorHAnsi" w:cstheme="majorHAnsi"/>
          <w:sz w:val="24"/>
          <w:szCs w:val="24"/>
          <w:lang w:eastAsia="ru-RU"/>
        </w:rPr>
        <w:t xml:space="preserve">denotă </w:t>
      </w:r>
      <w:r w:rsidR="006341F1" w:rsidRPr="00CB5F81">
        <w:rPr>
          <w:rFonts w:asciiTheme="majorHAnsi" w:eastAsiaTheme="minorEastAsia" w:hAnsiTheme="majorHAnsi" w:cstheme="majorHAnsi"/>
          <w:sz w:val="24"/>
          <w:szCs w:val="24"/>
          <w:lang w:eastAsia="ru-RU"/>
        </w:rPr>
        <w:t>că, dacă în 9 cazuri SFS a utilizat o abordare/formulă</w:t>
      </w:r>
      <w:r w:rsidR="006341F1" w:rsidRPr="00CB5F81">
        <w:rPr>
          <w:rStyle w:val="FootnoteReference"/>
          <w:rFonts w:asciiTheme="majorHAnsi" w:eastAsiaTheme="minorEastAsia" w:hAnsiTheme="majorHAnsi" w:cstheme="majorHAnsi"/>
          <w:sz w:val="24"/>
          <w:szCs w:val="24"/>
          <w:lang w:eastAsia="ru-RU"/>
        </w:rPr>
        <w:footnoteReference w:id="17"/>
      </w:r>
      <w:r w:rsidR="006341F1" w:rsidRPr="00CB5F81">
        <w:rPr>
          <w:rFonts w:asciiTheme="majorHAnsi" w:eastAsiaTheme="minorEastAsia" w:hAnsiTheme="majorHAnsi" w:cstheme="majorHAnsi"/>
          <w:sz w:val="24"/>
          <w:szCs w:val="24"/>
          <w:lang w:eastAsia="ru-RU"/>
        </w:rPr>
        <w:t xml:space="preserve"> identică în calculul cuantumului facilității, atunci calcularea înlesnirii </w:t>
      </w:r>
      <w:r w:rsidR="001135FE" w:rsidRPr="00CB5F81">
        <w:rPr>
          <w:rFonts w:asciiTheme="majorHAnsi" w:eastAsiaTheme="minorEastAsia" w:hAnsiTheme="majorHAnsi" w:cstheme="majorHAnsi"/>
          <w:sz w:val="24"/>
          <w:szCs w:val="24"/>
          <w:lang w:eastAsia="ru-RU"/>
        </w:rPr>
        <w:t xml:space="preserve">acordate unui contribuabil a fost </w:t>
      </w:r>
      <w:r w:rsidR="00030F9C" w:rsidRPr="003B791A">
        <w:rPr>
          <w:rFonts w:asciiTheme="majorHAnsi" w:eastAsiaTheme="minorEastAsia" w:hAnsiTheme="majorHAnsi" w:cstheme="majorHAnsi"/>
          <w:sz w:val="24"/>
          <w:szCs w:val="24"/>
          <w:lang w:eastAsia="ru-RU"/>
        </w:rPr>
        <w:t>efectuată</w:t>
      </w:r>
      <w:r w:rsidR="001135FE" w:rsidRPr="003B791A">
        <w:rPr>
          <w:rFonts w:asciiTheme="majorHAnsi" w:eastAsiaTheme="minorEastAsia" w:hAnsiTheme="majorHAnsi" w:cstheme="majorHAnsi"/>
          <w:sz w:val="24"/>
          <w:szCs w:val="24"/>
          <w:lang w:eastAsia="ru-RU"/>
        </w:rPr>
        <w:t xml:space="preserve"> în</w:t>
      </w:r>
      <w:r w:rsidR="001135FE" w:rsidRPr="00CB5F81">
        <w:rPr>
          <w:rFonts w:asciiTheme="majorHAnsi" w:eastAsiaTheme="minorEastAsia" w:hAnsiTheme="majorHAnsi" w:cstheme="majorHAnsi"/>
          <w:sz w:val="24"/>
          <w:szCs w:val="24"/>
          <w:lang w:eastAsia="ru-RU"/>
        </w:rPr>
        <w:t xml:space="preserve"> condiții neclare, fără o argumentare a costului de </w:t>
      </w:r>
      <w:r w:rsidR="006341F1" w:rsidRPr="00CB5F81">
        <w:rPr>
          <w:rFonts w:asciiTheme="majorHAnsi" w:eastAsiaTheme="minorEastAsia" w:hAnsiTheme="majorHAnsi" w:cstheme="majorHAnsi"/>
          <w:sz w:val="24"/>
          <w:szCs w:val="24"/>
          <w:lang w:eastAsia="ru-RU"/>
        </w:rPr>
        <w:t>327,7 mil. lei</w:t>
      </w:r>
      <w:r w:rsidR="00CC60F9">
        <w:rPr>
          <w:rFonts w:asciiTheme="majorHAnsi" w:eastAsiaTheme="minorEastAsia" w:hAnsiTheme="majorHAnsi" w:cstheme="majorHAnsi"/>
          <w:sz w:val="24"/>
          <w:szCs w:val="24"/>
          <w:lang w:eastAsia="ru-RU"/>
        </w:rPr>
        <w:t xml:space="preserve">, auditul constatând </w:t>
      </w:r>
      <w:r w:rsidR="00370422">
        <w:rPr>
          <w:rFonts w:asciiTheme="majorHAnsi" w:eastAsiaTheme="minorEastAsia" w:hAnsiTheme="majorHAnsi" w:cstheme="majorHAnsi"/>
          <w:sz w:val="24"/>
          <w:szCs w:val="24"/>
          <w:lang w:eastAsia="ru-RU"/>
        </w:rPr>
        <w:t>o diminuare</w:t>
      </w:r>
      <w:r w:rsidR="00CC60F9">
        <w:rPr>
          <w:rFonts w:asciiTheme="majorHAnsi" w:eastAsiaTheme="minorEastAsia" w:hAnsiTheme="majorHAnsi" w:cstheme="majorHAnsi"/>
          <w:sz w:val="24"/>
          <w:szCs w:val="24"/>
          <w:lang w:eastAsia="ru-RU"/>
        </w:rPr>
        <w:t xml:space="preserve"> a acestei sume cu </w:t>
      </w:r>
      <w:r w:rsidR="007D4119" w:rsidRPr="00CB5F81">
        <w:rPr>
          <w:rFonts w:asciiTheme="majorHAnsi" w:eastAsiaTheme="minorEastAsia" w:hAnsiTheme="majorHAnsi" w:cstheme="majorHAnsi"/>
          <w:sz w:val="24"/>
          <w:szCs w:val="24"/>
          <w:lang w:eastAsia="ru-RU"/>
        </w:rPr>
        <w:t xml:space="preserve">96,1 </w:t>
      </w:r>
      <w:r w:rsidR="007D4119" w:rsidRPr="003B791A">
        <w:rPr>
          <w:rFonts w:asciiTheme="majorHAnsi" w:eastAsiaTheme="minorEastAsia" w:hAnsiTheme="majorHAnsi" w:cstheme="majorHAnsi"/>
          <w:sz w:val="24"/>
          <w:szCs w:val="24"/>
          <w:lang w:eastAsia="ru-RU"/>
        </w:rPr>
        <w:t>mil</w:t>
      </w:r>
      <w:r w:rsidR="00030F9C" w:rsidRPr="003B791A">
        <w:rPr>
          <w:rFonts w:asciiTheme="majorHAnsi" w:eastAsiaTheme="minorEastAsia" w:hAnsiTheme="majorHAnsi" w:cstheme="majorHAnsi"/>
          <w:sz w:val="24"/>
          <w:szCs w:val="24"/>
          <w:lang w:eastAsia="ru-RU"/>
        </w:rPr>
        <w:t>.</w:t>
      </w:r>
      <w:r w:rsidR="007D4119" w:rsidRPr="003B791A">
        <w:rPr>
          <w:rFonts w:asciiTheme="majorHAnsi" w:eastAsiaTheme="minorEastAsia" w:hAnsiTheme="majorHAnsi" w:cstheme="majorHAnsi"/>
          <w:sz w:val="24"/>
          <w:szCs w:val="24"/>
          <w:lang w:eastAsia="ru-RU"/>
        </w:rPr>
        <w:t xml:space="preserve"> lei</w:t>
      </w:r>
      <w:r w:rsidR="00CC60F9">
        <w:rPr>
          <w:rStyle w:val="FootnoteReference"/>
          <w:rFonts w:asciiTheme="majorHAnsi" w:eastAsiaTheme="minorEastAsia" w:hAnsiTheme="majorHAnsi" w:cstheme="majorHAnsi"/>
          <w:sz w:val="24"/>
          <w:szCs w:val="24"/>
          <w:lang w:eastAsia="ru-RU"/>
        </w:rPr>
        <w:footnoteReference w:id="18"/>
      </w:r>
      <w:r w:rsidR="00CC60F9">
        <w:rPr>
          <w:rFonts w:asciiTheme="majorHAnsi" w:eastAsiaTheme="minorEastAsia" w:hAnsiTheme="majorHAnsi" w:cstheme="majorHAnsi"/>
          <w:sz w:val="24"/>
          <w:szCs w:val="24"/>
          <w:lang w:eastAsia="ru-RU"/>
        </w:rPr>
        <w:t>.</w:t>
      </w:r>
    </w:p>
    <w:p w:rsidR="00370422" w:rsidRDefault="00CC60F9" w:rsidP="00370422">
      <w:pPr>
        <w:tabs>
          <w:tab w:val="left" w:pos="270"/>
        </w:tabs>
        <w:spacing w:line="240" w:lineRule="auto"/>
        <w:jc w:val="both"/>
        <w:rPr>
          <w:rFonts w:asciiTheme="majorHAnsi" w:eastAsiaTheme="minorEastAsia" w:hAnsiTheme="majorHAnsi" w:cstheme="majorHAnsi"/>
          <w:sz w:val="24"/>
          <w:szCs w:val="24"/>
          <w:lang w:eastAsia="ru-RU"/>
        </w:rPr>
      </w:pPr>
      <w:r>
        <w:rPr>
          <w:rFonts w:asciiTheme="majorHAnsi" w:eastAsiaTheme="minorEastAsia" w:hAnsiTheme="majorHAnsi" w:cstheme="majorHAnsi"/>
          <w:sz w:val="24"/>
          <w:szCs w:val="24"/>
          <w:lang w:eastAsia="ru-RU"/>
        </w:rPr>
        <w:t>Ulterior</w:t>
      </w:r>
      <w:r w:rsidR="00B7289E">
        <w:rPr>
          <w:rFonts w:asciiTheme="majorHAnsi" w:eastAsiaTheme="minorEastAsia" w:hAnsiTheme="majorHAnsi" w:cstheme="majorHAnsi"/>
          <w:sz w:val="24"/>
          <w:szCs w:val="24"/>
          <w:lang w:eastAsia="ru-RU"/>
        </w:rPr>
        <w:t>,</w:t>
      </w:r>
      <w:r>
        <w:rPr>
          <w:rFonts w:asciiTheme="majorHAnsi" w:eastAsiaTheme="minorEastAsia" w:hAnsiTheme="majorHAnsi" w:cstheme="majorHAnsi"/>
          <w:sz w:val="24"/>
          <w:szCs w:val="24"/>
          <w:lang w:eastAsia="ru-RU"/>
        </w:rPr>
        <w:t xml:space="preserve"> la data  de 30.06.2022, </w:t>
      </w:r>
      <w:r w:rsidR="00370422">
        <w:rPr>
          <w:rFonts w:asciiTheme="majorHAnsi" w:eastAsiaTheme="minorEastAsia" w:hAnsiTheme="majorHAnsi" w:cstheme="majorHAnsi"/>
          <w:sz w:val="24"/>
          <w:szCs w:val="24"/>
          <w:lang w:eastAsia="ru-RU"/>
        </w:rPr>
        <w:t xml:space="preserve"> în temeiul altei explicații</w:t>
      </w:r>
      <w:r w:rsidR="00370422">
        <w:rPr>
          <w:rStyle w:val="FootnoteReference"/>
          <w:rFonts w:asciiTheme="majorHAnsi" w:eastAsiaTheme="minorEastAsia" w:hAnsiTheme="majorHAnsi" w:cstheme="majorHAnsi"/>
          <w:sz w:val="24"/>
          <w:szCs w:val="24"/>
          <w:lang w:eastAsia="ru-RU"/>
        </w:rPr>
        <w:footnoteReference w:id="19"/>
      </w:r>
      <w:r w:rsidR="00370422">
        <w:rPr>
          <w:rFonts w:asciiTheme="majorHAnsi" w:eastAsiaTheme="minorEastAsia" w:hAnsiTheme="majorHAnsi" w:cstheme="majorHAnsi"/>
          <w:sz w:val="24"/>
          <w:szCs w:val="24"/>
          <w:lang w:eastAsia="ru-RU"/>
        </w:rPr>
        <w:t xml:space="preserve">, </w:t>
      </w:r>
      <w:r>
        <w:rPr>
          <w:rFonts w:asciiTheme="majorHAnsi" w:eastAsiaTheme="minorEastAsia" w:hAnsiTheme="majorHAnsi" w:cstheme="majorHAnsi"/>
          <w:sz w:val="24"/>
          <w:szCs w:val="24"/>
          <w:lang w:eastAsia="ru-RU"/>
        </w:rPr>
        <w:t>o</w:t>
      </w:r>
      <w:r w:rsidR="00370422">
        <w:rPr>
          <w:rFonts w:asciiTheme="majorHAnsi" w:eastAsiaTheme="minorEastAsia" w:hAnsiTheme="majorHAnsi" w:cstheme="majorHAnsi"/>
          <w:sz w:val="24"/>
          <w:szCs w:val="24"/>
          <w:lang w:eastAsia="ru-RU"/>
        </w:rPr>
        <w:t xml:space="preserve">rganul fiscal invocă </w:t>
      </w:r>
      <w:r w:rsidR="00B7289E">
        <w:rPr>
          <w:rFonts w:asciiTheme="majorHAnsi" w:eastAsiaTheme="minorEastAsia" w:hAnsiTheme="majorHAnsi" w:cstheme="majorHAnsi"/>
          <w:sz w:val="24"/>
          <w:szCs w:val="24"/>
          <w:lang w:eastAsia="ru-RU"/>
        </w:rPr>
        <w:t>o</w:t>
      </w:r>
      <w:r w:rsidR="00370422">
        <w:rPr>
          <w:rFonts w:asciiTheme="majorHAnsi" w:eastAsiaTheme="minorEastAsia" w:hAnsiTheme="majorHAnsi" w:cstheme="majorHAnsi"/>
          <w:sz w:val="24"/>
          <w:szCs w:val="24"/>
          <w:lang w:eastAsia="ru-RU"/>
        </w:rPr>
        <w:t xml:space="preserve"> altă  modalitate de estimare a calculelor acestei scutiri,  menționând că </w:t>
      </w:r>
      <w:r w:rsidR="00B7289E">
        <w:rPr>
          <w:rFonts w:asciiTheme="majorHAnsi" w:eastAsiaTheme="minorEastAsia" w:hAnsiTheme="majorHAnsi" w:cstheme="majorHAnsi"/>
          <w:sz w:val="24"/>
          <w:szCs w:val="24"/>
          <w:lang w:eastAsia="ru-RU"/>
        </w:rPr>
        <w:t>„</w:t>
      </w:r>
      <w:r w:rsidRPr="00370422">
        <w:rPr>
          <w:rFonts w:asciiTheme="majorHAnsi" w:eastAsiaTheme="minorEastAsia" w:hAnsiTheme="majorHAnsi" w:cstheme="majorHAnsi"/>
          <w:i/>
          <w:sz w:val="24"/>
          <w:szCs w:val="24"/>
          <w:lang w:eastAsia="ru-RU"/>
        </w:rPr>
        <w:t>ținând cont că energia electrică respectivă până la</w:t>
      </w:r>
      <w:r w:rsidR="00370422" w:rsidRPr="00370422">
        <w:rPr>
          <w:rFonts w:asciiTheme="majorHAnsi" w:eastAsiaTheme="minorEastAsia" w:hAnsiTheme="majorHAnsi" w:cstheme="majorHAnsi"/>
          <w:i/>
          <w:sz w:val="24"/>
          <w:szCs w:val="24"/>
          <w:lang w:eastAsia="ru-RU"/>
        </w:rPr>
        <w:t xml:space="preserve"> </w:t>
      </w:r>
      <w:r w:rsidRPr="00370422">
        <w:rPr>
          <w:rFonts w:asciiTheme="majorHAnsi" w:eastAsiaTheme="minorEastAsia" w:hAnsiTheme="majorHAnsi" w:cstheme="majorHAnsi"/>
          <w:i/>
          <w:sz w:val="24"/>
          <w:szCs w:val="24"/>
          <w:lang w:eastAsia="ru-RU"/>
        </w:rPr>
        <w:t>consumul ei final este revândută de societățile intermediare, în scopul aprecierii facilității fiscale și</w:t>
      </w:r>
      <w:r w:rsidR="00370422" w:rsidRPr="00370422">
        <w:rPr>
          <w:rFonts w:asciiTheme="majorHAnsi" w:eastAsiaTheme="minorEastAsia" w:hAnsiTheme="majorHAnsi" w:cstheme="majorHAnsi"/>
          <w:i/>
          <w:sz w:val="24"/>
          <w:szCs w:val="24"/>
          <w:lang w:eastAsia="ru-RU"/>
        </w:rPr>
        <w:t xml:space="preserve"> </w:t>
      </w:r>
      <w:r w:rsidRPr="00370422">
        <w:rPr>
          <w:rFonts w:asciiTheme="majorHAnsi" w:eastAsiaTheme="minorEastAsia" w:hAnsiTheme="majorHAnsi" w:cstheme="majorHAnsi"/>
          <w:i/>
          <w:sz w:val="24"/>
          <w:szCs w:val="24"/>
          <w:lang w:eastAsia="ru-RU"/>
        </w:rPr>
        <w:t>excluderii influenței asupra valorii finale a energiei electrice scutite, prezumtiva facilitate aferentă</w:t>
      </w:r>
      <w:r w:rsidR="00370422" w:rsidRPr="00370422">
        <w:rPr>
          <w:rFonts w:asciiTheme="majorHAnsi" w:eastAsiaTheme="minorEastAsia" w:hAnsiTheme="majorHAnsi" w:cstheme="majorHAnsi"/>
          <w:i/>
          <w:sz w:val="24"/>
          <w:szCs w:val="24"/>
          <w:lang w:eastAsia="ru-RU"/>
        </w:rPr>
        <w:t xml:space="preserve"> </w:t>
      </w:r>
      <w:r w:rsidRPr="00370422">
        <w:rPr>
          <w:rFonts w:asciiTheme="majorHAnsi" w:eastAsiaTheme="minorEastAsia" w:hAnsiTheme="majorHAnsi" w:cstheme="majorHAnsi"/>
          <w:i/>
          <w:sz w:val="24"/>
          <w:szCs w:val="24"/>
          <w:lang w:eastAsia="ru-RU"/>
        </w:rPr>
        <w:t>energiei electrice a fost apreciată reieșind din valoarea adăugată prezumtivă pe lanțul valoric de la</w:t>
      </w:r>
      <w:r w:rsidR="00370422" w:rsidRPr="00370422">
        <w:rPr>
          <w:rFonts w:asciiTheme="majorHAnsi" w:eastAsiaTheme="minorEastAsia" w:hAnsiTheme="majorHAnsi" w:cstheme="majorHAnsi"/>
          <w:i/>
          <w:sz w:val="24"/>
          <w:szCs w:val="24"/>
          <w:lang w:eastAsia="ru-RU"/>
        </w:rPr>
        <w:t xml:space="preserve"> </w:t>
      </w:r>
      <w:r w:rsidRPr="00370422">
        <w:rPr>
          <w:rFonts w:asciiTheme="majorHAnsi" w:eastAsiaTheme="minorEastAsia" w:hAnsiTheme="majorHAnsi" w:cstheme="majorHAnsi"/>
          <w:i/>
          <w:sz w:val="24"/>
          <w:szCs w:val="24"/>
          <w:lang w:eastAsia="ru-RU"/>
        </w:rPr>
        <w:t>etapa importului p</w:t>
      </w:r>
      <w:r w:rsidR="00B7289E">
        <w:rPr>
          <w:rFonts w:asciiTheme="majorHAnsi" w:eastAsiaTheme="minorEastAsia" w:hAnsiTheme="majorHAnsi" w:cstheme="majorHAnsi"/>
          <w:i/>
          <w:sz w:val="24"/>
          <w:szCs w:val="24"/>
          <w:lang w:eastAsia="ru-RU"/>
        </w:rPr>
        <w:t>â</w:t>
      </w:r>
      <w:r w:rsidRPr="00370422">
        <w:rPr>
          <w:rFonts w:asciiTheme="majorHAnsi" w:eastAsiaTheme="minorEastAsia" w:hAnsiTheme="majorHAnsi" w:cstheme="majorHAnsi"/>
          <w:i/>
          <w:sz w:val="24"/>
          <w:szCs w:val="24"/>
          <w:lang w:eastAsia="ru-RU"/>
        </w:rPr>
        <w:t>nă la consumator</w:t>
      </w:r>
      <w:r w:rsidR="00370422" w:rsidRPr="00370422">
        <w:rPr>
          <w:rFonts w:asciiTheme="majorHAnsi" w:eastAsiaTheme="minorEastAsia" w:hAnsiTheme="majorHAnsi" w:cstheme="majorHAnsi"/>
          <w:i/>
          <w:sz w:val="24"/>
          <w:szCs w:val="24"/>
          <w:lang w:eastAsia="ru-RU"/>
        </w:rPr>
        <w:t xml:space="preserve">”. </w:t>
      </w:r>
      <w:r w:rsidR="00370422" w:rsidRPr="00370422">
        <w:rPr>
          <w:rFonts w:asciiTheme="majorHAnsi" w:eastAsiaTheme="minorEastAsia" w:hAnsiTheme="majorHAnsi" w:cstheme="majorHAnsi"/>
          <w:sz w:val="24"/>
          <w:szCs w:val="24"/>
          <w:lang w:eastAsia="ru-RU"/>
        </w:rPr>
        <w:t>În așa mod</w:t>
      </w:r>
      <w:r w:rsidR="00B7289E">
        <w:rPr>
          <w:rFonts w:asciiTheme="majorHAnsi" w:eastAsiaTheme="minorEastAsia" w:hAnsiTheme="majorHAnsi" w:cstheme="majorHAnsi"/>
          <w:sz w:val="24"/>
          <w:szCs w:val="24"/>
          <w:lang w:eastAsia="ru-RU"/>
        </w:rPr>
        <w:t>,</w:t>
      </w:r>
      <w:r w:rsidR="00370422" w:rsidRPr="00370422">
        <w:rPr>
          <w:rFonts w:asciiTheme="majorHAnsi" w:eastAsiaTheme="minorEastAsia" w:hAnsiTheme="majorHAnsi" w:cstheme="majorHAnsi"/>
          <w:sz w:val="24"/>
          <w:szCs w:val="24"/>
          <w:lang w:eastAsia="ru-RU"/>
        </w:rPr>
        <w:t xml:space="preserve"> cele două </w:t>
      </w:r>
      <w:r w:rsidR="006E1811">
        <w:rPr>
          <w:rFonts w:asciiTheme="majorHAnsi" w:eastAsiaTheme="minorEastAsia" w:hAnsiTheme="majorHAnsi" w:cstheme="majorHAnsi"/>
          <w:sz w:val="24"/>
          <w:szCs w:val="24"/>
          <w:lang w:eastAsia="ru-RU"/>
        </w:rPr>
        <w:t>documente al</w:t>
      </w:r>
      <w:r w:rsidR="00B7289E">
        <w:rPr>
          <w:rFonts w:asciiTheme="majorHAnsi" w:eastAsiaTheme="minorEastAsia" w:hAnsiTheme="majorHAnsi" w:cstheme="majorHAnsi"/>
          <w:sz w:val="24"/>
          <w:szCs w:val="24"/>
          <w:lang w:eastAsia="ru-RU"/>
        </w:rPr>
        <w:t>e</w:t>
      </w:r>
      <w:r w:rsidR="006E1811">
        <w:rPr>
          <w:rFonts w:asciiTheme="majorHAnsi" w:eastAsiaTheme="minorEastAsia" w:hAnsiTheme="majorHAnsi" w:cstheme="majorHAnsi"/>
          <w:sz w:val="24"/>
          <w:szCs w:val="24"/>
          <w:lang w:eastAsia="ru-RU"/>
        </w:rPr>
        <w:t xml:space="preserve"> SFS</w:t>
      </w:r>
      <w:r w:rsidR="00B7289E">
        <w:rPr>
          <w:rFonts w:asciiTheme="majorHAnsi" w:eastAsiaTheme="minorEastAsia" w:hAnsiTheme="majorHAnsi" w:cstheme="majorHAnsi"/>
          <w:sz w:val="24"/>
          <w:szCs w:val="24"/>
          <w:lang w:eastAsia="ru-RU"/>
        </w:rPr>
        <w:t>,</w:t>
      </w:r>
      <w:r w:rsidR="006E1811">
        <w:rPr>
          <w:rFonts w:asciiTheme="majorHAnsi" w:eastAsiaTheme="minorEastAsia" w:hAnsiTheme="majorHAnsi" w:cstheme="majorHAnsi"/>
          <w:sz w:val="24"/>
          <w:szCs w:val="24"/>
          <w:lang w:eastAsia="ru-RU"/>
        </w:rPr>
        <w:t xml:space="preserve"> prezentate </w:t>
      </w:r>
      <w:r w:rsidR="00E37C2E">
        <w:rPr>
          <w:rFonts w:asciiTheme="majorHAnsi" w:eastAsiaTheme="minorEastAsia" w:hAnsiTheme="majorHAnsi" w:cstheme="majorHAnsi"/>
          <w:sz w:val="24"/>
          <w:szCs w:val="24"/>
          <w:lang w:eastAsia="ru-RU"/>
        </w:rPr>
        <w:t>echipei de audit</w:t>
      </w:r>
      <w:r w:rsidR="006E1811">
        <w:rPr>
          <w:rFonts w:asciiTheme="majorHAnsi" w:eastAsiaTheme="minorEastAsia" w:hAnsiTheme="majorHAnsi" w:cstheme="majorHAnsi"/>
          <w:sz w:val="24"/>
          <w:szCs w:val="24"/>
          <w:lang w:eastAsia="ru-RU"/>
        </w:rPr>
        <w:t xml:space="preserve">, </w:t>
      </w:r>
      <w:r w:rsidR="00370422">
        <w:rPr>
          <w:rFonts w:asciiTheme="majorHAnsi" w:eastAsiaTheme="minorEastAsia" w:hAnsiTheme="majorHAnsi" w:cstheme="majorHAnsi"/>
          <w:sz w:val="24"/>
          <w:szCs w:val="24"/>
          <w:lang w:eastAsia="ru-RU"/>
        </w:rPr>
        <w:t>sunt contradictorii prin conțin</w:t>
      </w:r>
      <w:r w:rsidR="006E1811">
        <w:rPr>
          <w:rFonts w:asciiTheme="majorHAnsi" w:eastAsiaTheme="minorEastAsia" w:hAnsiTheme="majorHAnsi" w:cstheme="majorHAnsi"/>
          <w:sz w:val="24"/>
          <w:szCs w:val="24"/>
          <w:lang w:eastAsia="ru-RU"/>
        </w:rPr>
        <w:t>utul lor și atestă lipsa unei viziuni clare asupra aspectului vizat.</w:t>
      </w:r>
      <w:r w:rsidR="00370422">
        <w:rPr>
          <w:rFonts w:asciiTheme="majorHAnsi" w:eastAsiaTheme="minorEastAsia" w:hAnsiTheme="majorHAnsi" w:cstheme="majorHAnsi"/>
          <w:i/>
          <w:sz w:val="24"/>
          <w:szCs w:val="24"/>
          <w:lang w:eastAsia="ru-RU"/>
        </w:rPr>
        <w:t xml:space="preserve"> </w:t>
      </w:r>
    </w:p>
    <w:p w:rsidR="00725689" w:rsidRPr="00CB5F81" w:rsidRDefault="00725689" w:rsidP="00370422">
      <w:pPr>
        <w:tabs>
          <w:tab w:val="left" w:pos="270"/>
        </w:tabs>
        <w:spacing w:line="240" w:lineRule="auto"/>
        <w:jc w:val="both"/>
        <w:rPr>
          <w:rFonts w:asciiTheme="majorHAnsi" w:eastAsiaTheme="minorEastAsia" w:hAnsiTheme="majorHAnsi" w:cstheme="majorHAnsi"/>
          <w:sz w:val="24"/>
          <w:szCs w:val="24"/>
          <w:lang w:eastAsia="ru-RU"/>
        </w:rPr>
      </w:pPr>
      <w:r>
        <w:rPr>
          <w:rFonts w:asciiTheme="majorHAnsi" w:eastAsiaTheme="minorEastAsia" w:hAnsiTheme="majorHAnsi" w:cstheme="majorHAnsi"/>
          <w:sz w:val="24"/>
          <w:szCs w:val="24"/>
          <w:lang w:eastAsia="ru-RU"/>
        </w:rPr>
        <w:t>În</w:t>
      </w:r>
      <w:r w:rsidR="00721370">
        <w:rPr>
          <w:rFonts w:asciiTheme="majorHAnsi" w:eastAsiaTheme="minorEastAsia" w:hAnsiTheme="majorHAnsi" w:cstheme="majorHAnsi"/>
          <w:sz w:val="24"/>
          <w:szCs w:val="24"/>
          <w:lang w:eastAsia="ru-RU"/>
        </w:rPr>
        <w:t>tr-un</w:t>
      </w:r>
      <w:r>
        <w:rPr>
          <w:rFonts w:asciiTheme="majorHAnsi" w:eastAsiaTheme="minorEastAsia" w:hAnsiTheme="majorHAnsi" w:cstheme="majorHAnsi"/>
          <w:sz w:val="24"/>
          <w:szCs w:val="24"/>
          <w:lang w:eastAsia="ru-RU"/>
        </w:rPr>
        <w:t xml:space="preserve"> alt caz, </w:t>
      </w:r>
      <w:r w:rsidR="00356FF8" w:rsidRPr="00CB5F81">
        <w:rPr>
          <w:rFonts w:asciiTheme="majorHAnsi" w:eastAsiaTheme="minorEastAsia" w:hAnsiTheme="majorHAnsi" w:cstheme="majorHAnsi"/>
          <w:sz w:val="24"/>
          <w:szCs w:val="24"/>
          <w:lang w:eastAsia="ru-RU"/>
        </w:rPr>
        <w:t>la estimarea costurilor facilităților fiscale acordate</w:t>
      </w:r>
      <w:r w:rsidR="00EC1EAF">
        <w:rPr>
          <w:rFonts w:asciiTheme="majorHAnsi" w:eastAsiaTheme="minorEastAsia" w:hAnsiTheme="majorHAnsi" w:cstheme="majorHAnsi"/>
          <w:sz w:val="24"/>
          <w:szCs w:val="24"/>
          <w:lang w:eastAsia="ru-RU"/>
        </w:rPr>
        <w:t xml:space="preserve"> </w:t>
      </w:r>
      <w:r w:rsidR="00356FF8" w:rsidRPr="00CB5F81">
        <w:rPr>
          <w:rFonts w:asciiTheme="majorHAnsi" w:eastAsiaTheme="minorEastAsia" w:hAnsiTheme="majorHAnsi" w:cstheme="majorHAnsi"/>
          <w:sz w:val="24"/>
          <w:szCs w:val="24"/>
          <w:lang w:eastAsia="ru-RU"/>
        </w:rPr>
        <w:t>la calcularea și achitarea TVA la autoturisme și alte autovehicule</w:t>
      </w:r>
      <w:r w:rsidR="00EC1EAF">
        <w:rPr>
          <w:rFonts w:asciiTheme="majorHAnsi" w:eastAsiaTheme="minorEastAsia" w:hAnsiTheme="majorHAnsi" w:cstheme="majorHAnsi"/>
          <w:sz w:val="24"/>
          <w:szCs w:val="24"/>
          <w:lang w:eastAsia="ru-RU"/>
        </w:rPr>
        <w:t xml:space="preserve"> </w:t>
      </w:r>
      <w:r w:rsidR="00356FF8" w:rsidRPr="00CB5F81">
        <w:rPr>
          <w:rFonts w:asciiTheme="majorHAnsi" w:eastAsiaTheme="minorEastAsia" w:hAnsiTheme="majorHAnsi" w:cstheme="majorHAnsi"/>
          <w:sz w:val="24"/>
          <w:szCs w:val="24"/>
          <w:lang w:eastAsia="ru-RU"/>
        </w:rPr>
        <w:t>conform art. 103 alin.</w:t>
      </w:r>
      <w:r w:rsidR="008A6A37" w:rsidRPr="00CB5F81">
        <w:rPr>
          <w:rFonts w:asciiTheme="majorHAnsi" w:eastAsiaTheme="minorEastAsia" w:hAnsiTheme="majorHAnsi" w:cstheme="majorHAnsi"/>
          <w:sz w:val="24"/>
          <w:szCs w:val="24"/>
          <w:lang w:eastAsia="ru-RU"/>
        </w:rPr>
        <w:t>(1) pct.</w:t>
      </w:r>
      <w:r w:rsidR="00356FF8" w:rsidRPr="00CB5F81">
        <w:rPr>
          <w:rFonts w:asciiTheme="majorHAnsi" w:eastAsiaTheme="minorEastAsia" w:hAnsiTheme="majorHAnsi" w:cstheme="majorHAnsi"/>
          <w:sz w:val="24"/>
          <w:szCs w:val="24"/>
          <w:lang w:eastAsia="ru-RU"/>
        </w:rPr>
        <w:t xml:space="preserve"> 24)</w:t>
      </w:r>
      <w:r w:rsidR="00EC1EAF">
        <w:rPr>
          <w:rFonts w:asciiTheme="majorHAnsi" w:eastAsiaTheme="minorEastAsia" w:hAnsiTheme="majorHAnsi" w:cstheme="majorHAnsi"/>
          <w:sz w:val="24"/>
          <w:szCs w:val="24"/>
          <w:lang w:eastAsia="ru-RU"/>
        </w:rPr>
        <w:t xml:space="preserve"> </w:t>
      </w:r>
      <w:r w:rsidR="00356FF8" w:rsidRPr="00CB5F81">
        <w:rPr>
          <w:rFonts w:asciiTheme="majorHAnsi" w:eastAsiaTheme="minorEastAsia" w:hAnsiTheme="majorHAnsi" w:cstheme="majorHAnsi"/>
          <w:sz w:val="24"/>
          <w:szCs w:val="24"/>
          <w:lang w:eastAsia="ru-RU"/>
        </w:rPr>
        <w:t>din Codul fiscal</w:t>
      </w:r>
      <w:r w:rsidR="00356FF8" w:rsidRPr="00CB5F81">
        <w:rPr>
          <w:rStyle w:val="FootnoteReference"/>
          <w:rFonts w:asciiTheme="majorHAnsi" w:eastAsiaTheme="minorEastAsia" w:hAnsiTheme="majorHAnsi" w:cstheme="majorHAnsi"/>
          <w:sz w:val="24"/>
          <w:szCs w:val="24"/>
          <w:lang w:eastAsia="ru-RU"/>
        </w:rPr>
        <w:footnoteReference w:id="20"/>
      </w:r>
      <w:r w:rsidR="00721370">
        <w:rPr>
          <w:rFonts w:asciiTheme="majorHAnsi" w:eastAsiaTheme="minorEastAsia" w:hAnsiTheme="majorHAnsi" w:cstheme="majorHAnsi"/>
          <w:sz w:val="24"/>
          <w:szCs w:val="24"/>
          <w:lang w:eastAsia="ru-RU"/>
        </w:rPr>
        <w:t>,</w:t>
      </w:r>
      <w:r w:rsidR="007D4119" w:rsidRPr="00CB5F81">
        <w:rPr>
          <w:rFonts w:asciiTheme="majorHAnsi" w:eastAsiaTheme="minorEastAsia" w:hAnsiTheme="majorHAnsi" w:cstheme="majorHAnsi"/>
          <w:sz w:val="24"/>
          <w:szCs w:val="24"/>
          <w:lang w:eastAsia="ru-RU"/>
        </w:rPr>
        <w:t>SFS a calculat</w:t>
      </w:r>
      <w:r w:rsidR="00EC1EAF">
        <w:rPr>
          <w:rFonts w:asciiTheme="majorHAnsi" w:eastAsiaTheme="minorEastAsia" w:hAnsiTheme="majorHAnsi" w:cstheme="majorHAnsi"/>
          <w:sz w:val="24"/>
          <w:szCs w:val="24"/>
          <w:lang w:eastAsia="ru-RU"/>
        </w:rPr>
        <w:t xml:space="preserve"> </w:t>
      </w:r>
      <w:r w:rsidR="007D4119" w:rsidRPr="00CB5F81">
        <w:rPr>
          <w:rFonts w:asciiTheme="majorHAnsi" w:eastAsiaTheme="minorEastAsia" w:hAnsiTheme="majorHAnsi" w:cstheme="majorHAnsi"/>
          <w:sz w:val="24"/>
          <w:szCs w:val="24"/>
          <w:lang w:eastAsia="ru-RU"/>
        </w:rPr>
        <w:t xml:space="preserve">și </w:t>
      </w:r>
      <w:r w:rsidR="00B7289E">
        <w:rPr>
          <w:rFonts w:asciiTheme="majorHAnsi" w:eastAsiaTheme="minorEastAsia" w:hAnsiTheme="majorHAnsi" w:cstheme="majorHAnsi"/>
          <w:sz w:val="24"/>
          <w:szCs w:val="24"/>
          <w:lang w:eastAsia="ru-RU"/>
        </w:rPr>
        <w:t xml:space="preserve">a </w:t>
      </w:r>
      <w:r w:rsidR="007D4119" w:rsidRPr="00CB5F81">
        <w:rPr>
          <w:rFonts w:asciiTheme="majorHAnsi" w:eastAsiaTheme="minorEastAsia" w:hAnsiTheme="majorHAnsi" w:cstheme="majorHAnsi"/>
          <w:sz w:val="24"/>
          <w:szCs w:val="24"/>
          <w:lang w:eastAsia="ru-RU"/>
        </w:rPr>
        <w:t>raportat scutiri în valoare</w:t>
      </w:r>
      <w:r w:rsidR="00EC1EAF">
        <w:rPr>
          <w:rFonts w:asciiTheme="majorHAnsi" w:eastAsiaTheme="minorEastAsia" w:hAnsiTheme="majorHAnsi" w:cstheme="majorHAnsi"/>
          <w:sz w:val="24"/>
          <w:szCs w:val="24"/>
          <w:lang w:eastAsia="ru-RU"/>
        </w:rPr>
        <w:t xml:space="preserve"> </w:t>
      </w:r>
      <w:r w:rsidR="00B36E3A" w:rsidRPr="00CB5F81">
        <w:rPr>
          <w:rFonts w:asciiTheme="majorHAnsi" w:eastAsiaTheme="minorEastAsia" w:hAnsiTheme="majorHAnsi" w:cstheme="majorHAnsi"/>
          <w:sz w:val="24"/>
          <w:szCs w:val="24"/>
          <w:lang w:eastAsia="ru-RU"/>
        </w:rPr>
        <w:t xml:space="preserve">de 648,0 </w:t>
      </w:r>
      <w:r w:rsidR="00726434" w:rsidRPr="00CB5F81">
        <w:rPr>
          <w:rFonts w:asciiTheme="majorHAnsi" w:eastAsiaTheme="minorEastAsia" w:hAnsiTheme="majorHAnsi" w:cstheme="majorHAnsi"/>
          <w:sz w:val="24"/>
          <w:szCs w:val="24"/>
          <w:lang w:eastAsia="ru-RU"/>
        </w:rPr>
        <w:t>mil.</w:t>
      </w:r>
      <w:r w:rsidR="00B36E3A" w:rsidRPr="00CB5F81">
        <w:rPr>
          <w:rFonts w:asciiTheme="majorHAnsi" w:eastAsiaTheme="minorEastAsia" w:hAnsiTheme="majorHAnsi" w:cstheme="majorHAnsi"/>
          <w:sz w:val="24"/>
          <w:szCs w:val="24"/>
          <w:lang w:eastAsia="ru-RU"/>
        </w:rPr>
        <w:t>lei</w:t>
      </w:r>
      <w:r w:rsidR="007D4119" w:rsidRPr="00CB5F81">
        <w:rPr>
          <w:rFonts w:asciiTheme="majorHAnsi" w:eastAsiaTheme="minorEastAsia" w:hAnsiTheme="majorHAnsi" w:cstheme="majorHAnsi"/>
          <w:sz w:val="24"/>
          <w:szCs w:val="24"/>
          <w:lang w:eastAsia="ru-RU"/>
        </w:rPr>
        <w:t>,</w:t>
      </w:r>
      <w:r w:rsidR="00EC1EAF">
        <w:rPr>
          <w:rFonts w:asciiTheme="majorHAnsi" w:eastAsiaTheme="minorEastAsia" w:hAnsiTheme="majorHAnsi" w:cstheme="majorHAnsi"/>
          <w:sz w:val="24"/>
          <w:szCs w:val="24"/>
          <w:lang w:eastAsia="ru-RU"/>
        </w:rPr>
        <w:t xml:space="preserve"> </w:t>
      </w:r>
      <w:r w:rsidR="00820D1C" w:rsidRPr="00CB5F81">
        <w:rPr>
          <w:rFonts w:asciiTheme="majorHAnsi" w:eastAsiaTheme="minorEastAsia" w:hAnsiTheme="majorHAnsi" w:cstheme="majorHAnsi"/>
          <w:sz w:val="24"/>
          <w:szCs w:val="24"/>
          <w:lang w:eastAsia="ru-RU"/>
        </w:rPr>
        <w:t>costuri care nu pot fi justificate</w:t>
      </w:r>
      <w:r w:rsidR="007D4119" w:rsidRPr="00CB5F81">
        <w:rPr>
          <w:rFonts w:asciiTheme="majorHAnsi" w:eastAsiaTheme="minorEastAsia" w:hAnsiTheme="majorHAnsi" w:cstheme="majorHAnsi"/>
          <w:sz w:val="24"/>
          <w:szCs w:val="24"/>
          <w:lang w:eastAsia="ru-RU"/>
        </w:rPr>
        <w:t xml:space="preserve"> prin calcule</w:t>
      </w:r>
      <w:r w:rsidR="005D7848">
        <w:rPr>
          <w:rFonts w:asciiTheme="majorHAnsi" w:eastAsiaTheme="minorEastAsia" w:hAnsiTheme="majorHAnsi" w:cstheme="majorHAnsi"/>
          <w:sz w:val="24"/>
          <w:szCs w:val="24"/>
          <w:lang w:eastAsia="ru-RU"/>
        </w:rPr>
        <w:t xml:space="preserve">. </w:t>
      </w:r>
      <w:r w:rsidR="003619A7" w:rsidRPr="00CB5F81">
        <w:rPr>
          <w:rFonts w:asciiTheme="majorHAnsi" w:eastAsiaTheme="minorEastAsia" w:hAnsiTheme="majorHAnsi" w:cstheme="majorHAnsi"/>
          <w:sz w:val="24"/>
          <w:szCs w:val="24"/>
          <w:lang w:eastAsia="ru-RU"/>
        </w:rPr>
        <w:t>Concomitent, SFS</w:t>
      </w:r>
      <w:r w:rsidR="00B7289E">
        <w:rPr>
          <w:rFonts w:asciiTheme="majorHAnsi" w:eastAsiaTheme="minorEastAsia" w:hAnsiTheme="majorHAnsi" w:cstheme="majorHAnsi"/>
          <w:sz w:val="24"/>
          <w:szCs w:val="24"/>
          <w:lang w:eastAsia="ru-RU"/>
        </w:rPr>
        <w:t>,</w:t>
      </w:r>
      <w:r w:rsidR="003619A7" w:rsidRPr="00CB5F81">
        <w:rPr>
          <w:rFonts w:asciiTheme="majorHAnsi" w:eastAsiaTheme="minorEastAsia" w:hAnsiTheme="majorHAnsi" w:cstheme="majorHAnsi"/>
          <w:sz w:val="24"/>
          <w:szCs w:val="24"/>
          <w:lang w:eastAsia="ru-RU"/>
        </w:rPr>
        <w:t xml:space="preserve"> </w:t>
      </w:r>
      <w:r w:rsidR="00E37C2E">
        <w:rPr>
          <w:rFonts w:asciiTheme="majorHAnsi" w:eastAsiaTheme="minorEastAsia" w:hAnsiTheme="majorHAnsi" w:cstheme="majorHAnsi"/>
          <w:sz w:val="24"/>
          <w:szCs w:val="24"/>
          <w:lang w:eastAsia="ru-RU"/>
        </w:rPr>
        <w:t>în ambele cazuri</w:t>
      </w:r>
      <w:r w:rsidR="00B7289E">
        <w:rPr>
          <w:rFonts w:asciiTheme="majorHAnsi" w:eastAsiaTheme="minorEastAsia" w:hAnsiTheme="majorHAnsi" w:cstheme="majorHAnsi"/>
          <w:sz w:val="24"/>
          <w:szCs w:val="24"/>
          <w:lang w:eastAsia="ru-RU"/>
        </w:rPr>
        <w:t>,</w:t>
      </w:r>
      <w:r w:rsidR="00E37C2E">
        <w:rPr>
          <w:rFonts w:asciiTheme="majorHAnsi" w:eastAsiaTheme="minorEastAsia" w:hAnsiTheme="majorHAnsi" w:cstheme="majorHAnsi"/>
          <w:sz w:val="24"/>
          <w:szCs w:val="24"/>
          <w:lang w:eastAsia="ru-RU"/>
        </w:rPr>
        <w:t xml:space="preserve"> </w:t>
      </w:r>
      <w:r w:rsidR="003619A7" w:rsidRPr="00CB5F81">
        <w:rPr>
          <w:rFonts w:asciiTheme="majorHAnsi" w:eastAsiaTheme="minorEastAsia" w:hAnsiTheme="majorHAnsi" w:cstheme="majorHAnsi"/>
          <w:sz w:val="24"/>
          <w:szCs w:val="24"/>
          <w:lang w:eastAsia="ru-RU"/>
        </w:rPr>
        <w:t>invocă lipsa metodologiei care</w:t>
      </w:r>
      <w:r w:rsidR="003619A7">
        <w:rPr>
          <w:rFonts w:asciiTheme="majorHAnsi" w:eastAsiaTheme="minorEastAsia" w:hAnsiTheme="majorHAnsi" w:cstheme="majorHAnsi"/>
          <w:sz w:val="24"/>
          <w:szCs w:val="24"/>
          <w:lang w:eastAsia="ru-RU"/>
        </w:rPr>
        <w:t xml:space="preserve"> </w:t>
      </w:r>
      <w:r w:rsidR="003619A7" w:rsidRPr="00CB5F81">
        <w:rPr>
          <w:rFonts w:asciiTheme="majorHAnsi" w:eastAsiaTheme="minorEastAsia" w:hAnsiTheme="majorHAnsi" w:cstheme="majorHAnsi"/>
          <w:sz w:val="24"/>
          <w:szCs w:val="24"/>
          <w:lang w:eastAsia="ru-RU"/>
        </w:rPr>
        <w:t>ar sta la baza acestor estimări</w:t>
      </w:r>
      <w:r w:rsidR="00E37C2E">
        <w:rPr>
          <w:rFonts w:asciiTheme="majorHAnsi" w:eastAsiaTheme="minorEastAsia" w:hAnsiTheme="majorHAnsi" w:cstheme="majorHAnsi"/>
          <w:sz w:val="24"/>
          <w:szCs w:val="24"/>
          <w:lang w:eastAsia="ru-RU"/>
        </w:rPr>
        <w:t>.</w:t>
      </w:r>
    </w:p>
    <w:p w:rsidR="00C816C4" w:rsidRPr="00040BCB" w:rsidRDefault="00C816C4" w:rsidP="00040BCB">
      <w:pPr>
        <w:pStyle w:val="ListParagraph"/>
        <w:numPr>
          <w:ilvl w:val="0"/>
          <w:numId w:val="5"/>
        </w:numPr>
        <w:tabs>
          <w:tab w:val="left" w:pos="270"/>
          <w:tab w:val="left" w:pos="540"/>
        </w:tabs>
        <w:spacing w:after="120"/>
        <w:ind w:left="274" w:firstLine="0"/>
        <w:jc w:val="both"/>
        <w:rPr>
          <w:rFonts w:asciiTheme="minorHAnsi" w:eastAsiaTheme="minorEastAsia" w:hAnsiTheme="minorHAnsi" w:cstheme="minorHAnsi"/>
          <w:i/>
          <w:sz w:val="24"/>
          <w:szCs w:val="24"/>
          <w:lang w:val="ro-MD" w:eastAsia="ru-RU"/>
        </w:rPr>
      </w:pPr>
      <w:r w:rsidRPr="00040BCB">
        <w:rPr>
          <w:rFonts w:asciiTheme="minorHAnsi" w:eastAsiaTheme="minorEastAsia" w:hAnsiTheme="minorHAnsi" w:cstheme="minorHAnsi"/>
          <w:i/>
          <w:color w:val="2F5496" w:themeColor="accent5" w:themeShade="BF"/>
          <w:sz w:val="24"/>
          <w:szCs w:val="24"/>
          <w:lang w:val="ro-MD" w:eastAsia="ru-RU"/>
        </w:rPr>
        <w:t>SFS nu a asigurat plenitudinea datelor la raportarea facilităților privind scutirea de</w:t>
      </w:r>
      <w:r w:rsidR="00EC1EAF" w:rsidRPr="00040BCB">
        <w:rPr>
          <w:rFonts w:asciiTheme="minorHAnsi" w:eastAsiaTheme="minorEastAsia" w:hAnsiTheme="minorHAnsi" w:cstheme="minorHAnsi"/>
          <w:i/>
          <w:color w:val="2F5496" w:themeColor="accent5" w:themeShade="BF"/>
          <w:sz w:val="24"/>
          <w:szCs w:val="24"/>
          <w:lang w:val="ro-MD" w:eastAsia="ru-RU"/>
        </w:rPr>
        <w:t xml:space="preserve"> </w:t>
      </w:r>
      <w:r w:rsidRPr="00040BCB">
        <w:rPr>
          <w:rFonts w:asciiTheme="minorHAnsi" w:eastAsiaTheme="minorEastAsia" w:hAnsiTheme="minorHAnsi" w:cstheme="minorHAnsi"/>
          <w:i/>
          <w:color w:val="2F5496" w:themeColor="accent5" w:themeShade="BF"/>
          <w:sz w:val="24"/>
          <w:szCs w:val="24"/>
          <w:lang w:val="ro-MD" w:eastAsia="ru-RU"/>
        </w:rPr>
        <w:t>TVA a serviciilor poștale</w:t>
      </w:r>
      <w:r w:rsidR="008C63B6" w:rsidRPr="00040BCB">
        <w:rPr>
          <w:rFonts w:asciiTheme="minorHAnsi" w:eastAsiaTheme="minorEastAsia" w:hAnsiTheme="minorHAnsi" w:cstheme="minorHAnsi"/>
          <w:i/>
          <w:color w:val="2F5496" w:themeColor="accent5" w:themeShade="BF"/>
          <w:sz w:val="24"/>
          <w:szCs w:val="24"/>
          <w:lang w:val="ro-MD" w:eastAsia="ru-RU"/>
        </w:rPr>
        <w:t xml:space="preserve"> (Codul facilității –CFTVA012)</w:t>
      </w:r>
    </w:p>
    <w:p w:rsidR="009D7FE7" w:rsidRDefault="00C816C4" w:rsidP="00902F6C">
      <w:pPr>
        <w:tabs>
          <w:tab w:val="left" w:pos="270"/>
        </w:tabs>
        <w:spacing w:after="0"/>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t xml:space="preserve">Conform datelor raportate de către organul fiscal în anul 2020, în condițiile sistemului </w:t>
      </w:r>
      <w:r w:rsidR="008C63B6" w:rsidRPr="00CB5F81">
        <w:rPr>
          <w:rFonts w:asciiTheme="majorHAnsi" w:eastAsiaTheme="minorEastAsia" w:hAnsiTheme="majorHAnsi" w:cstheme="majorHAnsi"/>
          <w:sz w:val="24"/>
          <w:szCs w:val="24"/>
          <w:lang w:eastAsia="ru-RU"/>
        </w:rPr>
        <w:t xml:space="preserve">de </w:t>
      </w:r>
      <w:r w:rsidRPr="00CB5F81">
        <w:rPr>
          <w:rFonts w:asciiTheme="majorHAnsi" w:eastAsiaTheme="minorEastAsia" w:hAnsiTheme="majorHAnsi" w:cstheme="majorHAnsi"/>
          <w:sz w:val="24"/>
          <w:szCs w:val="24"/>
          <w:lang w:eastAsia="ru-RU"/>
        </w:rPr>
        <w:t>facilitar</w:t>
      </w:r>
      <w:r w:rsidR="00555340" w:rsidRPr="00CB5F81">
        <w:rPr>
          <w:rFonts w:asciiTheme="majorHAnsi" w:eastAsiaTheme="minorEastAsia" w:hAnsiTheme="majorHAnsi" w:cstheme="majorHAnsi"/>
          <w:sz w:val="24"/>
          <w:szCs w:val="24"/>
          <w:lang w:eastAsia="ru-RU"/>
        </w:rPr>
        <w:t>e</w:t>
      </w:r>
      <w:r w:rsidR="00EC1EAF">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 xml:space="preserve"> privind scutirea de TVA a serviciilor poștale</w:t>
      </w:r>
      <w:r w:rsidR="008A6A37" w:rsidRPr="00CB5F81">
        <w:rPr>
          <w:rStyle w:val="FootnoteReference"/>
          <w:rFonts w:asciiTheme="majorHAnsi" w:eastAsiaTheme="minorEastAsia" w:hAnsiTheme="majorHAnsi" w:cstheme="majorHAnsi"/>
          <w:sz w:val="24"/>
          <w:szCs w:val="24"/>
          <w:lang w:eastAsia="ru-RU"/>
        </w:rPr>
        <w:footnoteReference w:id="21"/>
      </w:r>
      <w:r w:rsidRPr="00CB5F81">
        <w:rPr>
          <w:rFonts w:asciiTheme="majorHAnsi" w:eastAsiaTheme="minorEastAsia" w:hAnsiTheme="majorHAnsi" w:cstheme="majorHAnsi"/>
          <w:sz w:val="24"/>
          <w:szCs w:val="24"/>
          <w:lang w:eastAsia="ru-RU"/>
        </w:rPr>
        <w:t xml:space="preserve"> au activat 11 agenți economici, suma totală a înlesnirilor constituind 13,6 </w:t>
      </w:r>
      <w:r w:rsidR="00726434" w:rsidRPr="00CB5F81">
        <w:rPr>
          <w:rFonts w:asciiTheme="majorHAnsi" w:eastAsiaTheme="minorEastAsia" w:hAnsiTheme="majorHAnsi" w:cstheme="majorHAnsi"/>
          <w:sz w:val="24"/>
          <w:szCs w:val="24"/>
          <w:lang w:eastAsia="ru-RU"/>
        </w:rPr>
        <w:t>mil.</w:t>
      </w:r>
      <w:r w:rsidRPr="00CB5F81">
        <w:rPr>
          <w:rFonts w:asciiTheme="majorHAnsi" w:eastAsiaTheme="minorEastAsia" w:hAnsiTheme="majorHAnsi" w:cstheme="majorHAnsi"/>
          <w:sz w:val="24"/>
          <w:szCs w:val="24"/>
          <w:lang w:eastAsia="ru-RU"/>
        </w:rPr>
        <w:t xml:space="preserve">lei. </w:t>
      </w:r>
      <w:r w:rsidR="008C63B6" w:rsidRPr="00CB5F81">
        <w:rPr>
          <w:rFonts w:asciiTheme="majorHAnsi" w:eastAsiaTheme="minorEastAsia" w:hAnsiTheme="majorHAnsi" w:cstheme="majorHAnsi"/>
          <w:sz w:val="24"/>
          <w:szCs w:val="24"/>
          <w:lang w:eastAsia="ru-RU"/>
        </w:rPr>
        <w:t>Testele de audit relevă</w:t>
      </w:r>
      <w:r w:rsidRPr="00CB5F81">
        <w:rPr>
          <w:rFonts w:asciiTheme="majorHAnsi" w:eastAsiaTheme="minorEastAsia" w:hAnsiTheme="majorHAnsi" w:cstheme="majorHAnsi"/>
          <w:sz w:val="24"/>
          <w:szCs w:val="24"/>
          <w:lang w:eastAsia="ru-RU"/>
        </w:rPr>
        <w:t xml:space="preserve"> că datele raportate nu sunt complete și nu reflectă situați</w:t>
      </w:r>
      <w:r w:rsidR="007B4D96">
        <w:rPr>
          <w:rFonts w:asciiTheme="majorHAnsi" w:eastAsiaTheme="minorEastAsia" w:hAnsiTheme="majorHAnsi" w:cstheme="majorHAnsi"/>
          <w:sz w:val="24"/>
          <w:szCs w:val="24"/>
          <w:lang w:eastAsia="ru-RU"/>
        </w:rPr>
        <w:t>a</w:t>
      </w:r>
      <w:r w:rsidRPr="00CB5F81">
        <w:rPr>
          <w:rFonts w:asciiTheme="majorHAnsi" w:eastAsiaTheme="minorEastAsia" w:hAnsiTheme="majorHAnsi" w:cstheme="majorHAnsi"/>
          <w:sz w:val="24"/>
          <w:szCs w:val="24"/>
          <w:lang w:eastAsia="ru-RU"/>
        </w:rPr>
        <w:t xml:space="preserve"> reală privind </w:t>
      </w:r>
      <w:r w:rsidR="008C63B6" w:rsidRPr="00CB5F81">
        <w:rPr>
          <w:rFonts w:asciiTheme="majorHAnsi" w:eastAsiaTheme="minorEastAsia" w:hAnsiTheme="majorHAnsi" w:cstheme="majorHAnsi"/>
          <w:sz w:val="24"/>
          <w:szCs w:val="24"/>
          <w:lang w:eastAsia="ru-RU"/>
        </w:rPr>
        <w:t xml:space="preserve">plenitudinea sumei facilităților. </w:t>
      </w:r>
      <w:r w:rsidR="00DD6300" w:rsidRPr="00CB5F81">
        <w:rPr>
          <w:rFonts w:asciiTheme="majorHAnsi" w:eastAsiaTheme="minorEastAsia" w:hAnsiTheme="majorHAnsi" w:cstheme="majorHAnsi"/>
          <w:sz w:val="24"/>
          <w:szCs w:val="24"/>
          <w:lang w:eastAsia="ru-RU"/>
        </w:rPr>
        <w:t xml:space="preserve">În </w:t>
      </w:r>
      <w:r w:rsidR="008C63B6" w:rsidRPr="00CB5F81">
        <w:rPr>
          <w:rFonts w:asciiTheme="majorHAnsi" w:eastAsiaTheme="minorEastAsia" w:hAnsiTheme="majorHAnsi" w:cstheme="majorHAnsi"/>
          <w:sz w:val="24"/>
          <w:szCs w:val="24"/>
          <w:lang w:eastAsia="ru-RU"/>
        </w:rPr>
        <w:t>așa</w:t>
      </w:r>
      <w:r w:rsidR="00EC1EAF">
        <w:rPr>
          <w:rFonts w:asciiTheme="majorHAnsi" w:eastAsiaTheme="minorEastAsia" w:hAnsiTheme="majorHAnsi" w:cstheme="majorHAnsi"/>
          <w:sz w:val="24"/>
          <w:szCs w:val="24"/>
          <w:lang w:eastAsia="ru-RU"/>
        </w:rPr>
        <w:t xml:space="preserve"> </w:t>
      </w:r>
      <w:r w:rsidR="00DD6300" w:rsidRPr="00CB5F81">
        <w:rPr>
          <w:rFonts w:asciiTheme="majorHAnsi" w:eastAsiaTheme="minorEastAsia" w:hAnsiTheme="majorHAnsi" w:cstheme="majorHAnsi"/>
          <w:sz w:val="24"/>
          <w:szCs w:val="24"/>
          <w:lang w:eastAsia="ru-RU"/>
        </w:rPr>
        <w:t>mod</w:t>
      </w:r>
      <w:r w:rsidR="007B4D96">
        <w:rPr>
          <w:rFonts w:asciiTheme="majorHAnsi" w:eastAsiaTheme="minorEastAsia" w:hAnsiTheme="majorHAnsi" w:cstheme="majorHAnsi"/>
          <w:sz w:val="24"/>
          <w:szCs w:val="24"/>
          <w:lang w:eastAsia="ru-RU"/>
        </w:rPr>
        <w:t>,</w:t>
      </w:r>
      <w:r w:rsidR="00DD6300" w:rsidRPr="00CB5F81">
        <w:rPr>
          <w:rFonts w:asciiTheme="majorHAnsi" w:eastAsiaTheme="minorEastAsia" w:hAnsiTheme="majorHAnsi" w:cstheme="majorHAnsi"/>
          <w:sz w:val="24"/>
          <w:szCs w:val="24"/>
          <w:lang w:eastAsia="ru-RU"/>
        </w:rPr>
        <w:t xml:space="preserve"> informația inclusă în </w:t>
      </w:r>
      <w:r w:rsidR="00DD6300" w:rsidRPr="00526D44">
        <w:rPr>
          <w:rFonts w:asciiTheme="majorHAnsi" w:eastAsiaTheme="minorEastAsia" w:hAnsiTheme="majorHAnsi" w:cstheme="majorHAnsi"/>
          <w:sz w:val="24"/>
          <w:szCs w:val="24"/>
          <w:lang w:eastAsia="ru-RU"/>
        </w:rPr>
        <w:t>Registrul unic al facilităților fiscale nu încorporează</w:t>
      </w:r>
      <w:r w:rsidR="00DD6300" w:rsidRPr="00CB5F81">
        <w:rPr>
          <w:rFonts w:asciiTheme="majorHAnsi" w:eastAsiaTheme="minorEastAsia" w:hAnsiTheme="majorHAnsi" w:cstheme="majorHAnsi"/>
          <w:sz w:val="24"/>
          <w:szCs w:val="24"/>
          <w:lang w:eastAsia="ru-RU"/>
        </w:rPr>
        <w:t xml:space="preserve"> suma înlesnirilor de care a beneficiat cel mai mare operator național de profil –</w:t>
      </w:r>
      <w:r w:rsidR="00D109FF" w:rsidRPr="00CB5F81">
        <w:rPr>
          <w:rFonts w:asciiTheme="majorHAnsi" w:eastAsiaTheme="minorEastAsia" w:hAnsiTheme="majorHAnsi" w:cstheme="majorHAnsi"/>
          <w:sz w:val="24"/>
          <w:szCs w:val="24"/>
          <w:lang w:eastAsia="ru-RU"/>
        </w:rPr>
        <w:t xml:space="preserve"> </w:t>
      </w:r>
      <w:r w:rsidR="00B247E6" w:rsidRPr="00CB5F81">
        <w:rPr>
          <w:rFonts w:asciiTheme="majorHAnsi" w:eastAsiaTheme="minorEastAsia" w:hAnsiTheme="majorHAnsi" w:cstheme="majorHAnsi"/>
          <w:sz w:val="24"/>
          <w:szCs w:val="24"/>
          <w:lang w:eastAsia="ru-RU"/>
        </w:rPr>
        <w:t>Î</w:t>
      </w:r>
      <w:r w:rsidR="00DD6300" w:rsidRPr="00CB5F81">
        <w:rPr>
          <w:rFonts w:asciiTheme="majorHAnsi" w:eastAsiaTheme="minorEastAsia" w:hAnsiTheme="majorHAnsi" w:cstheme="majorHAnsi"/>
          <w:sz w:val="24"/>
          <w:szCs w:val="24"/>
          <w:lang w:eastAsia="ru-RU"/>
        </w:rPr>
        <w:t xml:space="preserve">S </w:t>
      </w:r>
      <w:r w:rsidR="007B4D96">
        <w:rPr>
          <w:rFonts w:asciiTheme="majorHAnsi" w:eastAsiaTheme="minorEastAsia" w:hAnsiTheme="majorHAnsi" w:cstheme="majorHAnsi"/>
          <w:sz w:val="24"/>
          <w:szCs w:val="24"/>
          <w:lang w:eastAsia="ru-RU"/>
        </w:rPr>
        <w:t>„</w:t>
      </w:r>
      <w:r w:rsidR="00DD6300" w:rsidRPr="00CB5F81">
        <w:rPr>
          <w:rFonts w:asciiTheme="majorHAnsi" w:eastAsiaTheme="minorEastAsia" w:hAnsiTheme="majorHAnsi" w:cstheme="majorHAnsi"/>
          <w:sz w:val="24"/>
          <w:szCs w:val="24"/>
          <w:lang w:eastAsia="ru-RU"/>
        </w:rPr>
        <w:t>Poșta Moldovei”. În baza indicatorilor agregați din Declarațiile privind TVA extrase din SI al S</w:t>
      </w:r>
      <w:r w:rsidR="00160869" w:rsidRPr="00CB5F81">
        <w:rPr>
          <w:rFonts w:asciiTheme="majorHAnsi" w:eastAsiaTheme="minorEastAsia" w:hAnsiTheme="majorHAnsi" w:cstheme="majorHAnsi"/>
          <w:sz w:val="24"/>
          <w:szCs w:val="24"/>
          <w:lang w:eastAsia="ru-RU"/>
        </w:rPr>
        <w:t xml:space="preserve">FS </w:t>
      </w:r>
      <w:r w:rsidR="00DD6300" w:rsidRPr="00CB5F81">
        <w:rPr>
          <w:rFonts w:asciiTheme="majorHAnsi" w:eastAsiaTheme="minorEastAsia" w:hAnsiTheme="majorHAnsi" w:cstheme="majorHAnsi"/>
          <w:sz w:val="24"/>
          <w:szCs w:val="24"/>
          <w:lang w:eastAsia="ru-RU"/>
        </w:rPr>
        <w:t>aferente acestui contribuabil</w:t>
      </w:r>
      <w:r w:rsidR="007B4D96">
        <w:rPr>
          <w:rFonts w:asciiTheme="majorHAnsi" w:eastAsiaTheme="minorEastAsia" w:hAnsiTheme="majorHAnsi" w:cstheme="majorHAnsi"/>
          <w:sz w:val="24"/>
          <w:szCs w:val="24"/>
          <w:lang w:eastAsia="ru-RU"/>
        </w:rPr>
        <w:t xml:space="preserve">, </w:t>
      </w:r>
      <w:r w:rsidR="00DD6300" w:rsidRPr="00CB5F81">
        <w:rPr>
          <w:rFonts w:asciiTheme="majorHAnsi" w:eastAsiaTheme="minorEastAsia" w:hAnsiTheme="majorHAnsi" w:cstheme="majorHAnsi"/>
          <w:sz w:val="24"/>
          <w:szCs w:val="24"/>
          <w:lang w:eastAsia="ru-RU"/>
        </w:rPr>
        <w:t>suma totală a livrărilor scutite</w:t>
      </w:r>
      <w:r w:rsidR="00EC1EAF">
        <w:rPr>
          <w:rFonts w:asciiTheme="majorHAnsi" w:eastAsiaTheme="minorEastAsia" w:hAnsiTheme="majorHAnsi" w:cstheme="majorHAnsi"/>
          <w:sz w:val="24"/>
          <w:szCs w:val="24"/>
          <w:lang w:eastAsia="ru-RU"/>
        </w:rPr>
        <w:t xml:space="preserve"> </w:t>
      </w:r>
      <w:r w:rsidR="00160869" w:rsidRPr="00CB5F81">
        <w:rPr>
          <w:rFonts w:asciiTheme="majorHAnsi" w:eastAsiaTheme="minorEastAsia" w:hAnsiTheme="majorHAnsi" w:cstheme="majorHAnsi"/>
          <w:sz w:val="24"/>
          <w:szCs w:val="24"/>
          <w:lang w:eastAsia="ru-RU"/>
        </w:rPr>
        <w:t xml:space="preserve">de TVA a constituit 379,2 </w:t>
      </w:r>
      <w:r w:rsidR="00726434" w:rsidRPr="00CB5F81">
        <w:rPr>
          <w:rFonts w:asciiTheme="majorHAnsi" w:eastAsiaTheme="minorEastAsia" w:hAnsiTheme="majorHAnsi" w:cstheme="majorHAnsi"/>
          <w:sz w:val="24"/>
          <w:szCs w:val="24"/>
          <w:lang w:eastAsia="ru-RU"/>
        </w:rPr>
        <w:t>mil.</w:t>
      </w:r>
      <w:r w:rsidR="00160869" w:rsidRPr="00CB5F81">
        <w:rPr>
          <w:rFonts w:asciiTheme="majorHAnsi" w:eastAsiaTheme="minorEastAsia" w:hAnsiTheme="majorHAnsi" w:cstheme="majorHAnsi"/>
          <w:sz w:val="24"/>
          <w:szCs w:val="24"/>
          <w:lang w:eastAsia="ru-RU"/>
        </w:rPr>
        <w:t>lei, or</w:t>
      </w:r>
      <w:r w:rsidR="007B4D96">
        <w:rPr>
          <w:rFonts w:asciiTheme="majorHAnsi" w:eastAsiaTheme="minorEastAsia" w:hAnsiTheme="majorHAnsi" w:cstheme="majorHAnsi"/>
          <w:sz w:val="24"/>
          <w:szCs w:val="24"/>
          <w:lang w:eastAsia="ru-RU"/>
        </w:rPr>
        <w:t>,</w:t>
      </w:r>
      <w:r w:rsidR="00160869" w:rsidRPr="00CB5F81">
        <w:rPr>
          <w:rFonts w:asciiTheme="majorHAnsi" w:eastAsiaTheme="minorEastAsia" w:hAnsiTheme="majorHAnsi" w:cstheme="majorHAnsi"/>
          <w:sz w:val="24"/>
          <w:szCs w:val="24"/>
          <w:lang w:eastAsia="ru-RU"/>
        </w:rPr>
        <w:t xml:space="preserve"> potrivit formulei aplicate de către SFS, echipa de audit a determinat că suma facilităților fiscale însumează</w:t>
      </w:r>
      <w:r w:rsidR="00EC1EAF">
        <w:rPr>
          <w:rFonts w:asciiTheme="majorHAnsi" w:eastAsiaTheme="minorEastAsia" w:hAnsiTheme="majorHAnsi" w:cstheme="majorHAnsi"/>
          <w:sz w:val="24"/>
          <w:szCs w:val="24"/>
          <w:lang w:eastAsia="ru-RU"/>
        </w:rPr>
        <w:t xml:space="preserve"> </w:t>
      </w:r>
      <w:r w:rsidR="00160869" w:rsidRPr="00CB5F81">
        <w:rPr>
          <w:rFonts w:asciiTheme="majorHAnsi" w:eastAsiaTheme="minorEastAsia" w:hAnsiTheme="majorHAnsi" w:cstheme="majorHAnsi"/>
          <w:sz w:val="24"/>
          <w:szCs w:val="24"/>
          <w:lang w:eastAsia="ru-RU"/>
        </w:rPr>
        <w:t>63,2 mil</w:t>
      </w:r>
      <w:r w:rsidR="00555340" w:rsidRPr="00CB5F81">
        <w:rPr>
          <w:rFonts w:asciiTheme="majorHAnsi" w:eastAsiaTheme="minorEastAsia" w:hAnsiTheme="majorHAnsi" w:cstheme="majorHAnsi"/>
          <w:sz w:val="24"/>
          <w:szCs w:val="24"/>
          <w:lang w:eastAsia="ru-RU"/>
        </w:rPr>
        <w:t>.</w:t>
      </w:r>
      <w:r w:rsidR="00160869" w:rsidRPr="00CB5F81">
        <w:rPr>
          <w:rFonts w:asciiTheme="majorHAnsi" w:eastAsiaTheme="minorEastAsia" w:hAnsiTheme="majorHAnsi" w:cstheme="majorHAnsi"/>
          <w:sz w:val="24"/>
          <w:szCs w:val="24"/>
          <w:lang w:eastAsia="ru-RU"/>
        </w:rPr>
        <w:t xml:space="preserve"> lei. </w:t>
      </w:r>
      <w:r w:rsidR="00481D07" w:rsidRPr="00CB5F81">
        <w:rPr>
          <w:rFonts w:asciiTheme="majorHAnsi" w:eastAsiaTheme="minorEastAsia" w:hAnsiTheme="majorHAnsi" w:cstheme="majorHAnsi"/>
          <w:sz w:val="24"/>
          <w:szCs w:val="24"/>
          <w:lang w:eastAsia="ru-RU"/>
        </w:rPr>
        <w:t>Concomitent</w:t>
      </w:r>
      <w:r w:rsidR="007B4D96">
        <w:rPr>
          <w:rFonts w:asciiTheme="majorHAnsi" w:eastAsiaTheme="minorEastAsia" w:hAnsiTheme="majorHAnsi" w:cstheme="majorHAnsi"/>
          <w:sz w:val="24"/>
          <w:szCs w:val="24"/>
          <w:lang w:eastAsia="ru-RU"/>
        </w:rPr>
        <w:t>,</w:t>
      </w:r>
      <w:r w:rsidR="00481D07" w:rsidRPr="00CB5F81">
        <w:rPr>
          <w:rFonts w:asciiTheme="majorHAnsi" w:eastAsiaTheme="minorEastAsia" w:hAnsiTheme="majorHAnsi" w:cstheme="majorHAnsi"/>
          <w:sz w:val="24"/>
          <w:szCs w:val="24"/>
          <w:lang w:eastAsia="ru-RU"/>
        </w:rPr>
        <w:t xml:space="preserve"> la alți 4 agenți economici suma a fost estimată la valori incoerente, per total</w:t>
      </w:r>
      <w:r w:rsidR="007B4D96">
        <w:rPr>
          <w:rFonts w:asciiTheme="majorHAnsi" w:eastAsiaTheme="minorEastAsia" w:hAnsiTheme="majorHAnsi" w:cstheme="majorHAnsi"/>
          <w:sz w:val="24"/>
          <w:szCs w:val="24"/>
          <w:lang w:eastAsia="ru-RU"/>
        </w:rPr>
        <w:t>,</w:t>
      </w:r>
      <w:r w:rsidR="00EC1EAF">
        <w:rPr>
          <w:rFonts w:asciiTheme="majorHAnsi" w:eastAsiaTheme="minorEastAsia" w:hAnsiTheme="majorHAnsi" w:cstheme="majorHAnsi"/>
          <w:sz w:val="24"/>
          <w:szCs w:val="24"/>
          <w:lang w:eastAsia="ru-RU"/>
        </w:rPr>
        <w:t xml:space="preserve"> </w:t>
      </w:r>
      <w:r w:rsidR="00481D07" w:rsidRPr="00CB5F81">
        <w:rPr>
          <w:rFonts w:asciiTheme="majorHAnsi" w:eastAsiaTheme="minorEastAsia" w:hAnsiTheme="majorHAnsi" w:cstheme="majorHAnsi"/>
          <w:sz w:val="24"/>
          <w:szCs w:val="24"/>
          <w:lang w:eastAsia="ru-RU"/>
        </w:rPr>
        <w:t xml:space="preserve"> fiind diminuată cu 8,1 </w:t>
      </w:r>
      <w:r w:rsidR="00726434" w:rsidRPr="00CB5F81">
        <w:rPr>
          <w:rFonts w:asciiTheme="majorHAnsi" w:eastAsiaTheme="minorEastAsia" w:hAnsiTheme="majorHAnsi" w:cstheme="majorHAnsi"/>
          <w:sz w:val="24"/>
          <w:szCs w:val="24"/>
          <w:lang w:eastAsia="ru-RU"/>
        </w:rPr>
        <w:t>mil.</w:t>
      </w:r>
      <w:r w:rsidR="00481D07" w:rsidRPr="00CB5F81">
        <w:rPr>
          <w:rFonts w:asciiTheme="majorHAnsi" w:eastAsiaTheme="minorEastAsia" w:hAnsiTheme="majorHAnsi" w:cstheme="majorHAnsi"/>
          <w:sz w:val="24"/>
          <w:szCs w:val="24"/>
          <w:lang w:eastAsia="ru-RU"/>
        </w:rPr>
        <w:t xml:space="preserve">lei. </w:t>
      </w:r>
      <w:r w:rsidR="00160869" w:rsidRPr="00CB5F81">
        <w:rPr>
          <w:rFonts w:asciiTheme="majorHAnsi" w:eastAsiaTheme="minorEastAsia" w:hAnsiTheme="majorHAnsi" w:cstheme="majorHAnsi"/>
          <w:sz w:val="24"/>
          <w:szCs w:val="24"/>
          <w:lang w:eastAsia="ru-RU"/>
        </w:rPr>
        <w:t xml:space="preserve">Prin urmare, </w:t>
      </w:r>
      <w:r w:rsidR="008068E9" w:rsidRPr="00CB5F81">
        <w:rPr>
          <w:rFonts w:asciiTheme="majorHAnsi" w:eastAsiaTheme="minorEastAsia" w:hAnsiTheme="majorHAnsi" w:cstheme="majorHAnsi"/>
          <w:sz w:val="24"/>
          <w:szCs w:val="24"/>
          <w:lang w:eastAsia="ru-RU"/>
        </w:rPr>
        <w:t>suma facilității</w:t>
      </w:r>
      <w:r w:rsidR="00EC1EAF">
        <w:rPr>
          <w:rFonts w:asciiTheme="majorHAnsi" w:eastAsiaTheme="minorEastAsia" w:hAnsiTheme="majorHAnsi" w:cstheme="majorHAnsi"/>
          <w:sz w:val="24"/>
          <w:szCs w:val="24"/>
          <w:lang w:eastAsia="ru-RU"/>
        </w:rPr>
        <w:t xml:space="preserve"> </w:t>
      </w:r>
      <w:r w:rsidR="00160869" w:rsidRPr="00CB5F81">
        <w:rPr>
          <w:rFonts w:asciiTheme="majorHAnsi" w:eastAsiaTheme="minorEastAsia" w:hAnsiTheme="majorHAnsi" w:cstheme="majorHAnsi"/>
          <w:sz w:val="24"/>
          <w:szCs w:val="24"/>
          <w:lang w:eastAsia="ru-RU"/>
        </w:rPr>
        <w:t>din Registrul unic al facilităților fiscale</w:t>
      </w:r>
      <w:r w:rsidR="00EC1EAF">
        <w:rPr>
          <w:rFonts w:asciiTheme="majorHAnsi" w:eastAsiaTheme="minorEastAsia" w:hAnsiTheme="majorHAnsi" w:cstheme="majorHAnsi"/>
          <w:sz w:val="24"/>
          <w:szCs w:val="24"/>
          <w:lang w:eastAsia="ru-RU"/>
        </w:rPr>
        <w:t xml:space="preserve"> </w:t>
      </w:r>
      <w:r w:rsidR="008068E9" w:rsidRPr="00CB5F81">
        <w:rPr>
          <w:rFonts w:asciiTheme="majorHAnsi" w:eastAsiaTheme="minorEastAsia" w:hAnsiTheme="majorHAnsi" w:cstheme="majorHAnsi"/>
          <w:sz w:val="24"/>
          <w:szCs w:val="24"/>
          <w:lang w:eastAsia="ru-RU"/>
        </w:rPr>
        <w:t>a fost indicată</w:t>
      </w:r>
      <w:r w:rsidR="008C63B6" w:rsidRPr="00CB5F81">
        <w:rPr>
          <w:rFonts w:asciiTheme="majorHAnsi" w:eastAsiaTheme="minorEastAsia" w:hAnsiTheme="majorHAnsi" w:cstheme="majorHAnsi"/>
          <w:sz w:val="24"/>
          <w:szCs w:val="24"/>
          <w:lang w:eastAsia="ru-RU"/>
        </w:rPr>
        <w:t xml:space="preserve"> în</w:t>
      </w:r>
      <w:r w:rsidR="00EC1EAF">
        <w:rPr>
          <w:rFonts w:asciiTheme="majorHAnsi" w:eastAsiaTheme="minorEastAsia" w:hAnsiTheme="majorHAnsi" w:cstheme="majorHAnsi"/>
          <w:sz w:val="24"/>
          <w:szCs w:val="24"/>
          <w:lang w:eastAsia="ru-RU"/>
        </w:rPr>
        <w:t xml:space="preserve"> </w:t>
      </w:r>
      <w:r w:rsidR="007B4D96">
        <w:rPr>
          <w:rFonts w:asciiTheme="majorHAnsi" w:eastAsiaTheme="minorEastAsia" w:hAnsiTheme="majorHAnsi" w:cstheme="majorHAnsi"/>
          <w:sz w:val="24"/>
          <w:szCs w:val="24"/>
          <w:lang w:eastAsia="ru-RU"/>
        </w:rPr>
        <w:t>mărime</w:t>
      </w:r>
      <w:r w:rsidR="008C63B6" w:rsidRPr="00CB5F81">
        <w:rPr>
          <w:rFonts w:asciiTheme="majorHAnsi" w:eastAsiaTheme="minorEastAsia" w:hAnsiTheme="majorHAnsi" w:cstheme="majorHAnsi"/>
          <w:sz w:val="24"/>
          <w:szCs w:val="24"/>
          <w:lang w:eastAsia="ru-RU"/>
        </w:rPr>
        <w:t xml:space="preserve"> de </w:t>
      </w:r>
      <w:r w:rsidR="008068E9" w:rsidRPr="00CB5F81">
        <w:rPr>
          <w:rFonts w:asciiTheme="majorHAnsi" w:eastAsiaTheme="minorEastAsia" w:hAnsiTheme="majorHAnsi" w:cstheme="majorHAnsi"/>
          <w:sz w:val="24"/>
          <w:szCs w:val="24"/>
          <w:lang w:eastAsia="ru-RU"/>
        </w:rPr>
        <w:t xml:space="preserve">13,6 </w:t>
      </w:r>
      <w:r w:rsidR="00726434" w:rsidRPr="00CB5F81">
        <w:rPr>
          <w:rFonts w:asciiTheme="majorHAnsi" w:eastAsiaTheme="minorEastAsia" w:hAnsiTheme="majorHAnsi" w:cstheme="majorHAnsi"/>
          <w:sz w:val="24"/>
          <w:szCs w:val="24"/>
          <w:lang w:eastAsia="ru-RU"/>
        </w:rPr>
        <w:t>mil.</w:t>
      </w:r>
      <w:r w:rsidR="008068E9" w:rsidRPr="00CB5F81">
        <w:rPr>
          <w:rFonts w:asciiTheme="majorHAnsi" w:eastAsiaTheme="minorEastAsia" w:hAnsiTheme="majorHAnsi" w:cstheme="majorHAnsi"/>
          <w:sz w:val="24"/>
          <w:szCs w:val="24"/>
          <w:lang w:eastAsia="ru-RU"/>
        </w:rPr>
        <w:t xml:space="preserve">lei, sau fiind </w:t>
      </w:r>
      <w:r w:rsidR="00160869" w:rsidRPr="00CB5F81">
        <w:rPr>
          <w:rFonts w:asciiTheme="majorHAnsi" w:eastAsiaTheme="minorEastAsia" w:hAnsiTheme="majorHAnsi" w:cstheme="majorHAnsi"/>
          <w:sz w:val="24"/>
          <w:szCs w:val="24"/>
          <w:lang w:eastAsia="ru-RU"/>
        </w:rPr>
        <w:t>diminuat</w:t>
      </w:r>
      <w:r w:rsidR="008068E9" w:rsidRPr="00CB5F81">
        <w:rPr>
          <w:rFonts w:asciiTheme="majorHAnsi" w:eastAsiaTheme="minorEastAsia" w:hAnsiTheme="majorHAnsi" w:cstheme="majorHAnsi"/>
          <w:sz w:val="24"/>
          <w:szCs w:val="24"/>
          <w:lang w:eastAsia="ru-RU"/>
        </w:rPr>
        <w:t>ă</w:t>
      </w:r>
      <w:r w:rsidR="00EC1EAF">
        <w:rPr>
          <w:rFonts w:asciiTheme="majorHAnsi" w:eastAsiaTheme="minorEastAsia" w:hAnsiTheme="majorHAnsi" w:cstheme="majorHAnsi"/>
          <w:sz w:val="24"/>
          <w:szCs w:val="24"/>
          <w:lang w:eastAsia="ru-RU"/>
        </w:rPr>
        <w:t xml:space="preserve"> </w:t>
      </w:r>
      <w:r w:rsidR="00902F6C" w:rsidRPr="00CB5F81">
        <w:rPr>
          <w:rFonts w:asciiTheme="majorHAnsi" w:eastAsiaTheme="minorEastAsia" w:hAnsiTheme="majorHAnsi" w:cstheme="majorHAnsi"/>
          <w:sz w:val="24"/>
          <w:szCs w:val="24"/>
          <w:lang w:eastAsia="ru-RU"/>
        </w:rPr>
        <w:t>cu</w:t>
      </w:r>
      <w:r w:rsidR="00481D07" w:rsidRPr="00CB5F81">
        <w:rPr>
          <w:rFonts w:asciiTheme="majorHAnsi" w:eastAsiaTheme="minorEastAsia" w:hAnsiTheme="majorHAnsi" w:cstheme="majorHAnsi"/>
          <w:sz w:val="24"/>
          <w:szCs w:val="24"/>
          <w:lang w:eastAsia="ru-RU"/>
        </w:rPr>
        <w:t xml:space="preserve"> 71,4 </w:t>
      </w:r>
      <w:r w:rsidR="00726434" w:rsidRPr="00CB5F81">
        <w:rPr>
          <w:rFonts w:asciiTheme="majorHAnsi" w:eastAsiaTheme="minorEastAsia" w:hAnsiTheme="majorHAnsi" w:cstheme="majorHAnsi"/>
          <w:sz w:val="24"/>
          <w:szCs w:val="24"/>
          <w:lang w:eastAsia="ru-RU"/>
        </w:rPr>
        <w:t>mil.</w:t>
      </w:r>
      <w:r w:rsidR="00902F6C" w:rsidRPr="00CB5F81">
        <w:rPr>
          <w:rFonts w:asciiTheme="majorHAnsi" w:eastAsiaTheme="minorEastAsia" w:hAnsiTheme="majorHAnsi" w:cstheme="majorHAnsi"/>
          <w:sz w:val="24"/>
          <w:szCs w:val="24"/>
          <w:lang w:eastAsia="ru-RU"/>
        </w:rPr>
        <w:t>lei.</w:t>
      </w:r>
    </w:p>
    <w:p w:rsidR="00040BCB" w:rsidRPr="00CB5F81" w:rsidRDefault="00040BCB" w:rsidP="00902F6C">
      <w:pPr>
        <w:tabs>
          <w:tab w:val="left" w:pos="270"/>
        </w:tabs>
        <w:spacing w:after="0"/>
        <w:jc w:val="both"/>
        <w:rPr>
          <w:rFonts w:asciiTheme="majorHAnsi" w:eastAsiaTheme="minorEastAsia" w:hAnsiTheme="majorHAnsi" w:cstheme="majorHAnsi"/>
          <w:sz w:val="24"/>
          <w:szCs w:val="24"/>
          <w:lang w:eastAsia="ru-RU"/>
        </w:rPr>
      </w:pPr>
    </w:p>
    <w:p w:rsidR="00902F6C" w:rsidRPr="00CB5F81" w:rsidRDefault="00902F6C" w:rsidP="00902F6C">
      <w:pPr>
        <w:tabs>
          <w:tab w:val="left" w:pos="270"/>
        </w:tabs>
        <w:spacing w:after="0"/>
        <w:jc w:val="both"/>
        <w:rPr>
          <w:rFonts w:eastAsiaTheme="minorEastAsia" w:cstheme="minorHAnsi"/>
          <w:i/>
          <w:color w:val="1F4E79" w:themeColor="accent1" w:themeShade="80"/>
          <w:sz w:val="24"/>
          <w:szCs w:val="24"/>
          <w:lang w:eastAsia="ru-RU"/>
        </w:rPr>
      </w:pPr>
    </w:p>
    <w:p w:rsidR="005F3812" w:rsidRPr="00040BCB" w:rsidRDefault="00590C76" w:rsidP="00040BCB">
      <w:pPr>
        <w:pStyle w:val="ListParagraph"/>
        <w:numPr>
          <w:ilvl w:val="0"/>
          <w:numId w:val="5"/>
        </w:numPr>
        <w:tabs>
          <w:tab w:val="left" w:pos="270"/>
          <w:tab w:val="left" w:pos="540"/>
        </w:tabs>
        <w:spacing w:after="120"/>
        <w:ind w:left="274" w:firstLine="0"/>
        <w:jc w:val="both"/>
        <w:rPr>
          <w:rFonts w:asciiTheme="majorHAnsi" w:hAnsiTheme="majorHAnsi" w:cstheme="majorHAnsi"/>
          <w:b/>
          <w:color w:val="2E74B5" w:themeColor="accent1" w:themeShade="BF"/>
          <w:sz w:val="24"/>
          <w:szCs w:val="24"/>
          <w:lang w:val="ro-MD"/>
        </w:rPr>
      </w:pPr>
      <w:r w:rsidRPr="00040BCB">
        <w:rPr>
          <w:rFonts w:asciiTheme="minorHAnsi" w:eastAsiaTheme="minorEastAsia" w:hAnsiTheme="minorHAnsi" w:cstheme="minorHAnsi"/>
          <w:i/>
          <w:color w:val="1F4E79" w:themeColor="accent1" w:themeShade="80"/>
          <w:sz w:val="24"/>
          <w:szCs w:val="24"/>
          <w:lang w:val="ro-MD" w:eastAsia="ru-RU"/>
        </w:rPr>
        <w:lastRenderedPageBreak/>
        <w:t xml:space="preserve">SFS </w:t>
      </w:r>
      <w:r w:rsidR="00B13224" w:rsidRPr="00040BCB">
        <w:rPr>
          <w:rFonts w:asciiTheme="minorHAnsi" w:eastAsiaTheme="minorEastAsia" w:hAnsiTheme="minorHAnsi" w:cstheme="minorHAnsi"/>
          <w:i/>
          <w:color w:val="1F4E79" w:themeColor="accent1" w:themeShade="80"/>
          <w:sz w:val="24"/>
          <w:szCs w:val="24"/>
          <w:lang w:val="ro-MD" w:eastAsia="ru-RU"/>
        </w:rPr>
        <w:t>a avut o atitudine</w:t>
      </w:r>
      <w:r w:rsidRPr="00040BCB">
        <w:rPr>
          <w:rFonts w:asciiTheme="minorHAnsi" w:eastAsiaTheme="minorEastAsia" w:hAnsiTheme="minorHAnsi" w:cstheme="minorHAnsi"/>
          <w:i/>
          <w:color w:val="1F4E79" w:themeColor="accent1" w:themeShade="80"/>
          <w:sz w:val="24"/>
          <w:szCs w:val="24"/>
          <w:lang w:val="ro-MD" w:eastAsia="ru-RU"/>
        </w:rPr>
        <w:t xml:space="preserve"> </w:t>
      </w:r>
      <w:r w:rsidR="00157279" w:rsidRPr="00040BCB">
        <w:rPr>
          <w:rFonts w:asciiTheme="minorHAnsi" w:eastAsiaTheme="minorEastAsia" w:hAnsiTheme="minorHAnsi" w:cstheme="minorHAnsi"/>
          <w:i/>
          <w:color w:val="1F4E79" w:themeColor="accent1" w:themeShade="80"/>
          <w:sz w:val="24"/>
          <w:szCs w:val="24"/>
          <w:lang w:val="ro-MD" w:eastAsia="ru-RU"/>
        </w:rPr>
        <w:t xml:space="preserve">iresponsabilă </w:t>
      </w:r>
      <w:r w:rsidR="00816BA8" w:rsidRPr="00040BCB">
        <w:rPr>
          <w:rFonts w:asciiTheme="minorHAnsi" w:eastAsiaTheme="minorEastAsia" w:hAnsiTheme="minorHAnsi" w:cstheme="minorHAnsi"/>
          <w:i/>
          <w:color w:val="1F4E79" w:themeColor="accent1" w:themeShade="80"/>
          <w:sz w:val="24"/>
          <w:szCs w:val="24"/>
          <w:lang w:val="ro-MD" w:eastAsia="ru-RU"/>
        </w:rPr>
        <w:t xml:space="preserve">în </w:t>
      </w:r>
      <w:r w:rsidR="00B13224" w:rsidRPr="00040BCB">
        <w:rPr>
          <w:rFonts w:asciiTheme="minorHAnsi" w:eastAsiaTheme="minorEastAsia" w:hAnsiTheme="minorHAnsi" w:cstheme="minorHAnsi"/>
          <w:i/>
          <w:color w:val="1F4E79" w:themeColor="accent1" w:themeShade="80"/>
          <w:sz w:val="24"/>
          <w:szCs w:val="24"/>
          <w:lang w:val="ro-MD" w:eastAsia="ru-RU"/>
        </w:rPr>
        <w:t>procesul de estimare a costurilor facilităților acordate gospodăriilor țărănești, raportându-le la valori eronate</w:t>
      </w:r>
      <w:r w:rsidR="008068E9" w:rsidRPr="00040BCB">
        <w:rPr>
          <w:rFonts w:asciiTheme="minorHAnsi" w:eastAsiaTheme="minorEastAsia" w:hAnsiTheme="minorHAnsi" w:cstheme="minorHAnsi"/>
          <w:i/>
          <w:color w:val="1F4E79" w:themeColor="accent1" w:themeShade="80"/>
          <w:sz w:val="24"/>
          <w:szCs w:val="24"/>
          <w:lang w:val="ro-MD" w:eastAsia="ru-RU"/>
        </w:rPr>
        <w:t xml:space="preserve"> (</w:t>
      </w:r>
      <w:r w:rsidR="007B4D96" w:rsidRPr="00040BCB">
        <w:rPr>
          <w:rFonts w:asciiTheme="minorHAnsi" w:eastAsiaTheme="minorEastAsia" w:hAnsiTheme="minorHAnsi" w:cstheme="minorHAnsi"/>
          <w:i/>
          <w:color w:val="1F4E79" w:themeColor="accent1" w:themeShade="80"/>
          <w:sz w:val="24"/>
          <w:szCs w:val="24"/>
          <w:lang w:val="ro-MD" w:eastAsia="ru-RU"/>
        </w:rPr>
        <w:t>C</w:t>
      </w:r>
      <w:r w:rsidR="008068E9" w:rsidRPr="00040BCB">
        <w:rPr>
          <w:rFonts w:asciiTheme="minorHAnsi" w:eastAsiaTheme="minorEastAsia" w:hAnsiTheme="minorHAnsi" w:cstheme="minorHAnsi"/>
          <w:i/>
          <w:color w:val="1F4E79" w:themeColor="accent1" w:themeShade="80"/>
          <w:sz w:val="24"/>
          <w:szCs w:val="24"/>
          <w:lang w:val="ro-MD" w:eastAsia="ru-RU"/>
        </w:rPr>
        <w:t>odul facilității- CFIV001</w:t>
      </w:r>
      <w:r w:rsidR="008068E9" w:rsidRPr="00040BCB">
        <w:rPr>
          <w:rFonts w:asciiTheme="minorHAnsi" w:hAnsiTheme="minorHAnsi" w:cstheme="minorHAnsi"/>
          <w:i/>
          <w:color w:val="1F4E79" w:themeColor="accent1" w:themeShade="80"/>
          <w:sz w:val="24"/>
          <w:szCs w:val="24"/>
          <w:lang w:val="ro-MD"/>
        </w:rPr>
        <w:t>)</w:t>
      </w:r>
    </w:p>
    <w:p w:rsidR="00816BA8" w:rsidRPr="003B791A" w:rsidRDefault="00B13224" w:rsidP="00816BA8">
      <w:pPr>
        <w:tabs>
          <w:tab w:val="left" w:pos="948"/>
        </w:tabs>
        <w:spacing w:line="240" w:lineRule="auto"/>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t>Conform art.</w:t>
      </w:r>
      <w:r w:rsidR="00157279" w:rsidRPr="00CB5F81">
        <w:rPr>
          <w:rFonts w:asciiTheme="majorHAnsi" w:eastAsiaTheme="minorEastAsia" w:hAnsiTheme="majorHAnsi" w:cstheme="majorHAnsi"/>
          <w:sz w:val="24"/>
          <w:szCs w:val="24"/>
          <w:lang w:eastAsia="ru-RU"/>
        </w:rPr>
        <w:t>15 lit.</w:t>
      </w:r>
      <w:r w:rsidR="00002CB4">
        <w:rPr>
          <w:rFonts w:asciiTheme="majorHAnsi" w:eastAsiaTheme="minorEastAsia" w:hAnsiTheme="majorHAnsi" w:cstheme="majorHAnsi"/>
          <w:sz w:val="24"/>
          <w:szCs w:val="24"/>
          <w:lang w:eastAsia="ru-RU"/>
        </w:rPr>
        <w:t xml:space="preserve"> </w:t>
      </w:r>
      <w:r w:rsidR="00157279" w:rsidRPr="00CB5F81">
        <w:rPr>
          <w:rFonts w:asciiTheme="majorHAnsi" w:eastAsiaTheme="minorEastAsia" w:hAnsiTheme="majorHAnsi" w:cstheme="majorHAnsi"/>
          <w:sz w:val="24"/>
          <w:szCs w:val="24"/>
          <w:lang w:eastAsia="ru-RU"/>
        </w:rPr>
        <w:t xml:space="preserve">c) din Codul fiscal, pentru gospodăriile țărănești (de </w:t>
      </w:r>
      <w:r w:rsidR="00157279" w:rsidRPr="00B927A3">
        <w:rPr>
          <w:rFonts w:asciiTheme="majorHAnsi" w:eastAsiaTheme="minorEastAsia" w:hAnsiTheme="majorHAnsi" w:cstheme="majorHAnsi"/>
          <w:sz w:val="24"/>
          <w:szCs w:val="24"/>
          <w:lang w:eastAsia="ru-RU"/>
        </w:rPr>
        <w:t>fermier) impozitul</w:t>
      </w:r>
      <w:r w:rsidR="00157279" w:rsidRPr="00CB5F81">
        <w:rPr>
          <w:rFonts w:asciiTheme="majorHAnsi" w:eastAsiaTheme="minorEastAsia" w:hAnsiTheme="majorHAnsi" w:cstheme="majorHAnsi"/>
          <w:sz w:val="24"/>
          <w:szCs w:val="24"/>
          <w:lang w:eastAsia="ru-RU"/>
        </w:rPr>
        <w:t xml:space="preserve"> pe venit este stabilit</w:t>
      </w:r>
      <w:r w:rsidR="00EC1EAF">
        <w:rPr>
          <w:rFonts w:asciiTheme="majorHAnsi" w:eastAsiaTheme="minorEastAsia" w:hAnsiTheme="majorHAnsi" w:cstheme="majorHAnsi"/>
          <w:sz w:val="24"/>
          <w:szCs w:val="24"/>
          <w:lang w:eastAsia="ru-RU"/>
        </w:rPr>
        <w:t xml:space="preserve"> </w:t>
      </w:r>
      <w:r w:rsidR="00157279" w:rsidRPr="00CB5F81">
        <w:rPr>
          <w:rFonts w:asciiTheme="majorHAnsi" w:eastAsiaTheme="minorEastAsia" w:hAnsiTheme="majorHAnsi" w:cstheme="majorHAnsi"/>
          <w:sz w:val="24"/>
          <w:szCs w:val="24"/>
          <w:lang w:eastAsia="ru-RU"/>
        </w:rPr>
        <w:t>în mărime de 7% din venitul impozabil, sau cu 5% mai puțin decât cota standard. Cu toate că</w:t>
      </w:r>
      <w:r w:rsidR="000C0DF5">
        <w:rPr>
          <w:rFonts w:asciiTheme="majorHAnsi" w:eastAsiaTheme="minorEastAsia" w:hAnsiTheme="majorHAnsi" w:cstheme="majorHAnsi"/>
          <w:sz w:val="24"/>
          <w:szCs w:val="24"/>
          <w:lang w:eastAsia="ru-RU"/>
        </w:rPr>
        <w:t>,</w:t>
      </w:r>
      <w:r w:rsidR="00157279" w:rsidRPr="00CB5F81">
        <w:rPr>
          <w:rFonts w:asciiTheme="majorHAnsi" w:eastAsiaTheme="minorEastAsia" w:hAnsiTheme="majorHAnsi" w:cstheme="majorHAnsi"/>
          <w:sz w:val="24"/>
          <w:szCs w:val="24"/>
          <w:lang w:eastAsia="ru-RU"/>
        </w:rPr>
        <w:t xml:space="preserve"> în aceste condiții, suma facil</w:t>
      </w:r>
      <w:r w:rsidR="00816BA8" w:rsidRPr="00CB5F81">
        <w:rPr>
          <w:rFonts w:asciiTheme="majorHAnsi" w:eastAsiaTheme="minorEastAsia" w:hAnsiTheme="majorHAnsi" w:cstheme="majorHAnsi"/>
          <w:sz w:val="24"/>
          <w:szCs w:val="24"/>
          <w:lang w:eastAsia="ru-RU"/>
        </w:rPr>
        <w:t>ităților acordate gospodăriilor țărănești</w:t>
      </w:r>
      <w:r w:rsidR="00EC1EAF">
        <w:rPr>
          <w:rFonts w:asciiTheme="majorHAnsi" w:eastAsiaTheme="minorEastAsia" w:hAnsiTheme="majorHAnsi" w:cstheme="majorHAnsi"/>
          <w:sz w:val="24"/>
          <w:szCs w:val="24"/>
          <w:lang w:eastAsia="ru-RU"/>
        </w:rPr>
        <w:t xml:space="preserve"> </w:t>
      </w:r>
      <w:r w:rsidR="00157279" w:rsidRPr="00CB5F81">
        <w:rPr>
          <w:rFonts w:asciiTheme="majorHAnsi" w:eastAsiaTheme="minorEastAsia" w:hAnsiTheme="majorHAnsi" w:cstheme="majorHAnsi"/>
          <w:sz w:val="24"/>
          <w:szCs w:val="24"/>
          <w:lang w:eastAsia="ru-RU"/>
        </w:rPr>
        <w:t xml:space="preserve">se consideră </w:t>
      </w:r>
      <w:r w:rsidR="00030F9C">
        <w:rPr>
          <w:rFonts w:asciiTheme="majorHAnsi" w:eastAsiaTheme="minorEastAsia" w:hAnsiTheme="majorHAnsi" w:cstheme="majorHAnsi"/>
          <w:sz w:val="24"/>
          <w:szCs w:val="24"/>
          <w:lang w:eastAsia="ru-RU"/>
        </w:rPr>
        <w:t xml:space="preserve"> </w:t>
      </w:r>
      <w:r w:rsidR="00157279" w:rsidRPr="00CB5F81">
        <w:rPr>
          <w:rFonts w:asciiTheme="majorHAnsi" w:eastAsiaTheme="minorEastAsia" w:hAnsiTheme="majorHAnsi" w:cstheme="majorHAnsi"/>
          <w:sz w:val="24"/>
          <w:szCs w:val="24"/>
          <w:lang w:eastAsia="ru-RU"/>
        </w:rPr>
        <w:t>5 % din venitul impozabil, în Registrul facilităților</w:t>
      </w:r>
      <w:r w:rsidR="000C0DF5">
        <w:rPr>
          <w:rFonts w:asciiTheme="majorHAnsi" w:eastAsiaTheme="minorEastAsia" w:hAnsiTheme="majorHAnsi" w:cstheme="majorHAnsi"/>
          <w:sz w:val="24"/>
          <w:szCs w:val="24"/>
          <w:lang w:eastAsia="ru-RU"/>
        </w:rPr>
        <w:t>,</w:t>
      </w:r>
      <w:r w:rsidR="00157279" w:rsidRPr="00CB5F81">
        <w:rPr>
          <w:rFonts w:asciiTheme="majorHAnsi" w:eastAsiaTheme="minorEastAsia" w:hAnsiTheme="majorHAnsi" w:cstheme="majorHAnsi"/>
          <w:sz w:val="24"/>
          <w:szCs w:val="24"/>
          <w:lang w:eastAsia="ru-RU"/>
        </w:rPr>
        <w:t xml:space="preserve"> la codul CFIV001</w:t>
      </w:r>
      <w:r w:rsidR="00D71FB6" w:rsidRPr="00CB5F81">
        <w:rPr>
          <w:rFonts w:asciiTheme="majorHAnsi" w:eastAsiaTheme="minorEastAsia" w:hAnsiTheme="majorHAnsi" w:cstheme="majorHAnsi"/>
          <w:sz w:val="24"/>
          <w:szCs w:val="24"/>
          <w:lang w:eastAsia="ru-RU"/>
        </w:rPr>
        <w:t>,</w:t>
      </w:r>
      <w:r w:rsidR="00816BA8" w:rsidRPr="00CB5F81">
        <w:rPr>
          <w:rFonts w:asciiTheme="majorHAnsi" w:eastAsiaTheme="minorEastAsia" w:hAnsiTheme="majorHAnsi" w:cstheme="majorHAnsi"/>
          <w:sz w:val="24"/>
          <w:szCs w:val="24"/>
          <w:lang w:eastAsia="ru-RU"/>
        </w:rPr>
        <w:t xml:space="preserve"> ace</w:t>
      </w:r>
      <w:r w:rsidR="00D71FB6" w:rsidRPr="00CB5F81">
        <w:rPr>
          <w:rFonts w:asciiTheme="majorHAnsi" w:eastAsiaTheme="minorEastAsia" w:hAnsiTheme="majorHAnsi" w:cstheme="majorHAnsi"/>
          <w:sz w:val="24"/>
          <w:szCs w:val="24"/>
          <w:lang w:eastAsia="ru-RU"/>
        </w:rPr>
        <w:t>a</w:t>
      </w:r>
      <w:r w:rsidR="00816BA8" w:rsidRPr="00CB5F81">
        <w:rPr>
          <w:rFonts w:asciiTheme="majorHAnsi" w:eastAsiaTheme="minorEastAsia" w:hAnsiTheme="majorHAnsi" w:cstheme="majorHAnsi"/>
          <w:sz w:val="24"/>
          <w:szCs w:val="24"/>
          <w:lang w:eastAsia="ru-RU"/>
        </w:rPr>
        <w:t xml:space="preserve">stă </w:t>
      </w:r>
      <w:r w:rsidR="00157279" w:rsidRPr="00CB5F81">
        <w:rPr>
          <w:rFonts w:asciiTheme="majorHAnsi" w:eastAsiaTheme="minorEastAsia" w:hAnsiTheme="majorHAnsi" w:cstheme="majorHAnsi"/>
          <w:sz w:val="24"/>
          <w:szCs w:val="24"/>
          <w:lang w:eastAsia="ru-RU"/>
        </w:rPr>
        <w:t>facilitate</w:t>
      </w:r>
      <w:r w:rsidR="00EC1EAF">
        <w:rPr>
          <w:rFonts w:asciiTheme="majorHAnsi" w:eastAsiaTheme="minorEastAsia" w:hAnsiTheme="majorHAnsi" w:cstheme="majorHAnsi"/>
          <w:sz w:val="24"/>
          <w:szCs w:val="24"/>
          <w:lang w:eastAsia="ru-RU"/>
        </w:rPr>
        <w:t xml:space="preserve"> </w:t>
      </w:r>
      <w:r w:rsidR="00157279" w:rsidRPr="00CB5F81">
        <w:rPr>
          <w:rFonts w:asciiTheme="majorHAnsi" w:eastAsiaTheme="minorEastAsia" w:hAnsiTheme="majorHAnsi" w:cstheme="majorHAnsi"/>
          <w:sz w:val="24"/>
          <w:szCs w:val="24"/>
          <w:lang w:eastAsia="ru-RU"/>
        </w:rPr>
        <w:t>este indicată</w:t>
      </w:r>
      <w:r w:rsidR="00EC1EAF">
        <w:rPr>
          <w:rFonts w:asciiTheme="majorHAnsi" w:hAnsiTheme="majorHAnsi" w:cstheme="majorHAnsi"/>
          <w:sz w:val="24"/>
          <w:szCs w:val="24"/>
        </w:rPr>
        <w:t xml:space="preserve"> </w:t>
      </w:r>
      <w:r w:rsidR="00157279" w:rsidRPr="00CB5F81">
        <w:rPr>
          <w:rFonts w:asciiTheme="majorHAnsi" w:hAnsiTheme="majorHAnsi" w:cstheme="majorHAnsi"/>
          <w:sz w:val="24"/>
          <w:szCs w:val="24"/>
        </w:rPr>
        <w:t xml:space="preserve">ca </w:t>
      </w:r>
      <w:r w:rsidR="000C0DF5">
        <w:rPr>
          <w:rFonts w:asciiTheme="majorHAnsi" w:hAnsiTheme="majorHAnsi" w:cstheme="majorHAnsi"/>
          <w:sz w:val="24"/>
          <w:szCs w:val="24"/>
        </w:rPr>
        <w:t>„</w:t>
      </w:r>
      <w:r w:rsidR="00157279" w:rsidRPr="00CB5F81">
        <w:rPr>
          <w:rFonts w:asciiTheme="majorHAnsi" w:eastAsiaTheme="minorEastAsia" w:hAnsiTheme="majorHAnsi" w:cstheme="majorHAnsi"/>
          <w:sz w:val="24"/>
          <w:szCs w:val="24"/>
          <w:lang w:eastAsia="ru-RU"/>
        </w:rPr>
        <w:t xml:space="preserve">Suma totală a impozitului pe venit se determină pentru gospodăriile </w:t>
      </w:r>
      <w:r w:rsidR="00816BA8" w:rsidRPr="00CB5F81">
        <w:rPr>
          <w:rFonts w:asciiTheme="majorHAnsi" w:eastAsiaTheme="minorEastAsia" w:hAnsiTheme="majorHAnsi" w:cstheme="majorHAnsi"/>
          <w:sz w:val="24"/>
          <w:szCs w:val="24"/>
          <w:lang w:eastAsia="ru-RU"/>
        </w:rPr>
        <w:t>țărănești</w:t>
      </w:r>
      <w:r w:rsidR="00157279" w:rsidRPr="00CB5F81">
        <w:rPr>
          <w:rFonts w:asciiTheme="majorHAnsi" w:eastAsiaTheme="minorEastAsia" w:hAnsiTheme="majorHAnsi" w:cstheme="majorHAnsi"/>
          <w:sz w:val="24"/>
          <w:szCs w:val="24"/>
          <w:lang w:eastAsia="ru-RU"/>
        </w:rPr>
        <w:t xml:space="preserve"> (de fermier) în mărime de 7% din venitul impozabil</w:t>
      </w:r>
      <w:r w:rsidR="00816BA8" w:rsidRPr="00CB5F81">
        <w:rPr>
          <w:rFonts w:asciiTheme="majorHAnsi" w:eastAsiaTheme="minorEastAsia" w:hAnsiTheme="majorHAnsi" w:cstheme="majorHAnsi"/>
          <w:sz w:val="24"/>
          <w:szCs w:val="24"/>
          <w:lang w:eastAsia="ru-RU"/>
        </w:rPr>
        <w:t xml:space="preserve">”. </w:t>
      </w:r>
      <w:r w:rsidR="00D71FB6" w:rsidRPr="00CB5F81">
        <w:rPr>
          <w:rFonts w:asciiTheme="majorHAnsi" w:eastAsiaTheme="minorEastAsia" w:hAnsiTheme="majorHAnsi" w:cstheme="majorHAnsi"/>
          <w:sz w:val="24"/>
          <w:szCs w:val="24"/>
          <w:lang w:eastAsia="ru-RU"/>
        </w:rPr>
        <w:t>Astfel,</w:t>
      </w:r>
      <w:r w:rsidR="00EC1EAF">
        <w:rPr>
          <w:rFonts w:asciiTheme="majorHAnsi" w:eastAsiaTheme="minorEastAsia" w:hAnsiTheme="majorHAnsi" w:cstheme="majorHAnsi"/>
          <w:sz w:val="24"/>
          <w:szCs w:val="24"/>
          <w:lang w:eastAsia="ru-RU"/>
        </w:rPr>
        <w:t xml:space="preserve"> </w:t>
      </w:r>
      <w:r w:rsidR="00816BA8" w:rsidRPr="00CB5F81">
        <w:rPr>
          <w:rFonts w:asciiTheme="majorHAnsi" w:eastAsiaTheme="minorEastAsia" w:hAnsiTheme="majorHAnsi" w:cstheme="majorHAnsi"/>
          <w:sz w:val="24"/>
          <w:szCs w:val="24"/>
          <w:lang w:eastAsia="ru-RU"/>
        </w:rPr>
        <w:t>în Registru</w:t>
      </w:r>
      <w:r w:rsidR="00EC1EAF">
        <w:rPr>
          <w:rFonts w:asciiTheme="majorHAnsi" w:eastAsiaTheme="minorEastAsia" w:hAnsiTheme="majorHAnsi" w:cstheme="majorHAnsi"/>
          <w:sz w:val="24"/>
          <w:szCs w:val="24"/>
          <w:lang w:eastAsia="ru-RU"/>
        </w:rPr>
        <w:t xml:space="preserve"> </w:t>
      </w:r>
      <w:r w:rsidR="00D71FB6" w:rsidRPr="00CB5F81">
        <w:rPr>
          <w:rFonts w:asciiTheme="majorHAnsi" w:eastAsiaTheme="minorEastAsia" w:hAnsiTheme="majorHAnsi" w:cstheme="majorHAnsi"/>
          <w:sz w:val="24"/>
          <w:szCs w:val="24"/>
          <w:lang w:eastAsia="ru-RU"/>
        </w:rPr>
        <w:t xml:space="preserve">a fost transpusă </w:t>
      </w:r>
      <w:r w:rsidR="00816BA8" w:rsidRPr="00CB5F81">
        <w:rPr>
          <w:rFonts w:asciiTheme="majorHAnsi" w:eastAsiaTheme="minorEastAsia" w:hAnsiTheme="majorHAnsi" w:cstheme="majorHAnsi"/>
          <w:sz w:val="24"/>
          <w:szCs w:val="24"/>
          <w:lang w:eastAsia="ru-RU"/>
        </w:rPr>
        <w:t xml:space="preserve">norma din Codul fiscal, </w:t>
      </w:r>
      <w:r w:rsidR="00D71FB6" w:rsidRPr="00CB5F81">
        <w:rPr>
          <w:rFonts w:asciiTheme="majorHAnsi" w:eastAsiaTheme="minorEastAsia" w:hAnsiTheme="majorHAnsi" w:cstheme="majorHAnsi"/>
          <w:sz w:val="24"/>
          <w:szCs w:val="24"/>
          <w:lang w:eastAsia="ru-RU"/>
        </w:rPr>
        <w:t xml:space="preserve">fără a fi </w:t>
      </w:r>
      <w:r w:rsidR="00816BA8" w:rsidRPr="00CB5F81">
        <w:rPr>
          <w:rFonts w:asciiTheme="majorHAnsi" w:eastAsiaTheme="minorEastAsia" w:hAnsiTheme="majorHAnsi" w:cstheme="majorHAnsi"/>
          <w:sz w:val="24"/>
          <w:szCs w:val="24"/>
          <w:lang w:eastAsia="ru-RU"/>
        </w:rPr>
        <w:t xml:space="preserve">analizată și indicată </w:t>
      </w:r>
      <w:r w:rsidR="008C63B6" w:rsidRPr="00CB5F81">
        <w:rPr>
          <w:rFonts w:asciiTheme="majorHAnsi" w:eastAsiaTheme="minorEastAsia" w:hAnsiTheme="majorHAnsi" w:cstheme="majorHAnsi"/>
          <w:sz w:val="24"/>
          <w:szCs w:val="24"/>
          <w:lang w:eastAsia="ru-RU"/>
        </w:rPr>
        <w:t xml:space="preserve">facilitatea acordată acestei categorii de beneficiari, </w:t>
      </w:r>
      <w:r w:rsidR="00816BA8" w:rsidRPr="00CB5F81">
        <w:rPr>
          <w:rFonts w:asciiTheme="majorHAnsi" w:eastAsiaTheme="minorEastAsia" w:hAnsiTheme="majorHAnsi" w:cstheme="majorHAnsi"/>
          <w:sz w:val="24"/>
          <w:szCs w:val="24"/>
          <w:lang w:eastAsia="ru-RU"/>
        </w:rPr>
        <w:t>prin prisma noțiunii d</w:t>
      </w:r>
      <w:r w:rsidR="00816BA8" w:rsidRPr="003B791A">
        <w:rPr>
          <w:rFonts w:asciiTheme="majorHAnsi" w:eastAsiaTheme="minorEastAsia" w:hAnsiTheme="majorHAnsi" w:cstheme="majorHAnsi"/>
          <w:sz w:val="24"/>
          <w:szCs w:val="24"/>
          <w:lang w:eastAsia="ru-RU"/>
        </w:rPr>
        <w:t>e facilitate statuată în Codul fiscal.</w:t>
      </w:r>
      <w:r w:rsidR="00EC1EAF" w:rsidRPr="003B791A">
        <w:rPr>
          <w:rFonts w:asciiTheme="majorHAnsi" w:eastAsiaTheme="minorEastAsia" w:hAnsiTheme="majorHAnsi" w:cstheme="majorHAnsi"/>
          <w:sz w:val="24"/>
          <w:szCs w:val="24"/>
          <w:lang w:eastAsia="ru-RU"/>
        </w:rPr>
        <w:t xml:space="preserve"> </w:t>
      </w:r>
    </w:p>
    <w:p w:rsidR="00C12882" w:rsidRPr="00CB5F81" w:rsidRDefault="00816BA8" w:rsidP="00DA4A57">
      <w:pPr>
        <w:tabs>
          <w:tab w:val="left" w:pos="948"/>
        </w:tabs>
        <w:spacing w:line="240" w:lineRule="auto"/>
        <w:jc w:val="both"/>
        <w:rPr>
          <w:rFonts w:asciiTheme="majorHAnsi" w:eastAsiaTheme="minorEastAsia" w:hAnsiTheme="majorHAnsi" w:cstheme="majorHAnsi"/>
          <w:sz w:val="24"/>
          <w:szCs w:val="24"/>
          <w:lang w:eastAsia="ru-RU"/>
        </w:rPr>
      </w:pPr>
      <w:r w:rsidRPr="003B791A">
        <w:rPr>
          <w:rFonts w:asciiTheme="majorHAnsi" w:eastAsiaTheme="minorEastAsia" w:hAnsiTheme="majorHAnsi" w:cstheme="majorHAnsi"/>
          <w:sz w:val="24"/>
          <w:szCs w:val="24"/>
          <w:lang w:eastAsia="ru-RU"/>
        </w:rPr>
        <w:t>Testele de audit as</w:t>
      </w:r>
      <w:r w:rsidR="00030F9C" w:rsidRPr="003B791A">
        <w:rPr>
          <w:rFonts w:asciiTheme="majorHAnsi" w:eastAsiaTheme="minorEastAsia" w:hAnsiTheme="majorHAnsi" w:cstheme="majorHAnsi"/>
          <w:sz w:val="24"/>
          <w:szCs w:val="24"/>
          <w:lang w:eastAsia="ru-RU"/>
        </w:rPr>
        <w:t>u</w:t>
      </w:r>
      <w:r w:rsidRPr="003B791A">
        <w:rPr>
          <w:rFonts w:asciiTheme="majorHAnsi" w:eastAsiaTheme="minorEastAsia" w:hAnsiTheme="majorHAnsi" w:cstheme="majorHAnsi"/>
          <w:sz w:val="24"/>
          <w:szCs w:val="24"/>
          <w:lang w:eastAsia="ru-RU"/>
        </w:rPr>
        <w:t>pra</w:t>
      </w:r>
      <w:r w:rsidRPr="00CB5F81">
        <w:rPr>
          <w:rFonts w:asciiTheme="majorHAnsi" w:eastAsiaTheme="minorEastAsia" w:hAnsiTheme="majorHAnsi" w:cstheme="majorHAnsi"/>
          <w:sz w:val="24"/>
          <w:szCs w:val="24"/>
          <w:lang w:eastAsia="ru-RU"/>
        </w:rPr>
        <w:t xml:space="preserve"> datelor raportate de SFS au relevat că suma raportată de SFS în </w:t>
      </w:r>
      <w:r w:rsidR="000C0DF5">
        <w:rPr>
          <w:rFonts w:asciiTheme="majorHAnsi" w:eastAsiaTheme="minorEastAsia" w:hAnsiTheme="majorHAnsi" w:cstheme="majorHAnsi"/>
          <w:sz w:val="24"/>
          <w:szCs w:val="24"/>
          <w:lang w:eastAsia="ru-RU"/>
        </w:rPr>
        <w:t xml:space="preserve">mărime </w:t>
      </w:r>
      <w:r w:rsidRPr="00CB5F81">
        <w:rPr>
          <w:rFonts w:asciiTheme="majorHAnsi" w:eastAsiaTheme="minorEastAsia" w:hAnsiTheme="majorHAnsi" w:cstheme="majorHAnsi"/>
          <w:sz w:val="24"/>
          <w:szCs w:val="24"/>
          <w:lang w:eastAsia="ru-RU"/>
        </w:rPr>
        <w:t xml:space="preserve"> de </w:t>
      </w:r>
      <w:r w:rsidR="004E2762" w:rsidRPr="00CB5F81">
        <w:rPr>
          <w:rFonts w:asciiTheme="majorHAnsi" w:eastAsiaTheme="minorEastAsia" w:hAnsiTheme="majorHAnsi" w:cstheme="majorHAnsi"/>
          <w:sz w:val="24"/>
          <w:szCs w:val="24"/>
          <w:lang w:eastAsia="ru-RU"/>
        </w:rPr>
        <w:t>36</w:t>
      </w:r>
      <w:r w:rsidR="00430F29" w:rsidRPr="00CB5F81">
        <w:rPr>
          <w:rFonts w:asciiTheme="majorHAnsi" w:eastAsiaTheme="minorEastAsia" w:hAnsiTheme="majorHAnsi" w:cstheme="majorHAnsi"/>
          <w:sz w:val="24"/>
          <w:szCs w:val="24"/>
          <w:lang w:eastAsia="ru-RU"/>
        </w:rPr>
        <w:t>3</w:t>
      </w:r>
      <w:r w:rsidR="004E2762" w:rsidRPr="00CB5F81">
        <w:rPr>
          <w:rFonts w:asciiTheme="majorHAnsi" w:eastAsiaTheme="minorEastAsia" w:hAnsiTheme="majorHAnsi" w:cstheme="majorHAnsi"/>
          <w:sz w:val="24"/>
          <w:szCs w:val="24"/>
          <w:lang w:eastAsia="ru-RU"/>
        </w:rPr>
        <w:t>,</w:t>
      </w:r>
      <w:r w:rsidR="00430F29" w:rsidRPr="00CB5F81">
        <w:rPr>
          <w:rFonts w:asciiTheme="majorHAnsi" w:eastAsiaTheme="minorEastAsia" w:hAnsiTheme="majorHAnsi" w:cstheme="majorHAnsi"/>
          <w:sz w:val="24"/>
          <w:szCs w:val="24"/>
          <w:lang w:eastAsia="ru-RU"/>
        </w:rPr>
        <w:t xml:space="preserve">8 </w:t>
      </w:r>
      <w:r w:rsidR="004E2762" w:rsidRPr="00CB5F81">
        <w:rPr>
          <w:rFonts w:asciiTheme="majorHAnsi" w:eastAsiaTheme="minorEastAsia" w:hAnsiTheme="majorHAnsi" w:cstheme="majorHAnsi"/>
          <w:sz w:val="24"/>
          <w:szCs w:val="24"/>
          <w:lang w:eastAsia="ru-RU"/>
        </w:rPr>
        <w:t>mil</w:t>
      </w:r>
      <w:r w:rsidR="00430F29" w:rsidRPr="00CB5F81">
        <w:rPr>
          <w:rFonts w:asciiTheme="majorHAnsi" w:eastAsiaTheme="minorEastAsia" w:hAnsiTheme="majorHAnsi" w:cstheme="majorHAnsi"/>
          <w:sz w:val="24"/>
          <w:szCs w:val="24"/>
          <w:lang w:eastAsia="ru-RU"/>
        </w:rPr>
        <w:t>.</w:t>
      </w:r>
      <w:r w:rsidR="004E2762" w:rsidRPr="00CB5F81">
        <w:rPr>
          <w:rFonts w:asciiTheme="majorHAnsi" w:eastAsiaTheme="minorEastAsia" w:hAnsiTheme="majorHAnsi" w:cstheme="majorHAnsi"/>
          <w:sz w:val="24"/>
          <w:szCs w:val="24"/>
          <w:lang w:eastAsia="ru-RU"/>
        </w:rPr>
        <w:t>lei</w:t>
      </w:r>
      <w:r w:rsidR="00430F29" w:rsidRPr="00CB5F81">
        <w:rPr>
          <w:rStyle w:val="FootnoteReference"/>
          <w:rFonts w:asciiTheme="majorHAnsi" w:eastAsiaTheme="minorEastAsia" w:hAnsiTheme="majorHAnsi" w:cstheme="majorHAnsi"/>
          <w:sz w:val="24"/>
          <w:szCs w:val="24"/>
          <w:lang w:eastAsia="ru-RU"/>
        </w:rPr>
        <w:footnoteReference w:id="22"/>
      </w:r>
      <w:r w:rsidR="004E2762" w:rsidRPr="00CB5F81">
        <w:rPr>
          <w:rFonts w:asciiTheme="majorHAnsi" w:eastAsiaTheme="minorEastAsia" w:hAnsiTheme="majorHAnsi" w:cstheme="majorHAnsi"/>
          <w:sz w:val="24"/>
          <w:szCs w:val="24"/>
          <w:lang w:eastAsia="ru-RU"/>
        </w:rPr>
        <w:t xml:space="preserve"> este eronată. Astfel, SFS a agregat și</w:t>
      </w:r>
      <w:r w:rsidR="00D71FB6" w:rsidRPr="00CB5F81">
        <w:rPr>
          <w:rFonts w:asciiTheme="majorHAnsi" w:eastAsiaTheme="minorEastAsia" w:hAnsiTheme="majorHAnsi" w:cstheme="majorHAnsi"/>
          <w:sz w:val="24"/>
          <w:szCs w:val="24"/>
          <w:lang w:eastAsia="ru-RU"/>
        </w:rPr>
        <w:t xml:space="preserve"> a</w:t>
      </w:r>
      <w:r w:rsidR="004E2762" w:rsidRPr="00CB5F81">
        <w:rPr>
          <w:rFonts w:asciiTheme="majorHAnsi" w:eastAsiaTheme="minorEastAsia" w:hAnsiTheme="majorHAnsi" w:cstheme="majorHAnsi"/>
          <w:sz w:val="24"/>
          <w:szCs w:val="24"/>
          <w:lang w:eastAsia="ru-RU"/>
        </w:rPr>
        <w:t xml:space="preserve"> indicat ca facilitate suma totală a venitului impozabil </w:t>
      </w:r>
      <w:r w:rsidR="00E818C4" w:rsidRPr="00CB5F81">
        <w:rPr>
          <w:rFonts w:asciiTheme="majorHAnsi" w:eastAsiaTheme="minorEastAsia" w:hAnsiTheme="majorHAnsi" w:cstheme="majorHAnsi"/>
          <w:sz w:val="24"/>
          <w:szCs w:val="24"/>
          <w:lang w:eastAsia="ru-RU"/>
        </w:rPr>
        <w:t>nominalizat</w:t>
      </w:r>
      <w:r w:rsidR="004E2762" w:rsidRPr="00CB5F81">
        <w:rPr>
          <w:rFonts w:asciiTheme="majorHAnsi" w:eastAsiaTheme="minorEastAsia" w:hAnsiTheme="majorHAnsi" w:cstheme="majorHAnsi"/>
          <w:sz w:val="24"/>
          <w:szCs w:val="24"/>
          <w:lang w:eastAsia="ru-RU"/>
        </w:rPr>
        <w:t xml:space="preserve"> în Declarația cu privire la impozitul pe venit ( rândul 090 din </w:t>
      </w:r>
      <w:r w:rsidR="005E3BE8">
        <w:rPr>
          <w:rFonts w:asciiTheme="majorHAnsi" w:eastAsiaTheme="minorEastAsia" w:hAnsiTheme="majorHAnsi" w:cstheme="majorHAnsi"/>
          <w:sz w:val="24"/>
          <w:szCs w:val="24"/>
          <w:lang w:eastAsia="ru-RU"/>
        </w:rPr>
        <w:t>F</w:t>
      </w:r>
      <w:r w:rsidR="004E2762" w:rsidRPr="005E3BE8">
        <w:rPr>
          <w:rFonts w:asciiTheme="majorHAnsi" w:eastAsiaTheme="minorEastAsia" w:hAnsiTheme="majorHAnsi" w:cstheme="majorHAnsi"/>
          <w:sz w:val="24"/>
          <w:szCs w:val="24"/>
          <w:lang w:eastAsia="ru-RU"/>
        </w:rPr>
        <w:t>ormularul VEN</w:t>
      </w:r>
      <w:r w:rsidR="004E2762" w:rsidRPr="00CB5F81">
        <w:rPr>
          <w:rFonts w:asciiTheme="majorHAnsi" w:eastAsiaTheme="minorEastAsia" w:hAnsiTheme="majorHAnsi" w:cstheme="majorHAnsi"/>
          <w:sz w:val="24"/>
          <w:szCs w:val="24"/>
          <w:lang w:eastAsia="ru-RU"/>
        </w:rPr>
        <w:t xml:space="preserve"> 12). Concomitent,</w:t>
      </w:r>
      <w:r w:rsidR="00EC1EAF">
        <w:rPr>
          <w:rFonts w:asciiTheme="majorHAnsi" w:eastAsiaTheme="minorEastAsia" w:hAnsiTheme="majorHAnsi" w:cstheme="majorHAnsi"/>
          <w:sz w:val="24"/>
          <w:szCs w:val="24"/>
          <w:lang w:eastAsia="ru-RU"/>
        </w:rPr>
        <w:t xml:space="preserve"> </w:t>
      </w:r>
      <w:r w:rsidR="000C0DF5">
        <w:rPr>
          <w:rFonts w:asciiTheme="majorHAnsi" w:eastAsiaTheme="minorEastAsia" w:hAnsiTheme="majorHAnsi" w:cstheme="majorHAnsi"/>
          <w:sz w:val="24"/>
          <w:szCs w:val="24"/>
          <w:lang w:eastAsia="ru-RU"/>
        </w:rPr>
        <w:t>potrivit</w:t>
      </w:r>
      <w:r w:rsidR="004E2762" w:rsidRPr="00CB5F81">
        <w:rPr>
          <w:rFonts w:asciiTheme="majorHAnsi" w:eastAsiaTheme="minorEastAsia" w:hAnsiTheme="majorHAnsi" w:cstheme="majorHAnsi"/>
          <w:sz w:val="24"/>
          <w:szCs w:val="24"/>
          <w:lang w:eastAsia="ru-RU"/>
        </w:rPr>
        <w:t xml:space="preserve"> datelor recalculate de audit</w:t>
      </w:r>
      <w:r w:rsidR="000C0DF5">
        <w:rPr>
          <w:rFonts w:asciiTheme="majorHAnsi" w:eastAsiaTheme="minorEastAsia" w:hAnsiTheme="majorHAnsi" w:cstheme="majorHAnsi"/>
          <w:sz w:val="24"/>
          <w:szCs w:val="24"/>
          <w:lang w:eastAsia="ru-RU"/>
        </w:rPr>
        <w:t>,</w:t>
      </w:r>
      <w:r w:rsidR="004E2762" w:rsidRPr="00CB5F81">
        <w:rPr>
          <w:rFonts w:asciiTheme="majorHAnsi" w:eastAsiaTheme="minorEastAsia" w:hAnsiTheme="majorHAnsi" w:cstheme="majorHAnsi"/>
          <w:sz w:val="24"/>
          <w:szCs w:val="24"/>
          <w:lang w:eastAsia="ru-RU"/>
        </w:rPr>
        <w:t xml:space="preserve"> suma totală a impozitului pe venit a constituit</w:t>
      </w:r>
      <w:r w:rsidR="00EC1EAF">
        <w:rPr>
          <w:rFonts w:asciiTheme="majorHAnsi" w:eastAsiaTheme="minorEastAsia" w:hAnsiTheme="majorHAnsi" w:cstheme="majorHAnsi"/>
          <w:sz w:val="24"/>
          <w:szCs w:val="24"/>
          <w:lang w:eastAsia="ru-RU"/>
        </w:rPr>
        <w:t xml:space="preserve"> </w:t>
      </w:r>
      <w:r w:rsidR="004E2762" w:rsidRPr="00CB5F81">
        <w:rPr>
          <w:rFonts w:asciiTheme="majorHAnsi" w:eastAsiaTheme="minorEastAsia" w:hAnsiTheme="majorHAnsi" w:cstheme="majorHAnsi"/>
          <w:sz w:val="24"/>
          <w:szCs w:val="24"/>
          <w:lang w:eastAsia="ru-RU"/>
        </w:rPr>
        <w:t xml:space="preserve">25,7 </w:t>
      </w:r>
      <w:r w:rsidR="00726434" w:rsidRPr="00CB5F81">
        <w:rPr>
          <w:rFonts w:asciiTheme="majorHAnsi" w:eastAsiaTheme="minorEastAsia" w:hAnsiTheme="majorHAnsi" w:cstheme="majorHAnsi"/>
          <w:sz w:val="24"/>
          <w:szCs w:val="24"/>
          <w:lang w:eastAsia="ru-RU"/>
        </w:rPr>
        <w:t>mil.</w:t>
      </w:r>
      <w:r w:rsidR="004E2762" w:rsidRPr="00CB5F81">
        <w:rPr>
          <w:rFonts w:asciiTheme="majorHAnsi" w:eastAsiaTheme="minorEastAsia" w:hAnsiTheme="majorHAnsi" w:cstheme="majorHAnsi"/>
          <w:sz w:val="24"/>
          <w:szCs w:val="24"/>
          <w:lang w:eastAsia="ru-RU"/>
        </w:rPr>
        <w:t>lei (7%), iar</w:t>
      </w:r>
      <w:r w:rsidR="00EC1EAF">
        <w:rPr>
          <w:rFonts w:asciiTheme="majorHAnsi" w:eastAsiaTheme="minorEastAsia" w:hAnsiTheme="majorHAnsi" w:cstheme="majorHAnsi"/>
          <w:sz w:val="24"/>
          <w:szCs w:val="24"/>
          <w:lang w:eastAsia="ru-RU"/>
        </w:rPr>
        <w:t xml:space="preserve"> </w:t>
      </w:r>
      <w:r w:rsidR="004E2762" w:rsidRPr="00CB5F81">
        <w:rPr>
          <w:rFonts w:asciiTheme="majorHAnsi" w:eastAsiaTheme="minorEastAsia" w:hAnsiTheme="majorHAnsi" w:cstheme="majorHAnsi"/>
          <w:sz w:val="24"/>
          <w:szCs w:val="24"/>
          <w:lang w:eastAsia="ru-RU"/>
        </w:rPr>
        <w:t>valoarea facilități</w:t>
      </w:r>
      <w:r w:rsidR="00430F29" w:rsidRPr="00CB5F81">
        <w:rPr>
          <w:rFonts w:asciiTheme="majorHAnsi" w:eastAsiaTheme="minorEastAsia" w:hAnsiTheme="majorHAnsi" w:cstheme="majorHAnsi"/>
          <w:sz w:val="24"/>
          <w:szCs w:val="24"/>
          <w:lang w:eastAsia="ru-RU"/>
        </w:rPr>
        <w:t xml:space="preserve">lor a însumat doar 18,4 </w:t>
      </w:r>
      <w:r w:rsidR="00726434" w:rsidRPr="00CB5F81">
        <w:rPr>
          <w:rFonts w:asciiTheme="majorHAnsi" w:eastAsiaTheme="minorEastAsia" w:hAnsiTheme="majorHAnsi" w:cstheme="majorHAnsi"/>
          <w:sz w:val="24"/>
          <w:szCs w:val="24"/>
          <w:lang w:eastAsia="ru-RU"/>
        </w:rPr>
        <w:t>mil.</w:t>
      </w:r>
      <w:r w:rsidR="00430F29" w:rsidRPr="00CB5F81">
        <w:rPr>
          <w:rFonts w:asciiTheme="majorHAnsi" w:eastAsiaTheme="minorEastAsia" w:hAnsiTheme="majorHAnsi" w:cstheme="majorHAnsi"/>
          <w:sz w:val="24"/>
          <w:szCs w:val="24"/>
          <w:lang w:eastAsia="ru-RU"/>
        </w:rPr>
        <w:t xml:space="preserve">lei, </w:t>
      </w:r>
      <w:r w:rsidR="00430F29" w:rsidRPr="003B791A">
        <w:rPr>
          <w:rFonts w:asciiTheme="majorHAnsi" w:eastAsiaTheme="minorEastAsia" w:hAnsiTheme="majorHAnsi" w:cstheme="majorHAnsi"/>
          <w:sz w:val="24"/>
          <w:szCs w:val="24"/>
          <w:lang w:eastAsia="ru-RU"/>
        </w:rPr>
        <w:t xml:space="preserve">sau </w:t>
      </w:r>
      <w:r w:rsidR="00C73842" w:rsidRPr="003B791A">
        <w:rPr>
          <w:rFonts w:asciiTheme="majorHAnsi" w:eastAsiaTheme="minorEastAsia" w:hAnsiTheme="majorHAnsi" w:cstheme="majorHAnsi"/>
          <w:sz w:val="24"/>
          <w:szCs w:val="24"/>
          <w:lang w:eastAsia="ru-RU"/>
        </w:rPr>
        <w:t>cu</w:t>
      </w:r>
      <w:r w:rsidR="00C73842">
        <w:rPr>
          <w:rFonts w:asciiTheme="majorHAnsi" w:eastAsiaTheme="minorEastAsia" w:hAnsiTheme="majorHAnsi" w:cstheme="majorHAnsi"/>
          <w:sz w:val="24"/>
          <w:szCs w:val="24"/>
          <w:lang w:eastAsia="ru-RU"/>
        </w:rPr>
        <w:t xml:space="preserve"> </w:t>
      </w:r>
      <w:r w:rsidR="00430F29" w:rsidRPr="00CB5F81">
        <w:rPr>
          <w:rFonts w:asciiTheme="majorHAnsi" w:eastAsiaTheme="minorEastAsia" w:hAnsiTheme="majorHAnsi" w:cstheme="majorHAnsi"/>
          <w:sz w:val="24"/>
          <w:szCs w:val="24"/>
          <w:lang w:eastAsia="ru-RU"/>
        </w:rPr>
        <w:t xml:space="preserve">345,4 mil. lei </w:t>
      </w:r>
      <w:r w:rsidR="00E818C4" w:rsidRPr="00CB5F81">
        <w:rPr>
          <w:rFonts w:asciiTheme="majorHAnsi" w:eastAsiaTheme="minorEastAsia" w:hAnsiTheme="majorHAnsi" w:cstheme="majorHAnsi"/>
          <w:sz w:val="24"/>
          <w:szCs w:val="24"/>
          <w:lang w:eastAsia="ru-RU"/>
        </w:rPr>
        <w:t>m</w:t>
      </w:r>
      <w:r w:rsidR="00430F29" w:rsidRPr="00CB5F81">
        <w:rPr>
          <w:rFonts w:asciiTheme="majorHAnsi" w:eastAsiaTheme="minorEastAsia" w:hAnsiTheme="majorHAnsi" w:cstheme="majorHAnsi"/>
          <w:sz w:val="24"/>
          <w:szCs w:val="24"/>
          <w:lang w:eastAsia="ru-RU"/>
        </w:rPr>
        <w:t xml:space="preserve">ai puțin decât valoarea raportată de SFS. </w:t>
      </w:r>
      <w:r w:rsidR="00F36752" w:rsidRPr="00CB5F81">
        <w:rPr>
          <w:rFonts w:asciiTheme="majorHAnsi" w:eastAsiaTheme="minorEastAsia" w:hAnsiTheme="majorHAnsi" w:cstheme="majorHAnsi"/>
          <w:sz w:val="24"/>
          <w:szCs w:val="24"/>
          <w:lang w:eastAsia="ru-RU"/>
        </w:rPr>
        <w:t>S</w:t>
      </w:r>
      <w:r w:rsidR="00430F29" w:rsidRPr="00CB5F81">
        <w:rPr>
          <w:rFonts w:asciiTheme="majorHAnsi" w:eastAsiaTheme="minorEastAsia" w:hAnsiTheme="majorHAnsi" w:cstheme="majorHAnsi"/>
          <w:sz w:val="24"/>
          <w:szCs w:val="24"/>
          <w:lang w:eastAsia="ru-RU"/>
        </w:rPr>
        <w:t xml:space="preserve">e relevă </w:t>
      </w:r>
      <w:r w:rsidR="00F36752" w:rsidRPr="00CB5F81">
        <w:rPr>
          <w:rFonts w:asciiTheme="majorHAnsi" w:eastAsiaTheme="minorEastAsia" w:hAnsiTheme="majorHAnsi" w:cstheme="majorHAnsi"/>
          <w:sz w:val="24"/>
          <w:szCs w:val="24"/>
          <w:lang w:eastAsia="ru-RU"/>
        </w:rPr>
        <w:t xml:space="preserve">și </w:t>
      </w:r>
      <w:r w:rsidR="00430F29" w:rsidRPr="00CB5F81">
        <w:rPr>
          <w:rFonts w:asciiTheme="majorHAnsi" w:eastAsiaTheme="minorEastAsia" w:hAnsiTheme="majorHAnsi" w:cstheme="majorHAnsi"/>
          <w:sz w:val="24"/>
          <w:szCs w:val="24"/>
          <w:lang w:eastAsia="ru-RU"/>
        </w:rPr>
        <w:t>faptul că suma</w:t>
      </w:r>
      <w:r w:rsidR="00F36752" w:rsidRPr="00CB5F81">
        <w:rPr>
          <w:rFonts w:asciiTheme="majorHAnsi" w:eastAsiaTheme="minorEastAsia" w:hAnsiTheme="majorHAnsi" w:cstheme="majorHAnsi"/>
          <w:sz w:val="24"/>
          <w:szCs w:val="24"/>
          <w:lang w:eastAsia="ru-RU"/>
        </w:rPr>
        <w:t xml:space="preserve"> facilităților acordate gospodăriilor țărănești</w:t>
      </w:r>
      <w:r w:rsidR="000C0DF5">
        <w:rPr>
          <w:rFonts w:asciiTheme="majorHAnsi" w:eastAsiaTheme="minorEastAsia" w:hAnsiTheme="majorHAnsi" w:cstheme="majorHAnsi"/>
          <w:sz w:val="24"/>
          <w:szCs w:val="24"/>
          <w:lang w:eastAsia="ru-RU"/>
        </w:rPr>
        <w:t>,</w:t>
      </w:r>
      <w:r w:rsidR="00F36752" w:rsidRPr="00CB5F81">
        <w:rPr>
          <w:rFonts w:asciiTheme="majorHAnsi" w:eastAsiaTheme="minorEastAsia" w:hAnsiTheme="majorHAnsi" w:cstheme="majorHAnsi"/>
          <w:sz w:val="24"/>
          <w:szCs w:val="24"/>
          <w:lang w:eastAsia="ru-RU"/>
        </w:rPr>
        <w:t xml:space="preserve"> raportată de către SFS</w:t>
      </w:r>
      <w:r w:rsidR="000C0DF5">
        <w:rPr>
          <w:rFonts w:asciiTheme="majorHAnsi" w:eastAsiaTheme="minorEastAsia" w:hAnsiTheme="majorHAnsi" w:cstheme="majorHAnsi"/>
          <w:sz w:val="24"/>
          <w:szCs w:val="24"/>
          <w:lang w:eastAsia="ru-RU"/>
        </w:rPr>
        <w:t>, cuprinde</w:t>
      </w:r>
      <w:r w:rsidR="00DA4A57" w:rsidRPr="00CB5F81">
        <w:rPr>
          <w:rFonts w:asciiTheme="majorHAnsi" w:eastAsiaTheme="minorEastAsia" w:hAnsiTheme="majorHAnsi" w:cstheme="majorHAnsi"/>
          <w:sz w:val="24"/>
          <w:szCs w:val="24"/>
          <w:lang w:eastAsia="ru-RU"/>
        </w:rPr>
        <w:t xml:space="preserve"> eronat</w:t>
      </w:r>
      <w:r w:rsidR="00EC1EAF">
        <w:rPr>
          <w:rFonts w:asciiTheme="majorHAnsi" w:eastAsiaTheme="minorEastAsia" w:hAnsiTheme="majorHAnsi" w:cstheme="majorHAnsi"/>
          <w:sz w:val="24"/>
          <w:szCs w:val="24"/>
          <w:lang w:eastAsia="ru-RU"/>
        </w:rPr>
        <w:t xml:space="preserve"> </w:t>
      </w:r>
      <w:r w:rsidR="00F36752" w:rsidRPr="00CB5F81">
        <w:rPr>
          <w:rFonts w:asciiTheme="majorHAnsi" w:eastAsiaTheme="minorEastAsia" w:hAnsiTheme="majorHAnsi" w:cstheme="majorHAnsi"/>
          <w:sz w:val="24"/>
          <w:szCs w:val="24"/>
          <w:lang w:eastAsia="ru-RU"/>
        </w:rPr>
        <w:t xml:space="preserve">și </w:t>
      </w:r>
      <w:r w:rsidR="00DA4A57" w:rsidRPr="00CB5F81">
        <w:rPr>
          <w:rFonts w:asciiTheme="majorHAnsi" w:eastAsiaTheme="minorEastAsia" w:hAnsiTheme="majorHAnsi" w:cstheme="majorHAnsi"/>
          <w:sz w:val="24"/>
          <w:szCs w:val="24"/>
          <w:lang w:eastAsia="ru-RU"/>
        </w:rPr>
        <w:t>cazurile când contribuabilii au suportat p</w:t>
      </w:r>
      <w:r w:rsidR="00F36752" w:rsidRPr="00CB5F81">
        <w:rPr>
          <w:rFonts w:asciiTheme="majorHAnsi" w:eastAsiaTheme="minorEastAsia" w:hAnsiTheme="majorHAnsi" w:cstheme="majorHAnsi"/>
          <w:sz w:val="24"/>
          <w:szCs w:val="24"/>
          <w:lang w:eastAsia="ru-RU"/>
        </w:rPr>
        <w:t>ierderi</w:t>
      </w:r>
      <w:r w:rsidR="00DA4A57" w:rsidRPr="00CB5F81">
        <w:rPr>
          <w:rFonts w:asciiTheme="majorHAnsi" w:eastAsiaTheme="minorEastAsia" w:hAnsiTheme="majorHAnsi" w:cstheme="majorHAnsi"/>
          <w:sz w:val="24"/>
          <w:szCs w:val="24"/>
          <w:lang w:eastAsia="ru-RU"/>
        </w:rPr>
        <w:t xml:space="preserve"> din activitatea economică</w:t>
      </w:r>
      <w:r w:rsidR="00EC1EAF">
        <w:rPr>
          <w:rFonts w:asciiTheme="majorHAnsi" w:eastAsiaTheme="minorEastAsia" w:hAnsiTheme="majorHAnsi" w:cstheme="majorHAnsi"/>
          <w:sz w:val="24"/>
          <w:szCs w:val="24"/>
          <w:lang w:eastAsia="ru-RU"/>
        </w:rPr>
        <w:t xml:space="preserve"> </w:t>
      </w:r>
      <w:r w:rsidR="000C0DF5">
        <w:rPr>
          <w:rFonts w:asciiTheme="majorHAnsi" w:eastAsiaTheme="minorEastAsia" w:hAnsiTheme="majorHAnsi" w:cstheme="majorHAnsi"/>
          <w:sz w:val="24"/>
          <w:szCs w:val="24"/>
          <w:lang w:eastAsia="ru-RU"/>
        </w:rPr>
        <w:t>în</w:t>
      </w:r>
      <w:r w:rsidR="00DA4A57" w:rsidRPr="00CB5F81">
        <w:rPr>
          <w:rFonts w:asciiTheme="majorHAnsi" w:eastAsiaTheme="minorEastAsia" w:hAnsiTheme="majorHAnsi" w:cstheme="majorHAnsi"/>
          <w:sz w:val="24"/>
          <w:szCs w:val="24"/>
          <w:lang w:eastAsia="ru-RU"/>
        </w:rPr>
        <w:t xml:space="preserve"> anul 2020, aceste sume figurând cu minus</w:t>
      </w:r>
      <w:r w:rsidR="00EC1EAF">
        <w:rPr>
          <w:rFonts w:asciiTheme="majorHAnsi" w:eastAsiaTheme="minorEastAsia" w:hAnsiTheme="majorHAnsi" w:cstheme="majorHAnsi"/>
          <w:sz w:val="24"/>
          <w:szCs w:val="24"/>
          <w:lang w:eastAsia="ru-RU"/>
        </w:rPr>
        <w:t xml:space="preserve"> </w:t>
      </w:r>
      <w:r w:rsidR="00DA4A57" w:rsidRPr="00CB5F81">
        <w:rPr>
          <w:rFonts w:asciiTheme="majorHAnsi" w:eastAsiaTheme="minorEastAsia" w:hAnsiTheme="majorHAnsi" w:cstheme="majorHAnsi"/>
          <w:sz w:val="24"/>
          <w:szCs w:val="24"/>
          <w:lang w:eastAsia="ru-RU"/>
        </w:rPr>
        <w:t xml:space="preserve">în descifrările prezentate auditului </w:t>
      </w:r>
      <w:r w:rsidR="00F36752" w:rsidRPr="00CB5F81">
        <w:rPr>
          <w:rFonts w:asciiTheme="majorHAnsi" w:eastAsiaTheme="minorEastAsia" w:hAnsiTheme="majorHAnsi" w:cstheme="majorHAnsi"/>
          <w:sz w:val="24"/>
          <w:szCs w:val="24"/>
          <w:lang w:eastAsia="ru-RU"/>
        </w:rPr>
        <w:t xml:space="preserve">(86 </w:t>
      </w:r>
      <w:r w:rsidR="000C0DF5">
        <w:rPr>
          <w:rFonts w:asciiTheme="majorHAnsi" w:eastAsiaTheme="minorEastAsia" w:hAnsiTheme="majorHAnsi" w:cstheme="majorHAnsi"/>
          <w:sz w:val="24"/>
          <w:szCs w:val="24"/>
          <w:lang w:eastAsia="ru-RU"/>
        </w:rPr>
        <w:t xml:space="preserve">de </w:t>
      </w:r>
      <w:r w:rsidR="00F36752" w:rsidRPr="00CB5F81">
        <w:rPr>
          <w:rFonts w:asciiTheme="majorHAnsi" w:eastAsiaTheme="minorEastAsia" w:hAnsiTheme="majorHAnsi" w:cstheme="majorHAnsi"/>
          <w:sz w:val="24"/>
          <w:szCs w:val="24"/>
          <w:lang w:eastAsia="ru-RU"/>
        </w:rPr>
        <w:t xml:space="preserve">contribuabili care au raportat pierderi în valoare de 3,8 </w:t>
      </w:r>
      <w:r w:rsidR="00726434" w:rsidRPr="00CB5F81">
        <w:rPr>
          <w:rFonts w:asciiTheme="majorHAnsi" w:eastAsiaTheme="minorEastAsia" w:hAnsiTheme="majorHAnsi" w:cstheme="majorHAnsi"/>
          <w:sz w:val="24"/>
          <w:szCs w:val="24"/>
          <w:lang w:eastAsia="ru-RU"/>
        </w:rPr>
        <w:t>mil.</w:t>
      </w:r>
      <w:r w:rsidR="00F36752" w:rsidRPr="00CB5F81">
        <w:rPr>
          <w:rFonts w:asciiTheme="majorHAnsi" w:eastAsiaTheme="minorEastAsia" w:hAnsiTheme="majorHAnsi" w:cstheme="majorHAnsi"/>
          <w:sz w:val="24"/>
          <w:szCs w:val="24"/>
          <w:lang w:eastAsia="ru-RU"/>
        </w:rPr>
        <w:t>lei, eronat indicate la suma facilității).</w:t>
      </w:r>
      <w:r w:rsidR="00EC1EAF">
        <w:rPr>
          <w:rFonts w:asciiTheme="majorHAnsi" w:eastAsiaTheme="minorEastAsia" w:hAnsiTheme="majorHAnsi" w:cstheme="majorHAnsi"/>
          <w:sz w:val="24"/>
          <w:szCs w:val="24"/>
          <w:lang w:eastAsia="ru-RU"/>
        </w:rPr>
        <w:t xml:space="preserve"> </w:t>
      </w:r>
      <w:r w:rsidR="003B4F8A" w:rsidRPr="00CB5F81">
        <w:rPr>
          <w:rFonts w:asciiTheme="majorHAnsi" w:eastAsiaTheme="minorEastAsia" w:hAnsiTheme="majorHAnsi" w:cstheme="majorHAnsi"/>
          <w:sz w:val="24"/>
          <w:szCs w:val="24"/>
          <w:lang w:eastAsia="ru-RU"/>
        </w:rPr>
        <w:t xml:space="preserve">Cele menționate </w:t>
      </w:r>
      <w:r w:rsidR="00D405FC">
        <w:rPr>
          <w:rFonts w:asciiTheme="majorHAnsi" w:eastAsiaTheme="minorEastAsia" w:hAnsiTheme="majorHAnsi" w:cstheme="majorHAnsi"/>
          <w:sz w:val="24"/>
          <w:szCs w:val="24"/>
          <w:lang w:eastAsia="ru-RU"/>
        </w:rPr>
        <w:t>indică</w:t>
      </w:r>
      <w:r w:rsidR="003B4F8A" w:rsidRPr="00CB5F81">
        <w:rPr>
          <w:rFonts w:asciiTheme="majorHAnsi" w:eastAsiaTheme="minorEastAsia" w:hAnsiTheme="majorHAnsi" w:cstheme="majorHAnsi"/>
          <w:sz w:val="24"/>
          <w:szCs w:val="24"/>
          <w:lang w:eastAsia="ru-RU"/>
        </w:rPr>
        <w:t xml:space="preserve"> o atenție scăzută </w:t>
      </w:r>
      <w:r w:rsidR="00E818C4" w:rsidRPr="00CB5F81">
        <w:rPr>
          <w:rFonts w:asciiTheme="majorHAnsi" w:eastAsiaTheme="minorEastAsia" w:hAnsiTheme="majorHAnsi" w:cstheme="majorHAnsi"/>
          <w:sz w:val="24"/>
          <w:szCs w:val="24"/>
          <w:lang w:eastAsia="ru-RU"/>
        </w:rPr>
        <w:t>din partea angajaților</w:t>
      </w:r>
      <w:r w:rsidR="00EC1EAF">
        <w:rPr>
          <w:rFonts w:asciiTheme="majorHAnsi" w:eastAsiaTheme="minorEastAsia" w:hAnsiTheme="majorHAnsi" w:cstheme="majorHAnsi"/>
          <w:sz w:val="24"/>
          <w:szCs w:val="24"/>
          <w:lang w:eastAsia="ru-RU"/>
        </w:rPr>
        <w:t xml:space="preserve"> </w:t>
      </w:r>
      <w:r w:rsidR="003B4F8A" w:rsidRPr="00CB5F81">
        <w:rPr>
          <w:rFonts w:asciiTheme="majorHAnsi" w:eastAsiaTheme="minorEastAsia" w:hAnsiTheme="majorHAnsi" w:cstheme="majorHAnsi"/>
          <w:sz w:val="24"/>
          <w:szCs w:val="24"/>
          <w:lang w:eastAsia="ru-RU"/>
        </w:rPr>
        <w:t xml:space="preserve">SFS pe acest segment </w:t>
      </w:r>
      <w:r w:rsidR="00E818C4" w:rsidRPr="00CB5F81">
        <w:rPr>
          <w:rFonts w:asciiTheme="majorHAnsi" w:eastAsiaTheme="minorEastAsia" w:hAnsiTheme="majorHAnsi" w:cstheme="majorHAnsi"/>
          <w:sz w:val="24"/>
          <w:szCs w:val="24"/>
          <w:lang w:eastAsia="ru-RU"/>
        </w:rPr>
        <w:t xml:space="preserve">de </w:t>
      </w:r>
      <w:r w:rsidR="003B4F8A" w:rsidRPr="00CB5F81">
        <w:rPr>
          <w:rFonts w:asciiTheme="majorHAnsi" w:eastAsiaTheme="minorEastAsia" w:hAnsiTheme="majorHAnsi" w:cstheme="majorHAnsi"/>
          <w:sz w:val="24"/>
          <w:szCs w:val="24"/>
          <w:lang w:eastAsia="ru-RU"/>
        </w:rPr>
        <w:t>activitate</w:t>
      </w:r>
      <w:r w:rsidR="00D405FC">
        <w:rPr>
          <w:rFonts w:asciiTheme="majorHAnsi" w:eastAsiaTheme="minorEastAsia" w:hAnsiTheme="majorHAnsi" w:cstheme="majorHAnsi"/>
          <w:sz w:val="24"/>
          <w:szCs w:val="24"/>
          <w:lang w:eastAsia="ru-RU"/>
        </w:rPr>
        <w:t>,</w:t>
      </w:r>
      <w:r w:rsidR="003B4F8A" w:rsidRPr="00CB5F81">
        <w:rPr>
          <w:rFonts w:asciiTheme="majorHAnsi" w:eastAsiaTheme="minorEastAsia" w:hAnsiTheme="majorHAnsi" w:cstheme="majorHAnsi"/>
          <w:sz w:val="24"/>
          <w:szCs w:val="24"/>
          <w:lang w:eastAsia="ru-RU"/>
        </w:rPr>
        <w:t xml:space="preserve"> întrucât </w:t>
      </w:r>
      <w:r w:rsidR="00F36752" w:rsidRPr="00CB5F81">
        <w:rPr>
          <w:rFonts w:asciiTheme="majorHAnsi" w:eastAsiaTheme="minorEastAsia" w:hAnsiTheme="majorHAnsi" w:cstheme="majorHAnsi"/>
          <w:sz w:val="24"/>
          <w:szCs w:val="24"/>
          <w:lang w:eastAsia="ru-RU"/>
        </w:rPr>
        <w:t>extr</w:t>
      </w:r>
      <w:r w:rsidR="00DA4A57" w:rsidRPr="00CB5F81">
        <w:rPr>
          <w:rFonts w:asciiTheme="majorHAnsi" w:eastAsiaTheme="minorEastAsia" w:hAnsiTheme="majorHAnsi" w:cstheme="majorHAnsi"/>
          <w:sz w:val="24"/>
          <w:szCs w:val="24"/>
          <w:lang w:eastAsia="ru-RU"/>
        </w:rPr>
        <w:t xml:space="preserve">agerea </w:t>
      </w:r>
      <w:r w:rsidR="00F36752" w:rsidRPr="00CB5F81">
        <w:rPr>
          <w:rFonts w:asciiTheme="majorHAnsi" w:eastAsiaTheme="minorEastAsia" w:hAnsiTheme="majorHAnsi" w:cstheme="majorHAnsi"/>
          <w:sz w:val="24"/>
          <w:szCs w:val="24"/>
          <w:lang w:eastAsia="ru-RU"/>
        </w:rPr>
        <w:t>automatizat</w:t>
      </w:r>
      <w:r w:rsidR="00DA4A57" w:rsidRPr="00CB5F81">
        <w:rPr>
          <w:rFonts w:asciiTheme="majorHAnsi" w:eastAsiaTheme="minorEastAsia" w:hAnsiTheme="majorHAnsi" w:cstheme="majorHAnsi"/>
          <w:sz w:val="24"/>
          <w:szCs w:val="24"/>
          <w:lang w:eastAsia="ru-RU"/>
        </w:rPr>
        <w:t>ă</w:t>
      </w:r>
      <w:r w:rsidR="00F36752" w:rsidRPr="00CB5F81">
        <w:rPr>
          <w:rFonts w:asciiTheme="majorHAnsi" w:eastAsiaTheme="minorEastAsia" w:hAnsiTheme="majorHAnsi" w:cstheme="majorHAnsi"/>
          <w:sz w:val="24"/>
          <w:szCs w:val="24"/>
          <w:lang w:eastAsia="ru-RU"/>
        </w:rPr>
        <w:t xml:space="preserve"> din SI a</w:t>
      </w:r>
      <w:r w:rsidR="00D405FC">
        <w:rPr>
          <w:rFonts w:asciiTheme="majorHAnsi" w:eastAsiaTheme="minorEastAsia" w:hAnsiTheme="majorHAnsi" w:cstheme="majorHAnsi"/>
          <w:sz w:val="24"/>
          <w:szCs w:val="24"/>
          <w:lang w:eastAsia="ru-RU"/>
        </w:rPr>
        <w:t>l</w:t>
      </w:r>
      <w:r w:rsidR="00F36752" w:rsidRPr="00CB5F81">
        <w:rPr>
          <w:rFonts w:asciiTheme="majorHAnsi" w:eastAsiaTheme="minorEastAsia" w:hAnsiTheme="majorHAnsi" w:cstheme="majorHAnsi"/>
          <w:sz w:val="24"/>
          <w:szCs w:val="24"/>
          <w:lang w:eastAsia="ru-RU"/>
        </w:rPr>
        <w:t xml:space="preserve"> SFS</w:t>
      </w:r>
      <w:r w:rsidR="00DA4A57" w:rsidRPr="00CB5F81">
        <w:rPr>
          <w:rFonts w:asciiTheme="majorHAnsi" w:eastAsiaTheme="minorEastAsia" w:hAnsiTheme="majorHAnsi" w:cstheme="majorHAnsi"/>
          <w:sz w:val="24"/>
          <w:szCs w:val="24"/>
          <w:lang w:eastAsia="ru-RU"/>
        </w:rPr>
        <w:t xml:space="preserve"> a informației aferente facilităților</w:t>
      </w:r>
      <w:r w:rsidR="00D405FC">
        <w:rPr>
          <w:rFonts w:asciiTheme="majorHAnsi" w:eastAsiaTheme="minorEastAsia" w:hAnsiTheme="majorHAnsi" w:cstheme="majorHAnsi"/>
          <w:sz w:val="24"/>
          <w:szCs w:val="24"/>
          <w:lang w:eastAsia="ru-RU"/>
        </w:rPr>
        <w:t xml:space="preserve"> </w:t>
      </w:r>
      <w:r w:rsidR="00DA4A57" w:rsidRPr="00CB5F81">
        <w:rPr>
          <w:rFonts w:asciiTheme="majorHAnsi" w:eastAsiaTheme="minorEastAsia" w:hAnsiTheme="majorHAnsi" w:cstheme="majorHAnsi"/>
          <w:sz w:val="24"/>
          <w:szCs w:val="24"/>
          <w:lang w:eastAsia="ru-RU"/>
        </w:rPr>
        <w:t>fără</w:t>
      </w:r>
      <w:r w:rsidR="00EC1EAF">
        <w:rPr>
          <w:rFonts w:asciiTheme="majorHAnsi" w:eastAsiaTheme="minorEastAsia" w:hAnsiTheme="majorHAnsi" w:cstheme="majorHAnsi"/>
          <w:sz w:val="24"/>
          <w:szCs w:val="24"/>
          <w:lang w:eastAsia="ru-RU"/>
        </w:rPr>
        <w:t xml:space="preserve"> </w:t>
      </w:r>
      <w:r w:rsidR="00DA4A57" w:rsidRPr="00CB5F81">
        <w:rPr>
          <w:rFonts w:asciiTheme="majorHAnsi" w:eastAsiaTheme="minorEastAsia" w:hAnsiTheme="majorHAnsi" w:cstheme="majorHAnsi"/>
          <w:sz w:val="24"/>
          <w:szCs w:val="24"/>
          <w:lang w:eastAsia="ru-RU"/>
        </w:rPr>
        <w:t>o</w:t>
      </w:r>
      <w:r w:rsidR="00EC1EAF">
        <w:rPr>
          <w:rFonts w:asciiTheme="majorHAnsi" w:eastAsiaTheme="minorEastAsia" w:hAnsiTheme="majorHAnsi" w:cstheme="majorHAnsi"/>
          <w:sz w:val="24"/>
          <w:szCs w:val="24"/>
          <w:lang w:eastAsia="ru-RU"/>
        </w:rPr>
        <w:t xml:space="preserve"> </w:t>
      </w:r>
      <w:r w:rsidR="00DA4A57" w:rsidRPr="00CB5F81">
        <w:rPr>
          <w:rFonts w:asciiTheme="majorHAnsi" w:eastAsiaTheme="minorEastAsia" w:hAnsiTheme="majorHAnsi" w:cstheme="majorHAnsi"/>
          <w:sz w:val="24"/>
          <w:szCs w:val="24"/>
          <w:lang w:eastAsia="ru-RU"/>
        </w:rPr>
        <w:t xml:space="preserve">examinare și </w:t>
      </w:r>
      <w:r w:rsidR="00D405FC">
        <w:rPr>
          <w:rFonts w:asciiTheme="majorHAnsi" w:eastAsiaTheme="minorEastAsia" w:hAnsiTheme="majorHAnsi" w:cstheme="majorHAnsi"/>
          <w:sz w:val="24"/>
          <w:szCs w:val="24"/>
          <w:lang w:eastAsia="ru-RU"/>
        </w:rPr>
        <w:t xml:space="preserve">o </w:t>
      </w:r>
      <w:r w:rsidR="00DA4A57" w:rsidRPr="00CB5F81">
        <w:rPr>
          <w:rFonts w:asciiTheme="majorHAnsi" w:eastAsiaTheme="minorEastAsia" w:hAnsiTheme="majorHAnsi" w:cstheme="majorHAnsi"/>
          <w:sz w:val="24"/>
          <w:szCs w:val="24"/>
          <w:lang w:eastAsia="ru-RU"/>
        </w:rPr>
        <w:t xml:space="preserve">analiză </w:t>
      </w:r>
      <w:r w:rsidR="00E818C4" w:rsidRPr="00CB5F81">
        <w:rPr>
          <w:rFonts w:asciiTheme="majorHAnsi" w:eastAsiaTheme="minorEastAsia" w:hAnsiTheme="majorHAnsi" w:cstheme="majorHAnsi"/>
          <w:sz w:val="24"/>
          <w:szCs w:val="24"/>
          <w:lang w:eastAsia="ru-RU"/>
        </w:rPr>
        <w:t>privind corectitudinea</w:t>
      </w:r>
      <w:r w:rsidR="00EC1EAF">
        <w:rPr>
          <w:rFonts w:asciiTheme="majorHAnsi" w:eastAsiaTheme="minorEastAsia" w:hAnsiTheme="majorHAnsi" w:cstheme="majorHAnsi"/>
          <w:sz w:val="24"/>
          <w:szCs w:val="24"/>
          <w:lang w:eastAsia="ru-RU"/>
        </w:rPr>
        <w:t xml:space="preserve"> </w:t>
      </w:r>
      <w:r w:rsidR="00DA4A57" w:rsidRPr="00CB5F81">
        <w:rPr>
          <w:rFonts w:asciiTheme="majorHAnsi" w:eastAsiaTheme="minorEastAsia" w:hAnsiTheme="majorHAnsi" w:cstheme="majorHAnsi"/>
          <w:sz w:val="24"/>
          <w:szCs w:val="24"/>
          <w:lang w:eastAsia="ru-RU"/>
        </w:rPr>
        <w:t xml:space="preserve">acestora de către </w:t>
      </w:r>
      <w:r w:rsidR="00F36752" w:rsidRPr="003B791A">
        <w:rPr>
          <w:rFonts w:asciiTheme="majorHAnsi" w:eastAsiaTheme="minorEastAsia" w:hAnsiTheme="majorHAnsi" w:cstheme="majorHAnsi"/>
          <w:sz w:val="24"/>
          <w:szCs w:val="24"/>
          <w:lang w:eastAsia="ru-RU"/>
        </w:rPr>
        <w:t>responsabili</w:t>
      </w:r>
      <w:r w:rsidR="00C73842" w:rsidRPr="003B791A">
        <w:rPr>
          <w:rFonts w:asciiTheme="majorHAnsi" w:eastAsiaTheme="minorEastAsia" w:hAnsiTheme="majorHAnsi" w:cstheme="majorHAnsi"/>
          <w:sz w:val="24"/>
          <w:szCs w:val="24"/>
          <w:lang w:eastAsia="ru-RU"/>
        </w:rPr>
        <w:t>i</w:t>
      </w:r>
      <w:r w:rsidR="00F36752" w:rsidRPr="003B791A">
        <w:rPr>
          <w:rFonts w:asciiTheme="majorHAnsi" w:eastAsiaTheme="minorEastAsia" w:hAnsiTheme="majorHAnsi" w:cstheme="majorHAnsi"/>
          <w:sz w:val="24"/>
          <w:szCs w:val="24"/>
          <w:lang w:eastAsia="ru-RU"/>
        </w:rPr>
        <w:t xml:space="preserve"> din cadrul</w:t>
      </w:r>
      <w:r w:rsidR="00F36752" w:rsidRPr="00CB5F81">
        <w:rPr>
          <w:rFonts w:asciiTheme="majorHAnsi" w:eastAsiaTheme="minorEastAsia" w:hAnsiTheme="majorHAnsi" w:cstheme="majorHAnsi"/>
          <w:sz w:val="24"/>
          <w:szCs w:val="24"/>
          <w:lang w:eastAsia="ru-RU"/>
        </w:rPr>
        <w:t xml:space="preserve"> subdiviziunilor</w:t>
      </w:r>
      <w:r w:rsidR="00DA4A57" w:rsidRPr="00CB5F81">
        <w:rPr>
          <w:rFonts w:asciiTheme="majorHAnsi" w:eastAsiaTheme="minorEastAsia" w:hAnsiTheme="majorHAnsi" w:cstheme="majorHAnsi"/>
          <w:sz w:val="24"/>
          <w:szCs w:val="24"/>
          <w:lang w:eastAsia="ru-RU"/>
        </w:rPr>
        <w:t xml:space="preserve"> SFS</w:t>
      </w:r>
      <w:r w:rsidR="00D405FC">
        <w:rPr>
          <w:rFonts w:asciiTheme="majorHAnsi" w:eastAsiaTheme="minorEastAsia" w:hAnsiTheme="majorHAnsi" w:cstheme="majorHAnsi"/>
          <w:sz w:val="24"/>
          <w:szCs w:val="24"/>
          <w:lang w:eastAsia="ru-RU"/>
        </w:rPr>
        <w:t xml:space="preserve"> </w:t>
      </w:r>
      <w:r w:rsidR="00DA4A57" w:rsidRPr="00CB5F81">
        <w:rPr>
          <w:rFonts w:asciiTheme="majorHAnsi" w:eastAsiaTheme="minorEastAsia" w:hAnsiTheme="majorHAnsi" w:cstheme="majorHAnsi"/>
          <w:sz w:val="24"/>
          <w:szCs w:val="24"/>
          <w:lang w:eastAsia="ru-RU"/>
        </w:rPr>
        <w:t>duce la aparența și nedetectarea unor erori semnificative</w:t>
      </w:r>
      <w:r w:rsidR="00D405FC">
        <w:rPr>
          <w:rFonts w:asciiTheme="majorHAnsi" w:eastAsiaTheme="minorEastAsia" w:hAnsiTheme="majorHAnsi" w:cstheme="majorHAnsi"/>
          <w:sz w:val="24"/>
          <w:szCs w:val="24"/>
          <w:lang w:eastAsia="ru-RU"/>
        </w:rPr>
        <w:t>,</w:t>
      </w:r>
      <w:r w:rsidR="00DA4A57" w:rsidRPr="00CB5F81">
        <w:rPr>
          <w:rFonts w:asciiTheme="majorHAnsi" w:eastAsiaTheme="minorEastAsia" w:hAnsiTheme="majorHAnsi" w:cstheme="majorHAnsi"/>
          <w:sz w:val="24"/>
          <w:szCs w:val="24"/>
          <w:lang w:eastAsia="ru-RU"/>
        </w:rPr>
        <w:t xml:space="preserve"> care în final denaturează imaginea per ansamblu a</w:t>
      </w:r>
      <w:r w:rsidR="00EC1EAF">
        <w:rPr>
          <w:rFonts w:asciiTheme="majorHAnsi" w:eastAsiaTheme="minorEastAsia" w:hAnsiTheme="majorHAnsi" w:cstheme="majorHAnsi"/>
          <w:sz w:val="24"/>
          <w:szCs w:val="24"/>
          <w:lang w:eastAsia="ru-RU"/>
        </w:rPr>
        <w:t xml:space="preserve"> </w:t>
      </w:r>
      <w:r w:rsidR="00DA4A57" w:rsidRPr="00CB5F81">
        <w:rPr>
          <w:rFonts w:asciiTheme="majorHAnsi" w:eastAsiaTheme="minorEastAsia" w:hAnsiTheme="majorHAnsi" w:cstheme="majorHAnsi"/>
          <w:sz w:val="24"/>
          <w:szCs w:val="24"/>
          <w:lang w:eastAsia="ru-RU"/>
        </w:rPr>
        <w:t>costului fa</w:t>
      </w:r>
      <w:r w:rsidR="003B4F8A" w:rsidRPr="00CB5F81">
        <w:rPr>
          <w:rFonts w:asciiTheme="majorHAnsi" w:eastAsiaTheme="minorEastAsia" w:hAnsiTheme="majorHAnsi" w:cstheme="majorHAnsi"/>
          <w:sz w:val="24"/>
          <w:szCs w:val="24"/>
          <w:lang w:eastAsia="ru-RU"/>
        </w:rPr>
        <w:t xml:space="preserve">cilităților acordate din buget. </w:t>
      </w:r>
    </w:p>
    <w:p w:rsidR="00BF7A73" w:rsidRPr="00CB5F81" w:rsidRDefault="00505F73" w:rsidP="00040BCB">
      <w:pPr>
        <w:pStyle w:val="ListParagraph"/>
        <w:numPr>
          <w:ilvl w:val="0"/>
          <w:numId w:val="5"/>
        </w:numPr>
        <w:tabs>
          <w:tab w:val="left" w:pos="270"/>
          <w:tab w:val="left" w:pos="540"/>
        </w:tabs>
        <w:spacing w:after="120"/>
        <w:ind w:left="274" w:firstLine="0"/>
        <w:jc w:val="both"/>
        <w:rPr>
          <w:rFonts w:asciiTheme="minorHAnsi" w:hAnsiTheme="minorHAnsi" w:cstheme="minorHAnsi"/>
          <w:i/>
          <w:color w:val="1F4E79" w:themeColor="accent1" w:themeShade="80"/>
          <w:sz w:val="24"/>
          <w:szCs w:val="24"/>
          <w:lang w:val="ro-MD"/>
        </w:rPr>
      </w:pPr>
      <w:r w:rsidRPr="00CB5F81">
        <w:rPr>
          <w:rFonts w:asciiTheme="minorHAnsi" w:eastAsiaTheme="minorEastAsia" w:hAnsiTheme="minorHAnsi" w:cstheme="minorHAnsi"/>
          <w:i/>
          <w:color w:val="1F4E79" w:themeColor="accent1" w:themeShade="80"/>
          <w:sz w:val="24"/>
          <w:szCs w:val="24"/>
          <w:lang w:val="ro-MD" w:eastAsia="ru-RU"/>
        </w:rPr>
        <w:t>Datele agregate și raportate de către SFS privind scutirea instituțiilor de învățământ de  i</w:t>
      </w:r>
      <w:r w:rsidR="00E4654D" w:rsidRPr="00CB5F81">
        <w:rPr>
          <w:rFonts w:asciiTheme="minorHAnsi" w:eastAsiaTheme="minorEastAsia" w:hAnsiTheme="minorHAnsi" w:cstheme="minorHAnsi"/>
          <w:i/>
          <w:color w:val="1F4E79" w:themeColor="accent1" w:themeShade="80"/>
          <w:sz w:val="24"/>
          <w:szCs w:val="24"/>
          <w:lang w:val="ro-MD" w:eastAsia="ru-RU"/>
        </w:rPr>
        <w:t xml:space="preserve">mpozitul pe </w:t>
      </w:r>
      <w:r w:rsidR="00E818C4" w:rsidRPr="00CB5F81">
        <w:rPr>
          <w:rFonts w:asciiTheme="minorHAnsi" w:eastAsiaTheme="minorEastAsia" w:hAnsiTheme="minorHAnsi" w:cstheme="minorHAnsi"/>
          <w:i/>
          <w:color w:val="1F4E79" w:themeColor="accent1" w:themeShade="80"/>
          <w:sz w:val="24"/>
          <w:szCs w:val="24"/>
          <w:lang w:val="ro-MD" w:eastAsia="ru-RU"/>
        </w:rPr>
        <w:t xml:space="preserve">venit </w:t>
      </w:r>
      <w:r w:rsidRPr="00CB5F81">
        <w:rPr>
          <w:rFonts w:asciiTheme="minorHAnsi" w:eastAsiaTheme="minorEastAsia" w:hAnsiTheme="minorHAnsi" w:cstheme="minorHAnsi"/>
          <w:i/>
          <w:color w:val="1F4E79" w:themeColor="accent1" w:themeShade="80"/>
          <w:sz w:val="24"/>
          <w:szCs w:val="24"/>
          <w:lang w:val="ro-MD" w:eastAsia="ru-RU"/>
        </w:rPr>
        <w:t xml:space="preserve">au fost denaturate </w:t>
      </w:r>
      <w:r w:rsidR="00D405FC">
        <w:rPr>
          <w:rFonts w:asciiTheme="minorHAnsi" w:eastAsiaTheme="minorEastAsia" w:hAnsiTheme="minorHAnsi" w:cstheme="minorHAnsi"/>
          <w:i/>
          <w:color w:val="1F4E79" w:themeColor="accent1" w:themeShade="80"/>
          <w:sz w:val="24"/>
          <w:szCs w:val="24"/>
          <w:lang w:val="ro-MD" w:eastAsia="ru-RU"/>
        </w:rPr>
        <w:t xml:space="preserve">ca </w:t>
      </w:r>
      <w:r w:rsidRPr="00CB5F81">
        <w:rPr>
          <w:rFonts w:asciiTheme="minorHAnsi" w:eastAsiaTheme="minorEastAsia" w:hAnsiTheme="minorHAnsi" w:cstheme="minorHAnsi"/>
          <w:i/>
          <w:color w:val="1F4E79" w:themeColor="accent1" w:themeShade="80"/>
          <w:sz w:val="24"/>
          <w:szCs w:val="24"/>
          <w:lang w:val="ro-MD" w:eastAsia="ru-RU"/>
        </w:rPr>
        <w:t xml:space="preserve">urmare </w:t>
      </w:r>
      <w:r w:rsidR="00D405FC">
        <w:rPr>
          <w:rFonts w:asciiTheme="minorHAnsi" w:eastAsiaTheme="minorEastAsia" w:hAnsiTheme="minorHAnsi" w:cstheme="minorHAnsi"/>
          <w:i/>
          <w:color w:val="1F4E79" w:themeColor="accent1" w:themeShade="80"/>
          <w:sz w:val="24"/>
          <w:szCs w:val="24"/>
          <w:lang w:val="ro-MD" w:eastAsia="ru-RU"/>
        </w:rPr>
        <w:t xml:space="preserve">a </w:t>
      </w:r>
      <w:r w:rsidRPr="00CB5F81">
        <w:rPr>
          <w:rFonts w:asciiTheme="minorHAnsi" w:eastAsiaTheme="minorEastAsia" w:hAnsiTheme="minorHAnsi" w:cstheme="minorHAnsi"/>
          <w:i/>
          <w:color w:val="1F4E79" w:themeColor="accent1" w:themeShade="80"/>
          <w:sz w:val="24"/>
          <w:szCs w:val="24"/>
          <w:lang w:val="ro-MD" w:eastAsia="ru-RU"/>
        </w:rPr>
        <w:t>completării e</w:t>
      </w:r>
      <w:r w:rsidR="00BF7A73" w:rsidRPr="00CB5F81">
        <w:rPr>
          <w:rFonts w:asciiTheme="minorHAnsi" w:eastAsiaTheme="minorEastAsia" w:hAnsiTheme="minorHAnsi" w:cstheme="minorHAnsi"/>
          <w:i/>
          <w:color w:val="1F4E79" w:themeColor="accent1" w:themeShade="80"/>
          <w:sz w:val="24"/>
          <w:szCs w:val="24"/>
          <w:lang w:val="ro-MD" w:eastAsia="ru-RU"/>
        </w:rPr>
        <w:t xml:space="preserve">ronate de către contribuabili a </w:t>
      </w:r>
      <w:r w:rsidR="00D405FC">
        <w:rPr>
          <w:rFonts w:asciiTheme="minorHAnsi" w:eastAsiaTheme="minorEastAsia" w:hAnsiTheme="minorHAnsi" w:cstheme="minorHAnsi"/>
          <w:i/>
          <w:color w:val="1F4E79" w:themeColor="accent1" w:themeShade="80"/>
          <w:sz w:val="24"/>
          <w:szCs w:val="24"/>
          <w:lang w:val="ro-MD" w:eastAsia="ru-RU"/>
        </w:rPr>
        <w:t>D</w:t>
      </w:r>
      <w:r w:rsidRPr="00CB5F81">
        <w:rPr>
          <w:rFonts w:asciiTheme="minorHAnsi" w:eastAsiaTheme="minorEastAsia" w:hAnsiTheme="minorHAnsi" w:cstheme="minorHAnsi"/>
          <w:i/>
          <w:color w:val="1F4E79" w:themeColor="accent1" w:themeShade="80"/>
          <w:sz w:val="24"/>
          <w:szCs w:val="24"/>
          <w:lang w:val="ro-MD" w:eastAsia="ru-RU"/>
        </w:rPr>
        <w:t>eclarațiilor VEN 12</w:t>
      </w:r>
      <w:r w:rsidR="00BF7A73" w:rsidRPr="00CB5F81">
        <w:rPr>
          <w:rFonts w:asciiTheme="minorHAnsi" w:eastAsiaTheme="minorEastAsia" w:hAnsiTheme="minorHAnsi" w:cstheme="minorHAnsi"/>
          <w:i/>
          <w:color w:val="1F4E79" w:themeColor="accent1" w:themeShade="80"/>
          <w:sz w:val="24"/>
          <w:szCs w:val="24"/>
          <w:lang w:val="ro-MD" w:eastAsia="ru-RU"/>
        </w:rPr>
        <w:t xml:space="preserve"> (</w:t>
      </w:r>
      <w:r w:rsidR="00D405FC">
        <w:rPr>
          <w:rFonts w:asciiTheme="minorHAnsi" w:eastAsiaTheme="minorEastAsia" w:hAnsiTheme="minorHAnsi" w:cstheme="minorHAnsi"/>
          <w:i/>
          <w:color w:val="1F4E79" w:themeColor="accent1" w:themeShade="80"/>
          <w:sz w:val="24"/>
          <w:szCs w:val="24"/>
          <w:lang w:val="ro-MD" w:eastAsia="ru-RU"/>
        </w:rPr>
        <w:t>C</w:t>
      </w:r>
      <w:r w:rsidR="00BF7A73" w:rsidRPr="00CB5F81">
        <w:rPr>
          <w:rFonts w:asciiTheme="minorHAnsi" w:eastAsiaTheme="minorEastAsia" w:hAnsiTheme="minorHAnsi" w:cstheme="minorHAnsi"/>
          <w:i/>
          <w:color w:val="1F4E79" w:themeColor="accent1" w:themeShade="80"/>
          <w:sz w:val="24"/>
          <w:szCs w:val="24"/>
          <w:lang w:val="ro-MD" w:eastAsia="ru-RU"/>
        </w:rPr>
        <w:t>odul facilității-</w:t>
      </w:r>
      <w:r w:rsidR="00BF7A73" w:rsidRPr="00CB5F81">
        <w:rPr>
          <w:rFonts w:asciiTheme="minorHAnsi" w:hAnsiTheme="minorHAnsi" w:cstheme="minorHAnsi"/>
          <w:i/>
          <w:color w:val="1F4E79" w:themeColor="accent1" w:themeShade="80"/>
          <w:sz w:val="24"/>
          <w:szCs w:val="24"/>
          <w:lang w:val="ro-MD"/>
        </w:rPr>
        <w:t xml:space="preserve"> CFIV056)</w:t>
      </w:r>
    </w:p>
    <w:p w:rsidR="006341F1" w:rsidRPr="00CB5F81" w:rsidRDefault="006341F1" w:rsidP="006341F1">
      <w:pPr>
        <w:jc w:val="both"/>
        <w:rPr>
          <w:rFonts w:asciiTheme="majorHAnsi" w:hAnsiTheme="majorHAnsi" w:cstheme="majorHAnsi"/>
          <w:sz w:val="24"/>
          <w:szCs w:val="24"/>
        </w:rPr>
      </w:pPr>
      <w:r w:rsidRPr="00CB5F81">
        <w:rPr>
          <w:rFonts w:asciiTheme="majorHAnsi" w:hAnsiTheme="majorHAnsi" w:cstheme="majorHAnsi"/>
          <w:sz w:val="24"/>
          <w:szCs w:val="24"/>
        </w:rPr>
        <w:t>În conformitate cu art.51</w:t>
      </w:r>
      <w:r w:rsidRPr="00C73842">
        <w:rPr>
          <w:rFonts w:asciiTheme="majorHAnsi" w:hAnsiTheme="majorHAnsi" w:cstheme="majorHAnsi"/>
          <w:sz w:val="24"/>
          <w:szCs w:val="24"/>
          <w:vertAlign w:val="superscript"/>
        </w:rPr>
        <w:t>3</w:t>
      </w:r>
      <w:r w:rsidRPr="00CB5F81">
        <w:rPr>
          <w:rFonts w:asciiTheme="majorHAnsi" w:hAnsiTheme="majorHAnsi" w:cstheme="majorHAnsi"/>
          <w:sz w:val="24"/>
          <w:szCs w:val="24"/>
        </w:rPr>
        <w:t xml:space="preserve"> din Codul fiscal, instituțiile de învățământ publice și private se scutesc de </w:t>
      </w:r>
      <w:r w:rsidRPr="00CB5F81">
        <w:rPr>
          <w:rFonts w:asciiTheme="majorHAnsi" w:hAnsiTheme="majorHAnsi" w:cstheme="majorHAnsi"/>
          <w:sz w:val="24"/>
          <w:szCs w:val="24"/>
          <w:u w:val="single"/>
        </w:rPr>
        <w:t xml:space="preserve">impozitul pe venitul </w:t>
      </w:r>
      <w:r w:rsidRPr="00CB5F81">
        <w:rPr>
          <w:rFonts w:asciiTheme="majorHAnsi" w:hAnsiTheme="majorHAnsi" w:cstheme="majorHAnsi"/>
          <w:sz w:val="24"/>
          <w:szCs w:val="24"/>
        </w:rPr>
        <w:t>obținut din desfășurarea nemijlocită a procesului de învățământ</w:t>
      </w:r>
      <w:r w:rsidR="00D405FC">
        <w:rPr>
          <w:rFonts w:asciiTheme="majorHAnsi" w:hAnsiTheme="majorHAnsi" w:cstheme="majorHAnsi"/>
          <w:sz w:val="24"/>
          <w:szCs w:val="24"/>
        </w:rPr>
        <w:t xml:space="preserve"> </w:t>
      </w:r>
      <w:r w:rsidRPr="00CB5F81">
        <w:rPr>
          <w:rFonts w:asciiTheme="majorHAnsi" w:hAnsiTheme="majorHAnsi" w:cstheme="majorHAnsi"/>
          <w:sz w:val="24"/>
          <w:szCs w:val="24"/>
        </w:rPr>
        <w:t>conform Codului educației</w:t>
      </w:r>
      <w:r w:rsidRPr="00CB5F81">
        <w:rPr>
          <w:rStyle w:val="FootnoteReference"/>
          <w:rFonts w:asciiTheme="majorHAnsi" w:hAnsiTheme="majorHAnsi" w:cstheme="majorHAnsi"/>
          <w:sz w:val="24"/>
          <w:szCs w:val="24"/>
        </w:rPr>
        <w:footnoteReference w:id="23"/>
      </w:r>
      <w:r w:rsidR="00BF7A73" w:rsidRPr="00CB5F81">
        <w:rPr>
          <w:rFonts w:asciiTheme="majorHAnsi" w:hAnsiTheme="majorHAnsi" w:cstheme="majorHAnsi"/>
          <w:sz w:val="24"/>
          <w:szCs w:val="24"/>
        </w:rPr>
        <w:t>.</w:t>
      </w:r>
      <w:r w:rsidR="00EC1EAF">
        <w:rPr>
          <w:rFonts w:asciiTheme="majorHAnsi" w:hAnsiTheme="majorHAnsi" w:cstheme="majorHAnsi"/>
          <w:sz w:val="24"/>
          <w:szCs w:val="24"/>
        </w:rPr>
        <w:t xml:space="preserve"> </w:t>
      </w:r>
      <w:r w:rsidR="00E4654D" w:rsidRPr="00CB5F81">
        <w:rPr>
          <w:rFonts w:asciiTheme="majorHAnsi" w:hAnsiTheme="majorHAnsi" w:cstheme="majorHAnsi"/>
          <w:sz w:val="24"/>
          <w:szCs w:val="24"/>
        </w:rPr>
        <w:t>Concomitent, p</w:t>
      </w:r>
      <w:r w:rsidRPr="00CB5F81">
        <w:rPr>
          <w:rFonts w:asciiTheme="majorHAnsi" w:hAnsiTheme="majorHAnsi" w:cstheme="majorHAnsi"/>
          <w:sz w:val="24"/>
          <w:szCs w:val="24"/>
        </w:rPr>
        <w:t>otrivit prevederilor art. 83 alin. (2) lit. c) din Codul fiscal,</w:t>
      </w:r>
      <w:r w:rsidR="00E4654D" w:rsidRPr="00CB5F81">
        <w:rPr>
          <w:rFonts w:asciiTheme="majorHAnsi" w:hAnsiTheme="majorHAnsi" w:cstheme="majorHAnsi"/>
          <w:sz w:val="24"/>
          <w:szCs w:val="24"/>
        </w:rPr>
        <w:t xml:space="preserve"> instituțiile de învățământ</w:t>
      </w:r>
      <w:r w:rsidR="00EC1EAF">
        <w:rPr>
          <w:rFonts w:asciiTheme="majorHAnsi" w:hAnsiTheme="majorHAnsi" w:cstheme="majorHAnsi"/>
          <w:sz w:val="24"/>
          <w:szCs w:val="24"/>
        </w:rPr>
        <w:t xml:space="preserve"> </w:t>
      </w:r>
      <w:r w:rsidR="00E4654D" w:rsidRPr="00CB5F81">
        <w:rPr>
          <w:rFonts w:asciiTheme="majorHAnsi" w:hAnsiTheme="majorHAnsi" w:cstheme="majorHAnsi"/>
          <w:sz w:val="24"/>
          <w:szCs w:val="24"/>
        </w:rPr>
        <w:t xml:space="preserve">au obligația </w:t>
      </w:r>
      <w:r w:rsidRPr="00CB5F81">
        <w:rPr>
          <w:rFonts w:asciiTheme="majorHAnsi" w:hAnsiTheme="majorHAnsi" w:cstheme="majorHAnsi"/>
          <w:sz w:val="24"/>
          <w:szCs w:val="24"/>
        </w:rPr>
        <w:t>să prezinte Declarația cu</w:t>
      </w:r>
      <w:r w:rsidR="00EC1EAF">
        <w:rPr>
          <w:rFonts w:asciiTheme="majorHAnsi" w:hAnsiTheme="majorHAnsi" w:cstheme="majorHAnsi"/>
          <w:sz w:val="24"/>
          <w:szCs w:val="24"/>
        </w:rPr>
        <w:t xml:space="preserve"> </w:t>
      </w:r>
      <w:r w:rsidRPr="00CB5F81">
        <w:rPr>
          <w:rFonts w:asciiTheme="majorHAnsi" w:hAnsiTheme="majorHAnsi" w:cstheme="majorHAnsi"/>
          <w:sz w:val="24"/>
          <w:szCs w:val="24"/>
        </w:rPr>
        <w:t xml:space="preserve">privire la impozitul pe </w:t>
      </w:r>
      <w:r w:rsidRPr="00705DD0">
        <w:rPr>
          <w:rFonts w:asciiTheme="majorHAnsi" w:hAnsiTheme="majorHAnsi" w:cstheme="majorHAnsi"/>
          <w:sz w:val="24"/>
          <w:szCs w:val="24"/>
        </w:rPr>
        <w:t>venit.</w:t>
      </w:r>
    </w:p>
    <w:p w:rsidR="00F76ED2" w:rsidRPr="00CB5F81" w:rsidRDefault="006341F1" w:rsidP="00F76ED2">
      <w:pPr>
        <w:jc w:val="both"/>
        <w:rPr>
          <w:rFonts w:asciiTheme="majorHAnsi" w:hAnsiTheme="majorHAnsi" w:cstheme="majorHAnsi"/>
          <w:sz w:val="24"/>
          <w:szCs w:val="24"/>
        </w:rPr>
      </w:pPr>
      <w:r w:rsidRPr="00CB5F81">
        <w:rPr>
          <w:rFonts w:asciiTheme="majorHAnsi" w:hAnsiTheme="majorHAnsi" w:cstheme="majorHAnsi"/>
          <w:sz w:val="24"/>
          <w:szCs w:val="24"/>
        </w:rPr>
        <w:t>La completarea Formularului VEN12, conform reglementărilor MF</w:t>
      </w:r>
      <w:r w:rsidRPr="00CB5F81">
        <w:rPr>
          <w:rStyle w:val="FootnoteReference"/>
          <w:rFonts w:asciiTheme="majorHAnsi" w:hAnsiTheme="majorHAnsi" w:cstheme="majorHAnsi"/>
          <w:sz w:val="24"/>
          <w:szCs w:val="24"/>
        </w:rPr>
        <w:footnoteReference w:id="24"/>
      </w:r>
      <w:r w:rsidRPr="00CB5F81">
        <w:rPr>
          <w:rFonts w:asciiTheme="majorHAnsi" w:hAnsiTheme="majorHAnsi" w:cstheme="majorHAnsi"/>
          <w:sz w:val="24"/>
          <w:szCs w:val="24"/>
        </w:rPr>
        <w:t xml:space="preserve">, instituțiile de învățământ publice și private urmează să indice suma </w:t>
      </w:r>
      <w:r w:rsidRPr="00CB5F81">
        <w:rPr>
          <w:rFonts w:asciiTheme="majorHAnsi" w:hAnsiTheme="majorHAnsi" w:cstheme="majorHAnsi"/>
          <w:i/>
          <w:sz w:val="24"/>
          <w:szCs w:val="24"/>
        </w:rPr>
        <w:t>venitului scutit</w:t>
      </w:r>
      <w:r w:rsidRPr="00CB5F81">
        <w:rPr>
          <w:rFonts w:asciiTheme="majorHAnsi" w:hAnsiTheme="majorHAnsi" w:cstheme="majorHAnsi"/>
          <w:sz w:val="24"/>
          <w:szCs w:val="24"/>
        </w:rPr>
        <w:t xml:space="preserve"> de impozitare</w:t>
      </w:r>
      <w:r w:rsidR="00D405FC">
        <w:rPr>
          <w:rFonts w:asciiTheme="majorHAnsi" w:hAnsiTheme="majorHAnsi" w:cstheme="majorHAnsi"/>
          <w:sz w:val="24"/>
          <w:szCs w:val="24"/>
        </w:rPr>
        <w:t>,</w:t>
      </w:r>
      <w:r w:rsidR="00F76ED2" w:rsidRPr="00CB5F81">
        <w:rPr>
          <w:rFonts w:asciiTheme="majorHAnsi" w:hAnsiTheme="majorHAnsi" w:cstheme="majorHAnsi"/>
          <w:sz w:val="24"/>
          <w:szCs w:val="24"/>
        </w:rPr>
        <w:t xml:space="preserve"> precum și a </w:t>
      </w:r>
      <w:r w:rsidR="00F76ED2" w:rsidRPr="00CB5F81">
        <w:rPr>
          <w:rFonts w:asciiTheme="majorHAnsi" w:hAnsiTheme="majorHAnsi" w:cstheme="majorHAnsi"/>
          <w:i/>
          <w:sz w:val="24"/>
          <w:szCs w:val="24"/>
        </w:rPr>
        <w:t>impozitului pe venit scutit de vărsare la buget</w:t>
      </w:r>
      <w:r w:rsidR="00F76ED2" w:rsidRPr="00CB5F81">
        <w:rPr>
          <w:rFonts w:asciiTheme="majorHAnsi" w:hAnsiTheme="majorHAnsi" w:cstheme="majorHAnsi"/>
          <w:sz w:val="24"/>
          <w:szCs w:val="24"/>
        </w:rPr>
        <w:t xml:space="preserve"> (12%) </w:t>
      </w:r>
      <w:r w:rsidRPr="00CB5F81">
        <w:rPr>
          <w:rFonts w:asciiTheme="majorHAnsi" w:hAnsiTheme="majorHAnsi" w:cstheme="majorHAnsi"/>
          <w:sz w:val="24"/>
          <w:szCs w:val="24"/>
        </w:rPr>
        <w:t>atât în</w:t>
      </w:r>
      <w:r w:rsidR="00F76ED2" w:rsidRPr="00CB5F81">
        <w:rPr>
          <w:rFonts w:asciiTheme="majorHAnsi" w:hAnsiTheme="majorHAnsi" w:cstheme="majorHAnsi"/>
          <w:sz w:val="24"/>
          <w:szCs w:val="24"/>
        </w:rPr>
        <w:t xml:space="preserve"> formular,</w:t>
      </w:r>
      <w:r w:rsidR="00EC1EAF">
        <w:rPr>
          <w:rFonts w:asciiTheme="majorHAnsi" w:hAnsiTheme="majorHAnsi" w:cstheme="majorHAnsi"/>
          <w:sz w:val="24"/>
          <w:szCs w:val="24"/>
        </w:rPr>
        <w:t xml:space="preserve"> </w:t>
      </w:r>
      <w:r w:rsidR="00D405FC">
        <w:rPr>
          <w:rFonts w:asciiTheme="majorHAnsi" w:hAnsiTheme="majorHAnsi" w:cstheme="majorHAnsi"/>
          <w:sz w:val="24"/>
          <w:szCs w:val="24"/>
        </w:rPr>
        <w:t>cât</w:t>
      </w:r>
      <w:r w:rsidRPr="00CB5F81">
        <w:rPr>
          <w:rFonts w:asciiTheme="majorHAnsi" w:hAnsiTheme="majorHAnsi" w:cstheme="majorHAnsi"/>
          <w:sz w:val="24"/>
          <w:szCs w:val="24"/>
        </w:rPr>
        <w:t xml:space="preserve"> și în </w:t>
      </w:r>
      <w:r w:rsidR="00D405FC">
        <w:rPr>
          <w:rFonts w:asciiTheme="majorHAnsi" w:hAnsiTheme="majorHAnsi" w:cstheme="majorHAnsi"/>
          <w:sz w:val="24"/>
          <w:szCs w:val="24"/>
        </w:rPr>
        <w:t>A</w:t>
      </w:r>
      <w:r w:rsidRPr="00CB5F81">
        <w:rPr>
          <w:rFonts w:asciiTheme="majorHAnsi" w:hAnsiTheme="majorHAnsi" w:cstheme="majorHAnsi"/>
          <w:sz w:val="24"/>
          <w:szCs w:val="24"/>
        </w:rPr>
        <w:t xml:space="preserve">nexa 4D </w:t>
      </w:r>
      <w:r w:rsidR="00D405FC">
        <w:rPr>
          <w:rFonts w:asciiTheme="majorHAnsi" w:hAnsiTheme="majorHAnsi" w:cstheme="majorHAnsi"/>
          <w:sz w:val="24"/>
          <w:szCs w:val="24"/>
        </w:rPr>
        <w:t>„</w:t>
      </w:r>
      <w:r w:rsidRPr="00CB5F81">
        <w:rPr>
          <w:rFonts w:asciiTheme="majorHAnsi" w:hAnsiTheme="majorHAnsi" w:cstheme="majorHAnsi"/>
          <w:sz w:val="24"/>
          <w:szCs w:val="24"/>
        </w:rPr>
        <w:t>Suma venitului scutit de impozitare”</w:t>
      </w:r>
      <w:r w:rsidRPr="00CB5F81">
        <w:rPr>
          <w:rStyle w:val="FootnoteReference"/>
          <w:rFonts w:asciiTheme="majorHAnsi" w:hAnsiTheme="majorHAnsi" w:cstheme="majorHAnsi"/>
          <w:sz w:val="24"/>
          <w:szCs w:val="24"/>
        </w:rPr>
        <w:footnoteReference w:id="25"/>
      </w:r>
      <w:r w:rsidRPr="00CB5F81">
        <w:rPr>
          <w:rFonts w:asciiTheme="majorHAnsi" w:hAnsiTheme="majorHAnsi" w:cstheme="majorHAnsi"/>
          <w:sz w:val="24"/>
          <w:szCs w:val="24"/>
        </w:rPr>
        <w:t xml:space="preserve">. </w:t>
      </w:r>
    </w:p>
    <w:p w:rsidR="00D41606" w:rsidRPr="00CB5F81" w:rsidRDefault="00F76ED2" w:rsidP="00F76ED2">
      <w:pPr>
        <w:jc w:val="both"/>
        <w:rPr>
          <w:rFonts w:asciiTheme="majorHAnsi" w:hAnsiTheme="majorHAnsi" w:cstheme="majorHAnsi"/>
          <w:sz w:val="24"/>
          <w:szCs w:val="24"/>
        </w:rPr>
      </w:pPr>
      <w:r w:rsidRPr="00CB5F81">
        <w:rPr>
          <w:rFonts w:asciiTheme="majorHAnsi" w:hAnsiTheme="majorHAnsi" w:cstheme="majorHAnsi"/>
          <w:sz w:val="24"/>
          <w:szCs w:val="24"/>
        </w:rPr>
        <w:t>Conform datelor raportate de SFS</w:t>
      </w:r>
      <w:r w:rsidR="004C4C33" w:rsidRPr="00CB5F81">
        <w:rPr>
          <w:rFonts w:asciiTheme="majorHAnsi" w:hAnsiTheme="majorHAnsi" w:cstheme="majorHAnsi"/>
          <w:sz w:val="24"/>
          <w:szCs w:val="24"/>
        </w:rPr>
        <w:t>,</w:t>
      </w:r>
      <w:r w:rsidRPr="00CB5F81">
        <w:rPr>
          <w:rFonts w:asciiTheme="majorHAnsi" w:hAnsiTheme="majorHAnsi" w:cstheme="majorHAnsi"/>
          <w:sz w:val="24"/>
          <w:szCs w:val="24"/>
        </w:rPr>
        <w:t xml:space="preserve"> </w:t>
      </w:r>
      <w:r w:rsidR="004C4C33" w:rsidRPr="00CB5F81">
        <w:rPr>
          <w:rFonts w:asciiTheme="majorHAnsi" w:hAnsiTheme="majorHAnsi" w:cstheme="majorHAnsi"/>
          <w:sz w:val="24"/>
          <w:szCs w:val="24"/>
        </w:rPr>
        <w:t>preluate automatizat din SI a</w:t>
      </w:r>
      <w:r w:rsidR="00541841">
        <w:rPr>
          <w:rFonts w:asciiTheme="majorHAnsi" w:hAnsiTheme="majorHAnsi" w:cstheme="majorHAnsi"/>
          <w:sz w:val="24"/>
          <w:szCs w:val="24"/>
        </w:rPr>
        <w:t>l</w:t>
      </w:r>
      <w:r w:rsidR="004C4C33" w:rsidRPr="00CB5F81">
        <w:rPr>
          <w:rFonts w:asciiTheme="majorHAnsi" w:hAnsiTheme="majorHAnsi" w:cstheme="majorHAnsi"/>
          <w:sz w:val="24"/>
          <w:szCs w:val="24"/>
        </w:rPr>
        <w:t xml:space="preserve"> SFS</w:t>
      </w:r>
      <w:r w:rsidR="00BC4A20" w:rsidRPr="00CB5F81">
        <w:rPr>
          <w:rFonts w:asciiTheme="majorHAnsi" w:hAnsiTheme="majorHAnsi" w:cstheme="majorHAnsi"/>
          <w:sz w:val="24"/>
          <w:szCs w:val="24"/>
        </w:rPr>
        <w:t>, în anul 2020,</w:t>
      </w:r>
      <w:r w:rsidR="00EC1EAF">
        <w:rPr>
          <w:rFonts w:asciiTheme="majorHAnsi" w:hAnsiTheme="majorHAnsi" w:cstheme="majorHAnsi"/>
          <w:sz w:val="24"/>
          <w:szCs w:val="24"/>
        </w:rPr>
        <w:t xml:space="preserve"> </w:t>
      </w:r>
      <w:r w:rsidRPr="00CB5F81">
        <w:rPr>
          <w:rFonts w:asciiTheme="majorHAnsi" w:hAnsiTheme="majorHAnsi" w:cstheme="majorHAnsi"/>
          <w:sz w:val="24"/>
          <w:szCs w:val="24"/>
        </w:rPr>
        <w:t>au beneficiat de scutire la</w:t>
      </w:r>
      <w:r w:rsidR="00EC1EAF">
        <w:rPr>
          <w:rFonts w:asciiTheme="majorHAnsi" w:hAnsiTheme="majorHAnsi" w:cstheme="majorHAnsi"/>
          <w:sz w:val="24"/>
          <w:szCs w:val="24"/>
        </w:rPr>
        <w:t xml:space="preserve"> </w:t>
      </w:r>
      <w:r w:rsidRPr="00CB5F81">
        <w:rPr>
          <w:rFonts w:asciiTheme="majorHAnsi" w:hAnsiTheme="majorHAnsi" w:cstheme="majorHAnsi"/>
          <w:sz w:val="24"/>
          <w:szCs w:val="24"/>
        </w:rPr>
        <w:t>impozitul pe venit</w:t>
      </w:r>
      <w:r w:rsidR="00EC1EAF">
        <w:rPr>
          <w:rFonts w:asciiTheme="majorHAnsi" w:hAnsiTheme="majorHAnsi" w:cstheme="majorHAnsi"/>
          <w:sz w:val="24"/>
          <w:szCs w:val="24"/>
        </w:rPr>
        <w:t xml:space="preserve"> </w:t>
      </w:r>
      <w:r w:rsidR="00D41606" w:rsidRPr="00CB5F81">
        <w:rPr>
          <w:rFonts w:asciiTheme="majorHAnsi" w:hAnsiTheme="majorHAnsi" w:cstheme="majorHAnsi"/>
          <w:sz w:val="24"/>
          <w:szCs w:val="24"/>
        </w:rPr>
        <w:t>138 de</w:t>
      </w:r>
      <w:r w:rsidR="00EC1EAF">
        <w:rPr>
          <w:rFonts w:asciiTheme="majorHAnsi" w:hAnsiTheme="majorHAnsi" w:cstheme="majorHAnsi"/>
          <w:sz w:val="24"/>
          <w:szCs w:val="24"/>
        </w:rPr>
        <w:t xml:space="preserve"> </w:t>
      </w:r>
      <w:r w:rsidR="00D41606" w:rsidRPr="00CB5F81">
        <w:rPr>
          <w:rFonts w:asciiTheme="majorHAnsi" w:hAnsiTheme="majorHAnsi" w:cstheme="majorHAnsi"/>
          <w:sz w:val="24"/>
          <w:szCs w:val="24"/>
        </w:rPr>
        <w:t>instituții de învățământ</w:t>
      </w:r>
      <w:r w:rsidR="00541841">
        <w:rPr>
          <w:rFonts w:asciiTheme="majorHAnsi" w:hAnsiTheme="majorHAnsi" w:cstheme="majorHAnsi"/>
          <w:sz w:val="24"/>
          <w:szCs w:val="24"/>
        </w:rPr>
        <w:t>,</w:t>
      </w:r>
      <w:r w:rsidR="00D41606" w:rsidRPr="00CB5F81">
        <w:rPr>
          <w:rFonts w:asciiTheme="majorHAnsi" w:hAnsiTheme="majorHAnsi" w:cstheme="majorHAnsi"/>
          <w:sz w:val="24"/>
          <w:szCs w:val="24"/>
        </w:rPr>
        <w:t xml:space="preserve"> </w:t>
      </w:r>
      <w:r w:rsidRPr="00CB5F81">
        <w:rPr>
          <w:rFonts w:asciiTheme="majorHAnsi" w:hAnsiTheme="majorHAnsi" w:cstheme="majorHAnsi"/>
          <w:sz w:val="24"/>
          <w:szCs w:val="24"/>
        </w:rPr>
        <w:t>în valoare totală de 191,9 mil. lei</w:t>
      </w:r>
      <w:r w:rsidR="00541841">
        <w:rPr>
          <w:rFonts w:asciiTheme="majorHAnsi" w:hAnsiTheme="majorHAnsi" w:cstheme="majorHAnsi"/>
          <w:sz w:val="24"/>
          <w:szCs w:val="24"/>
        </w:rPr>
        <w:t xml:space="preserve">, </w:t>
      </w:r>
      <w:r w:rsidR="00D41606" w:rsidRPr="00CB5F81">
        <w:rPr>
          <w:rFonts w:asciiTheme="majorHAnsi" w:hAnsiTheme="majorHAnsi" w:cstheme="majorHAnsi"/>
          <w:sz w:val="24"/>
          <w:szCs w:val="24"/>
        </w:rPr>
        <w:t xml:space="preserve"> </w:t>
      </w:r>
      <w:r w:rsidR="00541841">
        <w:rPr>
          <w:rFonts w:asciiTheme="majorHAnsi" w:hAnsiTheme="majorHAnsi" w:cstheme="majorHAnsi"/>
          <w:sz w:val="24"/>
          <w:szCs w:val="24"/>
        </w:rPr>
        <w:t>î</w:t>
      </w:r>
      <w:r w:rsidR="00D41606" w:rsidRPr="00CB5F81">
        <w:rPr>
          <w:rFonts w:asciiTheme="majorHAnsi" w:hAnsiTheme="majorHAnsi" w:cstheme="majorHAnsi"/>
          <w:sz w:val="24"/>
          <w:szCs w:val="24"/>
        </w:rPr>
        <w:t xml:space="preserve">nsă calculele de audit denotă că costul bugetar al </w:t>
      </w:r>
      <w:r w:rsidR="00B60B1A" w:rsidRPr="00CB5F81">
        <w:rPr>
          <w:rFonts w:asciiTheme="majorHAnsi" w:hAnsiTheme="majorHAnsi" w:cstheme="majorHAnsi"/>
          <w:sz w:val="24"/>
          <w:szCs w:val="24"/>
        </w:rPr>
        <w:t>acestei facilități a constituit</w:t>
      </w:r>
      <w:r w:rsidR="00D41606" w:rsidRPr="00CB5F81">
        <w:rPr>
          <w:rFonts w:asciiTheme="majorHAnsi" w:hAnsiTheme="majorHAnsi" w:cstheme="majorHAnsi"/>
          <w:sz w:val="24"/>
          <w:szCs w:val="24"/>
        </w:rPr>
        <w:t xml:space="preserve"> doar </w:t>
      </w:r>
      <w:r w:rsidR="001E064D" w:rsidRPr="00CB5F81">
        <w:rPr>
          <w:rFonts w:asciiTheme="majorHAnsi" w:hAnsiTheme="majorHAnsi" w:cstheme="majorHAnsi"/>
          <w:sz w:val="24"/>
          <w:szCs w:val="24"/>
        </w:rPr>
        <w:t>22</w:t>
      </w:r>
      <w:r w:rsidR="00D41606" w:rsidRPr="00CB5F81">
        <w:rPr>
          <w:rFonts w:asciiTheme="majorHAnsi" w:hAnsiTheme="majorHAnsi" w:cstheme="majorHAnsi"/>
          <w:sz w:val="24"/>
          <w:szCs w:val="24"/>
        </w:rPr>
        <w:t>,</w:t>
      </w:r>
      <w:r w:rsidR="001E064D" w:rsidRPr="00CB5F81">
        <w:rPr>
          <w:rFonts w:asciiTheme="majorHAnsi" w:hAnsiTheme="majorHAnsi" w:cstheme="majorHAnsi"/>
          <w:sz w:val="24"/>
          <w:szCs w:val="24"/>
        </w:rPr>
        <w:t>9</w:t>
      </w:r>
      <w:r w:rsidR="00D41606" w:rsidRPr="00CB5F81">
        <w:rPr>
          <w:rFonts w:asciiTheme="majorHAnsi" w:hAnsiTheme="majorHAnsi" w:cstheme="majorHAnsi"/>
          <w:sz w:val="24"/>
          <w:szCs w:val="24"/>
        </w:rPr>
        <w:t xml:space="preserve"> mil. lei,</w:t>
      </w:r>
      <w:r w:rsidR="001E064D" w:rsidRPr="00CB5F81">
        <w:rPr>
          <w:rFonts w:asciiTheme="majorHAnsi" w:hAnsiTheme="majorHAnsi" w:cstheme="majorHAnsi"/>
          <w:sz w:val="24"/>
          <w:szCs w:val="24"/>
        </w:rPr>
        <w:t xml:space="preserve"> </w:t>
      </w:r>
      <w:r w:rsidR="00D41606" w:rsidRPr="00CB5F81">
        <w:rPr>
          <w:rFonts w:asciiTheme="majorHAnsi" w:hAnsiTheme="majorHAnsi" w:cstheme="majorHAnsi"/>
          <w:sz w:val="24"/>
          <w:szCs w:val="24"/>
        </w:rPr>
        <w:lastRenderedPageBreak/>
        <w:t xml:space="preserve">sau cu </w:t>
      </w:r>
      <w:r w:rsidR="00D41606" w:rsidRPr="00CB5F81">
        <w:rPr>
          <w:rFonts w:asciiTheme="majorHAnsi" w:hAnsiTheme="majorHAnsi" w:cstheme="majorHAnsi"/>
          <w:i/>
          <w:sz w:val="24"/>
          <w:szCs w:val="24"/>
        </w:rPr>
        <w:t>1</w:t>
      </w:r>
      <w:r w:rsidR="001E064D" w:rsidRPr="00CB5F81">
        <w:rPr>
          <w:rFonts w:asciiTheme="majorHAnsi" w:hAnsiTheme="majorHAnsi" w:cstheme="majorHAnsi"/>
          <w:i/>
          <w:sz w:val="24"/>
          <w:szCs w:val="24"/>
        </w:rPr>
        <w:t>69,1</w:t>
      </w:r>
      <w:r w:rsidR="00D41606" w:rsidRPr="00CB5F81">
        <w:rPr>
          <w:rFonts w:asciiTheme="majorHAnsi" w:hAnsiTheme="majorHAnsi" w:cstheme="majorHAnsi"/>
          <w:i/>
          <w:sz w:val="24"/>
          <w:szCs w:val="24"/>
        </w:rPr>
        <w:t xml:space="preserve"> mil. lei mai puțin</w:t>
      </w:r>
      <w:r w:rsidR="00B60B1A" w:rsidRPr="00CB5F81">
        <w:rPr>
          <w:rFonts w:asciiTheme="majorHAnsi" w:hAnsiTheme="majorHAnsi" w:cstheme="majorHAnsi"/>
          <w:i/>
          <w:sz w:val="24"/>
          <w:szCs w:val="24"/>
        </w:rPr>
        <w:t xml:space="preserve"> </w:t>
      </w:r>
      <w:r w:rsidR="00B60B1A" w:rsidRPr="00CB5F81">
        <w:rPr>
          <w:rFonts w:asciiTheme="majorHAnsi" w:hAnsiTheme="majorHAnsi" w:cstheme="majorHAnsi"/>
          <w:sz w:val="24"/>
          <w:szCs w:val="24"/>
        </w:rPr>
        <w:t>decât a raportat SFS.</w:t>
      </w:r>
      <w:r w:rsidR="00D41606" w:rsidRPr="00CB5F81">
        <w:rPr>
          <w:rFonts w:asciiTheme="majorHAnsi" w:hAnsiTheme="majorHAnsi" w:cstheme="majorHAnsi"/>
          <w:i/>
          <w:sz w:val="24"/>
          <w:szCs w:val="24"/>
        </w:rPr>
        <w:t xml:space="preserve"> </w:t>
      </w:r>
      <w:r w:rsidR="00D41606" w:rsidRPr="00CB5F81">
        <w:rPr>
          <w:rFonts w:asciiTheme="majorHAnsi" w:hAnsiTheme="majorHAnsi" w:cstheme="majorHAnsi"/>
          <w:sz w:val="24"/>
          <w:szCs w:val="24"/>
        </w:rPr>
        <w:t>Cauza acestor erori se exprimă prin</w:t>
      </w:r>
      <w:r w:rsidR="00E2007D" w:rsidRPr="00CB5F81">
        <w:rPr>
          <w:rFonts w:asciiTheme="majorHAnsi" w:hAnsiTheme="majorHAnsi" w:cstheme="majorHAnsi"/>
          <w:sz w:val="24"/>
          <w:szCs w:val="24"/>
        </w:rPr>
        <w:t xml:space="preserve"> următoarele</w:t>
      </w:r>
      <w:r w:rsidR="00D41606" w:rsidRPr="00CB5F81">
        <w:rPr>
          <w:rFonts w:asciiTheme="majorHAnsi" w:hAnsiTheme="majorHAnsi" w:cstheme="majorHAnsi"/>
          <w:sz w:val="24"/>
          <w:szCs w:val="24"/>
        </w:rPr>
        <w:t>:</w:t>
      </w:r>
    </w:p>
    <w:p w:rsidR="00D41606" w:rsidRPr="00CB5F81" w:rsidRDefault="00D41606" w:rsidP="00D04386">
      <w:pPr>
        <w:pStyle w:val="ListParagraph"/>
        <w:numPr>
          <w:ilvl w:val="0"/>
          <w:numId w:val="6"/>
        </w:numPr>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din cei 138</w:t>
      </w:r>
      <w:r w:rsidR="00541841">
        <w:rPr>
          <w:rFonts w:asciiTheme="majorHAnsi" w:hAnsiTheme="majorHAnsi" w:cstheme="majorHAnsi"/>
          <w:sz w:val="24"/>
          <w:szCs w:val="24"/>
          <w:lang w:val="ro-MD"/>
        </w:rPr>
        <w:t xml:space="preserve"> de</w:t>
      </w:r>
      <w:r w:rsidRPr="00CB5F81">
        <w:rPr>
          <w:rFonts w:asciiTheme="majorHAnsi" w:hAnsiTheme="majorHAnsi" w:cstheme="majorHAnsi"/>
          <w:sz w:val="24"/>
          <w:szCs w:val="24"/>
          <w:lang w:val="ro-MD"/>
        </w:rPr>
        <w:t xml:space="preserve"> contribuabili,</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doar 60% (84)</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au completat corect darea de seamă</w:t>
      </w:r>
      <w:r w:rsidR="00B60B1A" w:rsidRPr="00CB5F81">
        <w:rPr>
          <w:rFonts w:asciiTheme="majorHAnsi" w:hAnsiTheme="majorHAnsi" w:cstheme="majorHAnsi"/>
          <w:sz w:val="24"/>
          <w:szCs w:val="24"/>
          <w:lang w:val="ro-MD"/>
        </w:rPr>
        <w:t>,</w:t>
      </w:r>
      <w:r w:rsidRPr="00CB5F81">
        <w:rPr>
          <w:rFonts w:asciiTheme="majorHAnsi" w:hAnsiTheme="majorHAnsi" w:cstheme="majorHAnsi"/>
          <w:sz w:val="24"/>
          <w:szCs w:val="24"/>
          <w:lang w:val="ro-MD"/>
        </w:rPr>
        <w:t xml:space="preserve"> </w:t>
      </w:r>
      <w:r w:rsidR="00E2007D" w:rsidRPr="00CB5F81">
        <w:rPr>
          <w:rFonts w:asciiTheme="majorHAnsi" w:hAnsiTheme="majorHAnsi" w:cstheme="majorHAnsi"/>
          <w:sz w:val="24"/>
          <w:szCs w:val="24"/>
          <w:lang w:val="ro-MD"/>
        </w:rPr>
        <w:t>în rest</w:t>
      </w:r>
      <w:r w:rsidR="00EC1EAF">
        <w:rPr>
          <w:rFonts w:asciiTheme="majorHAnsi" w:hAnsiTheme="majorHAnsi" w:cstheme="majorHAnsi"/>
          <w:sz w:val="24"/>
          <w:szCs w:val="24"/>
          <w:lang w:val="ro-MD"/>
        </w:rPr>
        <w:t xml:space="preserve"> </w:t>
      </w:r>
      <w:r w:rsidR="00541841">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 xml:space="preserve">40% (54 </w:t>
      </w:r>
      <w:r w:rsidR="00541841">
        <w:rPr>
          <w:rFonts w:asciiTheme="majorHAnsi" w:hAnsiTheme="majorHAnsi" w:cstheme="majorHAnsi"/>
          <w:sz w:val="24"/>
          <w:szCs w:val="24"/>
          <w:lang w:val="ro-MD"/>
        </w:rPr>
        <w:t xml:space="preserve">de </w:t>
      </w:r>
      <w:r w:rsidRPr="00CB5F81">
        <w:rPr>
          <w:rFonts w:asciiTheme="majorHAnsi" w:hAnsiTheme="majorHAnsi" w:cstheme="majorHAnsi"/>
          <w:sz w:val="24"/>
          <w:szCs w:val="24"/>
          <w:lang w:val="ro-MD"/>
        </w:rPr>
        <w:t>contribuabili)</w:t>
      </w:r>
      <w:r w:rsidR="00541841">
        <w:rPr>
          <w:rFonts w:asciiTheme="majorHAnsi" w:hAnsiTheme="majorHAnsi" w:cstheme="majorHAnsi"/>
          <w:sz w:val="24"/>
          <w:szCs w:val="24"/>
          <w:lang w:val="ro-MD"/>
        </w:rPr>
        <w:t>,</w:t>
      </w:r>
      <w:r w:rsidRPr="00CB5F81">
        <w:rPr>
          <w:rFonts w:asciiTheme="majorHAnsi" w:hAnsiTheme="majorHAnsi" w:cstheme="majorHAnsi"/>
          <w:sz w:val="24"/>
          <w:szCs w:val="24"/>
          <w:lang w:val="ro-MD"/>
        </w:rPr>
        <w:t xml:space="preserve"> în loc</w:t>
      </w:r>
      <w:r w:rsidR="00B60B1A" w:rsidRPr="00CB5F81">
        <w:rPr>
          <w:rFonts w:asciiTheme="majorHAnsi" w:hAnsiTheme="majorHAnsi" w:cstheme="majorHAnsi"/>
          <w:sz w:val="24"/>
          <w:szCs w:val="24"/>
          <w:lang w:val="ro-MD"/>
        </w:rPr>
        <w:t xml:space="preserve"> să</w:t>
      </w:r>
      <w:r w:rsidR="00E2007D" w:rsidRPr="00CB5F81">
        <w:rPr>
          <w:rFonts w:asciiTheme="majorHAnsi" w:hAnsiTheme="majorHAnsi" w:cstheme="majorHAnsi"/>
          <w:sz w:val="24"/>
          <w:szCs w:val="24"/>
          <w:lang w:val="ro-MD"/>
        </w:rPr>
        <w:t xml:space="preserve"> reflecte</w:t>
      </w:r>
      <w:r w:rsidRPr="00CB5F81">
        <w:rPr>
          <w:rFonts w:asciiTheme="majorHAnsi" w:hAnsiTheme="majorHAnsi" w:cstheme="majorHAnsi"/>
          <w:sz w:val="24"/>
          <w:szCs w:val="24"/>
          <w:lang w:val="ro-MD"/>
        </w:rPr>
        <w:t xml:space="preserve"> suma impozitului </w:t>
      </w:r>
      <w:r w:rsidR="00E2007D" w:rsidRPr="00CB5F81">
        <w:rPr>
          <w:rFonts w:asciiTheme="majorHAnsi" w:hAnsiTheme="majorHAnsi" w:cstheme="majorHAnsi"/>
          <w:sz w:val="24"/>
          <w:szCs w:val="24"/>
          <w:lang w:val="ro-MD"/>
        </w:rPr>
        <w:t xml:space="preserve">spre achitare </w:t>
      </w:r>
      <w:r w:rsidRPr="00CB5F81">
        <w:rPr>
          <w:rFonts w:asciiTheme="majorHAnsi" w:hAnsiTheme="majorHAnsi" w:cstheme="majorHAnsi"/>
          <w:sz w:val="24"/>
          <w:szCs w:val="24"/>
          <w:lang w:val="ro-MD"/>
        </w:rPr>
        <w:t xml:space="preserve">la buget </w:t>
      </w:r>
      <w:r w:rsidR="00E2007D" w:rsidRPr="00CB5F81">
        <w:rPr>
          <w:rFonts w:asciiTheme="majorHAnsi" w:hAnsiTheme="majorHAnsi" w:cstheme="majorHAnsi"/>
          <w:sz w:val="24"/>
          <w:szCs w:val="24"/>
          <w:lang w:val="ro-MD"/>
        </w:rPr>
        <w:t>(care de fapt constituia</w:t>
      </w:r>
      <w:r w:rsidRPr="00CB5F81">
        <w:rPr>
          <w:rFonts w:asciiTheme="majorHAnsi" w:hAnsiTheme="majorHAnsi" w:cstheme="majorHAnsi"/>
          <w:sz w:val="24"/>
          <w:szCs w:val="24"/>
          <w:lang w:val="ro-MD"/>
        </w:rPr>
        <w:t xml:space="preserve"> </w:t>
      </w:r>
      <w:r w:rsidR="00E2007D" w:rsidRPr="00CB5F81">
        <w:rPr>
          <w:rFonts w:asciiTheme="majorHAnsi" w:hAnsiTheme="majorHAnsi" w:cstheme="majorHAnsi"/>
          <w:sz w:val="24"/>
          <w:szCs w:val="24"/>
          <w:lang w:val="ro-MD"/>
        </w:rPr>
        <w:t>valoarea facilității),</w:t>
      </w:r>
      <w:r w:rsidRPr="00CB5F81">
        <w:rPr>
          <w:rFonts w:asciiTheme="majorHAnsi" w:hAnsiTheme="majorHAnsi" w:cstheme="majorHAnsi"/>
          <w:sz w:val="24"/>
          <w:szCs w:val="24"/>
          <w:lang w:val="ro-MD"/>
        </w:rPr>
        <w:t xml:space="preserve"> au indicat suma </w:t>
      </w:r>
      <w:r w:rsidR="00E2007D" w:rsidRPr="00CB5F81">
        <w:rPr>
          <w:rFonts w:asciiTheme="majorHAnsi" w:hAnsiTheme="majorHAnsi" w:cstheme="majorHAnsi"/>
          <w:sz w:val="24"/>
          <w:szCs w:val="24"/>
          <w:lang w:val="ro-MD"/>
        </w:rPr>
        <w:t xml:space="preserve">totală a </w:t>
      </w:r>
      <w:r w:rsidRPr="00CB5F81">
        <w:rPr>
          <w:rFonts w:asciiTheme="majorHAnsi" w:hAnsiTheme="majorHAnsi" w:cstheme="majorHAnsi"/>
          <w:sz w:val="24"/>
          <w:szCs w:val="24"/>
          <w:lang w:val="ro-MD"/>
        </w:rPr>
        <w:t>venitului impozabil. În acest context</w:t>
      </w:r>
      <w:r w:rsidR="00541841">
        <w:rPr>
          <w:rFonts w:asciiTheme="majorHAnsi" w:hAnsiTheme="majorHAnsi" w:cstheme="majorHAnsi"/>
          <w:sz w:val="24"/>
          <w:szCs w:val="24"/>
          <w:lang w:val="ro-MD"/>
        </w:rPr>
        <w:t>,</w:t>
      </w:r>
      <w:r w:rsidRPr="00CB5F81">
        <w:rPr>
          <w:rFonts w:asciiTheme="majorHAnsi" w:hAnsiTheme="majorHAnsi" w:cstheme="majorHAnsi"/>
          <w:sz w:val="24"/>
          <w:szCs w:val="24"/>
          <w:lang w:val="ro-MD"/>
        </w:rPr>
        <w:t xml:space="preserve"> se exemplifică situația constatată la IP </w:t>
      </w:r>
      <w:r w:rsidR="00E2007D" w:rsidRPr="00CB5F81">
        <w:rPr>
          <w:rFonts w:asciiTheme="majorHAnsi" w:hAnsiTheme="majorHAnsi" w:cstheme="majorHAnsi"/>
          <w:sz w:val="24"/>
          <w:szCs w:val="24"/>
          <w:lang w:val="ro-MD"/>
        </w:rPr>
        <w:t>L</w:t>
      </w:r>
      <w:r w:rsidRPr="00CB5F81">
        <w:rPr>
          <w:rFonts w:asciiTheme="majorHAnsi" w:hAnsiTheme="majorHAnsi" w:cstheme="majorHAnsi"/>
          <w:sz w:val="24"/>
          <w:szCs w:val="24"/>
          <w:lang w:val="ro-MD"/>
        </w:rPr>
        <w:t xml:space="preserve">iceul Republican cu </w:t>
      </w:r>
      <w:r w:rsidR="00541841">
        <w:rPr>
          <w:rFonts w:asciiTheme="majorHAnsi" w:hAnsiTheme="majorHAnsi" w:cstheme="majorHAnsi"/>
          <w:sz w:val="24"/>
          <w:szCs w:val="24"/>
          <w:lang w:val="ro-MD"/>
        </w:rPr>
        <w:t>P</w:t>
      </w:r>
      <w:r w:rsidRPr="00CB5F81">
        <w:rPr>
          <w:rFonts w:asciiTheme="majorHAnsi" w:hAnsiTheme="majorHAnsi" w:cstheme="majorHAnsi"/>
          <w:sz w:val="24"/>
          <w:szCs w:val="24"/>
          <w:lang w:val="ro-MD"/>
        </w:rPr>
        <w:t xml:space="preserve">rofil </w:t>
      </w:r>
      <w:r w:rsidR="00541841">
        <w:rPr>
          <w:rFonts w:asciiTheme="majorHAnsi" w:hAnsiTheme="majorHAnsi" w:cstheme="majorHAnsi"/>
          <w:sz w:val="24"/>
          <w:szCs w:val="24"/>
          <w:lang w:val="ro-MD"/>
        </w:rPr>
        <w:t>S</w:t>
      </w:r>
      <w:r w:rsidRPr="00CB5F81">
        <w:rPr>
          <w:rFonts w:asciiTheme="majorHAnsi" w:hAnsiTheme="majorHAnsi" w:cstheme="majorHAnsi"/>
          <w:sz w:val="24"/>
          <w:szCs w:val="24"/>
          <w:lang w:val="ro-MD"/>
        </w:rPr>
        <w:t>portiv</w:t>
      </w:r>
      <w:r w:rsidR="00541841">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care pentru anul 2020 a raportat atât</w:t>
      </w:r>
      <w:r w:rsidR="00B60B1A" w:rsidRPr="00CB5F81">
        <w:rPr>
          <w:rFonts w:asciiTheme="majorHAnsi" w:hAnsiTheme="majorHAnsi" w:cstheme="majorHAnsi"/>
          <w:sz w:val="24"/>
          <w:szCs w:val="24"/>
          <w:lang w:val="ro-MD"/>
        </w:rPr>
        <w:t xml:space="preserve"> ca</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venit</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 xml:space="preserve">impozabil, cât și </w:t>
      </w:r>
      <w:r w:rsidR="00541841">
        <w:rPr>
          <w:rFonts w:asciiTheme="majorHAnsi" w:hAnsiTheme="majorHAnsi" w:cstheme="majorHAnsi"/>
          <w:sz w:val="24"/>
          <w:szCs w:val="24"/>
          <w:lang w:val="ro-MD"/>
        </w:rPr>
        <w:t xml:space="preserve">ca </w:t>
      </w:r>
      <w:r w:rsidR="00B60B1A" w:rsidRPr="00CB5F81">
        <w:rPr>
          <w:rFonts w:asciiTheme="majorHAnsi" w:hAnsiTheme="majorHAnsi" w:cstheme="majorHAnsi"/>
          <w:sz w:val="24"/>
          <w:szCs w:val="24"/>
          <w:lang w:val="ro-MD"/>
        </w:rPr>
        <w:t>impozit p</w:t>
      </w:r>
      <w:r w:rsidR="00E2007D" w:rsidRPr="00CB5F81">
        <w:rPr>
          <w:rFonts w:asciiTheme="majorHAnsi" w:hAnsiTheme="majorHAnsi" w:cstheme="majorHAnsi"/>
          <w:sz w:val="24"/>
          <w:szCs w:val="24"/>
          <w:lang w:val="ro-MD"/>
        </w:rPr>
        <w:t>e venit suma</w:t>
      </w:r>
      <w:r w:rsidRPr="00CB5F81">
        <w:rPr>
          <w:rFonts w:asciiTheme="majorHAnsi" w:hAnsiTheme="majorHAnsi" w:cstheme="majorHAnsi"/>
          <w:sz w:val="24"/>
          <w:szCs w:val="24"/>
          <w:lang w:val="ro-MD"/>
        </w:rPr>
        <w:t xml:space="preserve"> de </w:t>
      </w:r>
      <w:r w:rsidR="00B60B1A" w:rsidRPr="00CB5F81">
        <w:rPr>
          <w:rFonts w:asciiTheme="majorHAnsi" w:hAnsiTheme="majorHAnsi" w:cstheme="majorHAnsi"/>
          <w:sz w:val="24"/>
          <w:szCs w:val="24"/>
          <w:lang w:val="ro-MD"/>
        </w:rPr>
        <w:t>147,8 mil. lei</w:t>
      </w:r>
      <w:r w:rsidR="00E2007D" w:rsidRPr="00CB5F81">
        <w:rPr>
          <w:rFonts w:asciiTheme="majorHAnsi" w:hAnsiTheme="majorHAnsi" w:cstheme="majorHAnsi"/>
          <w:sz w:val="24"/>
          <w:szCs w:val="24"/>
          <w:lang w:val="ro-MD"/>
        </w:rPr>
        <w:t>, deși impozitul pe venit constituia 17</w:t>
      </w:r>
      <w:r w:rsidR="001E064D" w:rsidRPr="00CB5F81">
        <w:rPr>
          <w:rFonts w:asciiTheme="majorHAnsi" w:hAnsiTheme="majorHAnsi" w:cstheme="majorHAnsi"/>
          <w:sz w:val="24"/>
          <w:szCs w:val="24"/>
          <w:lang w:val="ro-MD"/>
        </w:rPr>
        <w:t>,</w:t>
      </w:r>
      <w:r w:rsidR="00E2007D" w:rsidRPr="00CB5F81">
        <w:rPr>
          <w:rFonts w:asciiTheme="majorHAnsi" w:hAnsiTheme="majorHAnsi" w:cstheme="majorHAnsi"/>
          <w:sz w:val="24"/>
          <w:szCs w:val="24"/>
          <w:lang w:val="ro-MD"/>
        </w:rPr>
        <w:t>7 mil</w:t>
      </w:r>
      <w:r w:rsidR="001E064D" w:rsidRPr="00CB5F81">
        <w:rPr>
          <w:rFonts w:asciiTheme="majorHAnsi" w:hAnsiTheme="majorHAnsi" w:cstheme="majorHAnsi"/>
          <w:sz w:val="24"/>
          <w:szCs w:val="24"/>
          <w:lang w:val="ro-MD"/>
        </w:rPr>
        <w:t>.</w:t>
      </w:r>
      <w:r w:rsidR="00E2007D" w:rsidRPr="00CB5F81">
        <w:rPr>
          <w:rFonts w:asciiTheme="majorHAnsi" w:hAnsiTheme="majorHAnsi" w:cstheme="majorHAnsi"/>
          <w:sz w:val="24"/>
          <w:szCs w:val="24"/>
          <w:lang w:val="ro-MD"/>
        </w:rPr>
        <w:t xml:space="preserve"> lei</w:t>
      </w:r>
      <w:r w:rsidRPr="00CB5F81">
        <w:rPr>
          <w:rFonts w:asciiTheme="majorHAnsi" w:hAnsiTheme="majorHAnsi" w:cstheme="majorHAnsi"/>
          <w:sz w:val="24"/>
          <w:szCs w:val="24"/>
          <w:lang w:val="ro-MD"/>
        </w:rPr>
        <w:t>;</w:t>
      </w:r>
    </w:p>
    <w:p w:rsidR="006341F1" w:rsidRPr="00CB5F81" w:rsidRDefault="00B60B1A" w:rsidP="00D04386">
      <w:pPr>
        <w:pStyle w:val="ListParagraph"/>
        <w:numPr>
          <w:ilvl w:val="0"/>
          <w:numId w:val="6"/>
        </w:numPr>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 xml:space="preserve">formularea neexplicită a indicatorului care se conține în </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 xml:space="preserve">Anexa 4D, </w:t>
      </w:r>
      <w:r w:rsidR="00541841">
        <w:rPr>
          <w:rFonts w:asciiTheme="majorHAnsi" w:hAnsiTheme="majorHAnsi" w:cstheme="majorHAnsi"/>
          <w:sz w:val="24"/>
          <w:szCs w:val="24"/>
          <w:lang w:val="ro-MD"/>
        </w:rPr>
        <w:t>unde</w:t>
      </w:r>
      <w:r w:rsidRPr="00CB5F81">
        <w:rPr>
          <w:rFonts w:asciiTheme="majorHAnsi" w:hAnsiTheme="majorHAnsi" w:cstheme="majorHAnsi"/>
          <w:sz w:val="24"/>
          <w:szCs w:val="24"/>
          <w:lang w:val="ro-MD"/>
        </w:rPr>
        <w:t xml:space="preserve"> se reflectă suma facilității la ace</w:t>
      </w:r>
      <w:r w:rsidR="00002CB4">
        <w:rPr>
          <w:rFonts w:asciiTheme="majorHAnsi" w:hAnsiTheme="majorHAnsi" w:cstheme="majorHAnsi"/>
          <w:sz w:val="24"/>
          <w:szCs w:val="24"/>
          <w:lang w:val="ro-MD"/>
        </w:rPr>
        <w:t>a</w:t>
      </w:r>
      <w:r w:rsidRPr="00CB5F81">
        <w:rPr>
          <w:rFonts w:asciiTheme="majorHAnsi" w:hAnsiTheme="majorHAnsi" w:cstheme="majorHAnsi"/>
          <w:sz w:val="24"/>
          <w:szCs w:val="24"/>
          <w:lang w:val="ro-MD"/>
        </w:rPr>
        <w:t>stă sursă de venituri.</w:t>
      </w:r>
    </w:p>
    <w:p w:rsidR="00E2007D" w:rsidRPr="00CB5F81" w:rsidRDefault="00E2007D" w:rsidP="00E2007D">
      <w:pPr>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t xml:space="preserve">Situații similare se atestă </w:t>
      </w:r>
      <w:r w:rsidR="00E818C4" w:rsidRPr="00CB5F81">
        <w:rPr>
          <w:rFonts w:asciiTheme="majorHAnsi" w:eastAsiaTheme="minorEastAsia" w:hAnsiTheme="majorHAnsi" w:cstheme="majorHAnsi"/>
          <w:sz w:val="24"/>
          <w:szCs w:val="24"/>
          <w:lang w:eastAsia="ru-RU"/>
        </w:rPr>
        <w:t xml:space="preserve">și </w:t>
      </w:r>
      <w:r w:rsidRPr="00CB5F81">
        <w:rPr>
          <w:rFonts w:asciiTheme="majorHAnsi" w:eastAsiaTheme="minorEastAsia" w:hAnsiTheme="majorHAnsi" w:cstheme="majorHAnsi"/>
          <w:sz w:val="24"/>
          <w:szCs w:val="24"/>
          <w:lang w:eastAsia="ru-RU"/>
        </w:rPr>
        <w:t xml:space="preserve">la alți 53 din cei 138 </w:t>
      </w:r>
      <w:r w:rsidR="00865749">
        <w:rPr>
          <w:rFonts w:asciiTheme="majorHAnsi" w:eastAsiaTheme="minorEastAsia" w:hAnsiTheme="majorHAnsi" w:cstheme="majorHAnsi"/>
          <w:sz w:val="24"/>
          <w:szCs w:val="24"/>
          <w:lang w:eastAsia="ru-RU"/>
        </w:rPr>
        <w:t xml:space="preserve">de </w:t>
      </w:r>
      <w:r w:rsidRPr="00CB5F81">
        <w:rPr>
          <w:rFonts w:asciiTheme="majorHAnsi" w:eastAsiaTheme="minorEastAsia" w:hAnsiTheme="majorHAnsi" w:cstheme="majorHAnsi"/>
          <w:sz w:val="24"/>
          <w:szCs w:val="24"/>
          <w:lang w:eastAsia="ru-RU"/>
        </w:rPr>
        <w:t xml:space="preserve">contribuabili raportați de SFS, cei mai </w:t>
      </w:r>
      <w:r w:rsidRPr="00C70E4C">
        <w:rPr>
          <w:rFonts w:asciiTheme="majorHAnsi" w:eastAsiaTheme="minorEastAsia" w:hAnsiTheme="majorHAnsi" w:cstheme="majorHAnsi"/>
          <w:sz w:val="24"/>
          <w:szCs w:val="24"/>
          <w:lang w:eastAsia="ru-RU"/>
        </w:rPr>
        <w:t>semnificativi</w:t>
      </w:r>
      <w:r w:rsidR="00865749" w:rsidRPr="00C70E4C">
        <w:rPr>
          <w:rFonts w:asciiTheme="majorHAnsi" w:eastAsiaTheme="minorEastAsia" w:hAnsiTheme="majorHAnsi" w:cstheme="majorHAnsi"/>
          <w:sz w:val="24"/>
          <w:szCs w:val="24"/>
          <w:lang w:eastAsia="ru-RU"/>
        </w:rPr>
        <w:t>,</w:t>
      </w:r>
      <w:r w:rsidRPr="00C70E4C">
        <w:rPr>
          <w:rFonts w:asciiTheme="majorHAnsi" w:eastAsiaTheme="minorEastAsia" w:hAnsiTheme="majorHAnsi" w:cstheme="majorHAnsi"/>
          <w:sz w:val="24"/>
          <w:szCs w:val="24"/>
          <w:lang w:eastAsia="ru-RU"/>
        </w:rPr>
        <w:t xml:space="preserve"> care</w:t>
      </w:r>
      <w:r w:rsidRPr="00CB5F81">
        <w:rPr>
          <w:rFonts w:asciiTheme="majorHAnsi" w:eastAsiaTheme="minorEastAsia" w:hAnsiTheme="majorHAnsi" w:cstheme="majorHAnsi"/>
          <w:sz w:val="24"/>
          <w:szCs w:val="24"/>
          <w:lang w:eastAsia="ru-RU"/>
        </w:rPr>
        <w:t xml:space="preserve"> au admis greșeli</w:t>
      </w:r>
      <w:r w:rsidR="00865749">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fiind:</w:t>
      </w:r>
      <w:r w:rsidR="00EC1EAF">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 xml:space="preserve">Gimnaziul </w:t>
      </w:r>
      <w:r w:rsidR="00865749">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M. Eminescu</w:t>
      </w:r>
      <w:r w:rsidR="00865749">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or. Telenești </w:t>
      </w:r>
      <w:r w:rsidR="00E818C4" w:rsidRPr="00CB5F81">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a raportat 12,9 mil. lei</w:t>
      </w:r>
      <w:r w:rsidR="00865749">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deși urma </w:t>
      </w:r>
      <w:r w:rsidR="00865749">
        <w:rPr>
          <w:rFonts w:asciiTheme="majorHAnsi" w:eastAsiaTheme="minorEastAsia" w:hAnsiTheme="majorHAnsi" w:cstheme="majorHAnsi"/>
          <w:sz w:val="24"/>
          <w:szCs w:val="24"/>
          <w:lang w:eastAsia="ru-RU"/>
        </w:rPr>
        <w:t xml:space="preserve">să raporteze </w:t>
      </w:r>
      <w:r w:rsidRPr="00CB5F81">
        <w:rPr>
          <w:rFonts w:asciiTheme="majorHAnsi" w:eastAsiaTheme="minorEastAsia" w:hAnsiTheme="majorHAnsi" w:cstheme="majorHAnsi"/>
          <w:sz w:val="24"/>
          <w:szCs w:val="24"/>
          <w:lang w:eastAsia="ru-RU"/>
        </w:rPr>
        <w:t>1,5 mil. lei</w:t>
      </w:r>
      <w:r w:rsidR="00E818C4" w:rsidRPr="00CB5F81">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Gimnaziul </w:t>
      </w:r>
      <w:r w:rsidR="00865749">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D. Cantemir</w:t>
      </w:r>
      <w:r w:rsidR="00865749">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din </w:t>
      </w:r>
      <w:r w:rsidRPr="00405A66">
        <w:rPr>
          <w:rFonts w:asciiTheme="majorHAnsi" w:eastAsiaTheme="minorEastAsia" w:hAnsiTheme="majorHAnsi" w:cstheme="majorHAnsi"/>
          <w:sz w:val="24"/>
          <w:szCs w:val="24"/>
          <w:lang w:eastAsia="ru-RU"/>
        </w:rPr>
        <w:t>st. M</w:t>
      </w:r>
      <w:r w:rsidR="00541841" w:rsidRPr="00405A66">
        <w:rPr>
          <w:rFonts w:asciiTheme="majorHAnsi" w:eastAsiaTheme="minorEastAsia" w:hAnsiTheme="majorHAnsi" w:cstheme="majorHAnsi"/>
          <w:sz w:val="24"/>
          <w:szCs w:val="24"/>
          <w:lang w:eastAsia="ru-RU"/>
        </w:rPr>
        <w:t>â</w:t>
      </w:r>
      <w:r w:rsidRPr="00405A66">
        <w:rPr>
          <w:rFonts w:asciiTheme="majorHAnsi" w:eastAsiaTheme="minorEastAsia" w:hAnsiTheme="majorHAnsi" w:cstheme="majorHAnsi"/>
          <w:sz w:val="24"/>
          <w:szCs w:val="24"/>
          <w:lang w:eastAsia="ru-RU"/>
        </w:rPr>
        <w:t>ndrești</w:t>
      </w:r>
      <w:r w:rsidR="00541841">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w:t>
      </w:r>
      <w:r w:rsidR="00541841">
        <w:rPr>
          <w:rFonts w:asciiTheme="majorHAnsi" w:eastAsiaTheme="minorEastAsia" w:hAnsiTheme="majorHAnsi" w:cstheme="majorHAnsi"/>
          <w:sz w:val="24"/>
          <w:szCs w:val="24"/>
          <w:lang w:eastAsia="ru-RU"/>
        </w:rPr>
        <w:t>r-nul</w:t>
      </w:r>
      <w:r w:rsidRPr="00CB5F81">
        <w:rPr>
          <w:rFonts w:asciiTheme="majorHAnsi" w:eastAsiaTheme="minorEastAsia" w:hAnsiTheme="majorHAnsi" w:cstheme="majorHAnsi"/>
          <w:sz w:val="24"/>
          <w:szCs w:val="24"/>
          <w:lang w:eastAsia="ru-RU"/>
        </w:rPr>
        <w:t xml:space="preserve"> Telenești</w:t>
      </w:r>
      <w:r w:rsidR="00865749">
        <w:rPr>
          <w:rFonts w:asciiTheme="majorHAnsi" w:eastAsiaTheme="minorEastAsia" w:hAnsiTheme="majorHAnsi" w:cstheme="majorHAnsi"/>
          <w:sz w:val="24"/>
          <w:szCs w:val="24"/>
          <w:lang w:eastAsia="ru-RU"/>
        </w:rPr>
        <w:t xml:space="preserve"> </w:t>
      </w:r>
      <w:r w:rsidR="00D33899" w:rsidRPr="00CB5F81">
        <w:rPr>
          <w:rFonts w:asciiTheme="majorHAnsi" w:eastAsiaTheme="minorEastAsia" w:hAnsiTheme="majorHAnsi" w:cstheme="majorHAnsi"/>
          <w:sz w:val="24"/>
          <w:szCs w:val="24"/>
          <w:lang w:eastAsia="ru-RU"/>
        </w:rPr>
        <w:t>(</w:t>
      </w:r>
      <w:r w:rsidR="00865749">
        <w:rPr>
          <w:rFonts w:asciiTheme="majorHAnsi" w:eastAsiaTheme="minorEastAsia" w:hAnsiTheme="majorHAnsi" w:cstheme="majorHAnsi"/>
          <w:sz w:val="24"/>
          <w:szCs w:val="24"/>
          <w:lang w:eastAsia="ru-RU"/>
        </w:rPr>
        <w:t xml:space="preserve">a raportat </w:t>
      </w:r>
      <w:r w:rsidRPr="00CB5F81">
        <w:rPr>
          <w:rFonts w:asciiTheme="majorHAnsi" w:eastAsiaTheme="minorEastAsia" w:hAnsiTheme="majorHAnsi" w:cstheme="majorHAnsi"/>
          <w:sz w:val="24"/>
          <w:szCs w:val="24"/>
          <w:lang w:eastAsia="ru-RU"/>
        </w:rPr>
        <w:t>6,3 mil. lei</w:t>
      </w:r>
      <w:r w:rsidR="00865749">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deși urma să menționeze 0,7 mil. lei</w:t>
      </w:r>
      <w:r w:rsidR="00D33899" w:rsidRPr="00CB5F81">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w:t>
      </w:r>
      <w:r w:rsidR="00EC1EAF">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 xml:space="preserve">Gimnaziul </w:t>
      </w:r>
      <w:r w:rsidR="00865749">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E. Josanu</w:t>
      </w:r>
      <w:r w:rsidR="00865749">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din s. Ciulucani</w:t>
      </w:r>
      <w:r w:rsidR="00541841">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r</w:t>
      </w:r>
      <w:r w:rsidR="00541841">
        <w:rPr>
          <w:rFonts w:asciiTheme="majorHAnsi" w:eastAsiaTheme="minorEastAsia" w:hAnsiTheme="majorHAnsi" w:cstheme="majorHAnsi"/>
          <w:sz w:val="24"/>
          <w:szCs w:val="24"/>
          <w:lang w:eastAsia="ru-RU"/>
        </w:rPr>
        <w:t>-nul</w:t>
      </w:r>
      <w:r w:rsidRPr="00CB5F81">
        <w:rPr>
          <w:rFonts w:asciiTheme="majorHAnsi" w:eastAsiaTheme="minorEastAsia" w:hAnsiTheme="majorHAnsi" w:cstheme="majorHAnsi"/>
          <w:sz w:val="24"/>
          <w:szCs w:val="24"/>
          <w:lang w:eastAsia="ru-RU"/>
        </w:rPr>
        <w:t xml:space="preserve"> Telenești</w:t>
      </w:r>
      <w:r w:rsidR="00865749">
        <w:rPr>
          <w:rFonts w:asciiTheme="majorHAnsi" w:eastAsiaTheme="minorEastAsia" w:hAnsiTheme="majorHAnsi" w:cstheme="majorHAnsi"/>
          <w:sz w:val="24"/>
          <w:szCs w:val="24"/>
          <w:lang w:eastAsia="ru-RU"/>
        </w:rPr>
        <w:t xml:space="preserve"> </w:t>
      </w:r>
      <w:r w:rsidR="00D33899" w:rsidRPr="00CB5F81">
        <w:rPr>
          <w:rFonts w:asciiTheme="majorHAnsi" w:eastAsiaTheme="minorEastAsia" w:hAnsiTheme="majorHAnsi" w:cstheme="majorHAnsi"/>
          <w:sz w:val="24"/>
          <w:szCs w:val="24"/>
          <w:lang w:eastAsia="ru-RU"/>
        </w:rPr>
        <w:t>(</w:t>
      </w:r>
      <w:r w:rsidR="00865749">
        <w:rPr>
          <w:rFonts w:asciiTheme="majorHAnsi" w:eastAsiaTheme="minorEastAsia" w:hAnsiTheme="majorHAnsi" w:cstheme="majorHAnsi"/>
          <w:sz w:val="24"/>
          <w:szCs w:val="24"/>
          <w:lang w:eastAsia="ru-RU"/>
        </w:rPr>
        <w:t xml:space="preserve"> a raportat </w:t>
      </w:r>
      <w:r w:rsidRPr="00CB5F81">
        <w:rPr>
          <w:rFonts w:asciiTheme="majorHAnsi" w:eastAsiaTheme="minorEastAsia" w:hAnsiTheme="majorHAnsi" w:cstheme="majorHAnsi"/>
          <w:sz w:val="24"/>
          <w:szCs w:val="24"/>
          <w:lang w:eastAsia="ru-RU"/>
        </w:rPr>
        <w:t>2,9 mil. lei</w:t>
      </w:r>
      <w:r w:rsidR="00541841">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deși urma să </w:t>
      </w:r>
      <w:r w:rsidR="00541841">
        <w:rPr>
          <w:rFonts w:asciiTheme="majorHAnsi" w:eastAsiaTheme="minorEastAsia" w:hAnsiTheme="majorHAnsi" w:cstheme="majorHAnsi"/>
          <w:sz w:val="24"/>
          <w:szCs w:val="24"/>
          <w:lang w:eastAsia="ru-RU"/>
        </w:rPr>
        <w:t>indice</w:t>
      </w:r>
      <w:r w:rsidRPr="00CB5F81">
        <w:rPr>
          <w:rFonts w:asciiTheme="majorHAnsi" w:eastAsiaTheme="minorEastAsia" w:hAnsiTheme="majorHAnsi" w:cstheme="majorHAnsi"/>
          <w:sz w:val="24"/>
          <w:szCs w:val="24"/>
          <w:lang w:eastAsia="ru-RU"/>
        </w:rPr>
        <w:t xml:space="preserve"> 0,4 mil. lei</w:t>
      </w:r>
      <w:r w:rsidR="00D33899" w:rsidRPr="00CB5F81">
        <w:rPr>
          <w:rFonts w:asciiTheme="majorHAnsi" w:eastAsiaTheme="minorEastAsia" w:hAnsiTheme="majorHAnsi" w:cstheme="majorHAnsi"/>
          <w:sz w:val="24"/>
          <w:szCs w:val="24"/>
          <w:lang w:eastAsia="ru-RU"/>
        </w:rPr>
        <w:t>)</w:t>
      </w:r>
      <w:r w:rsidRPr="00CB5F81">
        <w:rPr>
          <w:rFonts w:asciiTheme="majorHAnsi" w:eastAsiaTheme="minorEastAsia" w:hAnsiTheme="majorHAnsi" w:cstheme="majorHAnsi"/>
          <w:sz w:val="24"/>
          <w:szCs w:val="24"/>
          <w:lang w:eastAsia="ru-RU"/>
        </w:rPr>
        <w:t xml:space="preserve"> etc. </w:t>
      </w:r>
    </w:p>
    <w:p w:rsidR="00BF6115" w:rsidRPr="00E434B9" w:rsidRDefault="006341F1" w:rsidP="00505F73">
      <w:pPr>
        <w:pStyle w:val="ListParagraph"/>
        <w:tabs>
          <w:tab w:val="left" w:pos="270"/>
        </w:tabs>
        <w:spacing w:after="200" w:line="276" w:lineRule="auto"/>
        <w:ind w:left="0"/>
        <w:jc w:val="both"/>
        <w:rPr>
          <w:rFonts w:asciiTheme="majorHAnsi" w:hAnsiTheme="majorHAnsi" w:cstheme="majorHAnsi"/>
          <w:sz w:val="24"/>
          <w:szCs w:val="24"/>
          <w:lang w:val="en-US"/>
        </w:rPr>
      </w:pPr>
      <w:r w:rsidRPr="00CB5F81">
        <w:rPr>
          <w:rFonts w:asciiTheme="majorHAnsi" w:hAnsiTheme="majorHAnsi" w:cstheme="majorHAnsi"/>
          <w:sz w:val="24"/>
          <w:szCs w:val="24"/>
          <w:lang w:val="ro-MD"/>
        </w:rPr>
        <w:t xml:space="preserve">O altă problemă identificată de echipa </w:t>
      </w:r>
      <w:r w:rsidR="00D33899" w:rsidRPr="00CB5F81">
        <w:rPr>
          <w:rFonts w:asciiTheme="majorHAnsi" w:hAnsiTheme="majorHAnsi" w:cstheme="majorHAnsi"/>
          <w:sz w:val="24"/>
          <w:szCs w:val="24"/>
          <w:lang w:val="ro-MD"/>
        </w:rPr>
        <w:t xml:space="preserve">de audit </w:t>
      </w:r>
      <w:r w:rsidR="004C4C33" w:rsidRPr="00CB5F81">
        <w:rPr>
          <w:rFonts w:asciiTheme="majorHAnsi" w:hAnsiTheme="majorHAnsi" w:cstheme="majorHAnsi"/>
          <w:sz w:val="24"/>
          <w:szCs w:val="24"/>
          <w:lang w:val="ro-MD"/>
        </w:rPr>
        <w:t xml:space="preserve">este </w:t>
      </w:r>
      <w:r w:rsidR="00BF6115" w:rsidRPr="00CB5F81">
        <w:rPr>
          <w:rFonts w:asciiTheme="majorHAnsi" w:hAnsiTheme="majorHAnsi" w:cstheme="majorHAnsi"/>
          <w:sz w:val="24"/>
          <w:szCs w:val="24"/>
          <w:lang w:val="ro-MD"/>
        </w:rPr>
        <w:t>că</w:t>
      </w:r>
      <w:r w:rsidR="004C4C33" w:rsidRPr="00CB5F81">
        <w:rPr>
          <w:rFonts w:asciiTheme="majorHAnsi" w:hAnsiTheme="majorHAnsi" w:cstheme="majorHAnsi"/>
          <w:sz w:val="24"/>
          <w:szCs w:val="24"/>
          <w:lang w:val="ro-MD"/>
        </w:rPr>
        <w:t xml:space="preserve"> suma raportată nu cuprinde totalitatea facil</w:t>
      </w:r>
      <w:r w:rsidR="00655C99" w:rsidRPr="00CB5F81">
        <w:rPr>
          <w:rFonts w:asciiTheme="majorHAnsi" w:hAnsiTheme="majorHAnsi" w:cstheme="majorHAnsi"/>
          <w:sz w:val="24"/>
          <w:szCs w:val="24"/>
          <w:lang w:val="ro-MD"/>
        </w:rPr>
        <w:t xml:space="preserve">ităților de care au beneficiat </w:t>
      </w:r>
      <w:r w:rsidR="004C4C33" w:rsidRPr="00CB5F81">
        <w:rPr>
          <w:rFonts w:asciiTheme="majorHAnsi" w:hAnsiTheme="majorHAnsi" w:cstheme="majorHAnsi"/>
          <w:sz w:val="24"/>
          <w:szCs w:val="24"/>
          <w:lang w:val="ro-MD"/>
        </w:rPr>
        <w:t>instituțiile de învățământ</w:t>
      </w:r>
      <w:r w:rsidR="0066614F">
        <w:rPr>
          <w:rFonts w:asciiTheme="majorHAnsi" w:hAnsiTheme="majorHAnsi" w:cstheme="majorHAnsi"/>
          <w:sz w:val="24"/>
          <w:szCs w:val="24"/>
          <w:lang w:val="ro-MD"/>
        </w:rPr>
        <w:t>,</w:t>
      </w:r>
      <w:r w:rsidR="004C4C33" w:rsidRPr="00CB5F81">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deși</w:t>
      </w:r>
      <w:r w:rsidR="004C4C33" w:rsidRPr="00CB5F81">
        <w:rPr>
          <w:rFonts w:asciiTheme="majorHAnsi" w:hAnsiTheme="majorHAnsi" w:cstheme="majorHAnsi"/>
          <w:sz w:val="24"/>
          <w:szCs w:val="24"/>
          <w:lang w:val="ro-MD"/>
        </w:rPr>
        <w:t xml:space="preserve"> acestea: </w:t>
      </w:r>
      <w:r w:rsidRPr="00CB5F81">
        <w:rPr>
          <w:rFonts w:asciiTheme="majorHAnsi" w:hAnsiTheme="majorHAnsi" w:cstheme="majorHAnsi"/>
          <w:sz w:val="24"/>
          <w:szCs w:val="24"/>
          <w:lang w:val="ro-MD"/>
        </w:rPr>
        <w:t>(i) își desfășoară procesul de învățământ conform Codului educației, (ii) în perioada auditată au înregistrat venit din această activitate și (iii) sunt eligibili în vederea scutirii de impozitul pe venit</w:t>
      </w:r>
      <w:r w:rsidR="004C4C33" w:rsidRPr="00CB5F81">
        <w:rPr>
          <w:rFonts w:asciiTheme="majorHAnsi" w:hAnsiTheme="majorHAnsi" w:cstheme="majorHAnsi"/>
          <w:sz w:val="24"/>
          <w:szCs w:val="24"/>
          <w:lang w:val="ro-MD"/>
        </w:rPr>
        <w:t>.</w:t>
      </w:r>
      <w:r w:rsidR="00EC1EAF">
        <w:rPr>
          <w:rFonts w:asciiTheme="majorHAnsi" w:hAnsiTheme="majorHAnsi" w:cstheme="majorHAnsi"/>
          <w:sz w:val="24"/>
          <w:szCs w:val="24"/>
          <w:lang w:val="ro-MD"/>
        </w:rPr>
        <w:t xml:space="preserve"> </w:t>
      </w:r>
      <w:r w:rsidR="004C4C33" w:rsidRPr="00CB5F81">
        <w:rPr>
          <w:rFonts w:asciiTheme="majorHAnsi" w:hAnsiTheme="majorHAnsi" w:cstheme="majorHAnsi"/>
          <w:sz w:val="24"/>
          <w:szCs w:val="24"/>
          <w:lang w:val="ro-MD"/>
        </w:rPr>
        <w:t xml:space="preserve">Astfel, </w:t>
      </w:r>
      <w:r w:rsidR="00441907" w:rsidRPr="003B791A">
        <w:rPr>
          <w:rFonts w:asciiTheme="majorHAnsi" w:hAnsiTheme="majorHAnsi" w:cstheme="majorHAnsi"/>
          <w:sz w:val="24"/>
          <w:szCs w:val="24"/>
          <w:lang w:val="ro-MD"/>
        </w:rPr>
        <w:t>s-a</w:t>
      </w:r>
      <w:r w:rsidR="00441907">
        <w:rPr>
          <w:rFonts w:asciiTheme="majorHAnsi" w:hAnsiTheme="majorHAnsi" w:cstheme="majorHAnsi"/>
          <w:sz w:val="24"/>
          <w:szCs w:val="24"/>
          <w:lang w:val="ro-MD"/>
        </w:rPr>
        <w:t xml:space="preserve"> </w:t>
      </w:r>
      <w:r w:rsidR="004C4C33" w:rsidRPr="00CB5F81">
        <w:rPr>
          <w:rFonts w:asciiTheme="majorHAnsi" w:hAnsiTheme="majorHAnsi" w:cstheme="majorHAnsi"/>
          <w:sz w:val="24"/>
          <w:szCs w:val="24"/>
          <w:lang w:val="ro-MD"/>
        </w:rPr>
        <w:t>constatat că</w:t>
      </w:r>
      <w:r w:rsidR="00EC1EAF">
        <w:rPr>
          <w:rFonts w:asciiTheme="majorHAnsi" w:hAnsiTheme="majorHAnsi" w:cstheme="majorHAnsi"/>
          <w:sz w:val="24"/>
          <w:szCs w:val="24"/>
          <w:lang w:val="ro-MD"/>
        </w:rPr>
        <w:t xml:space="preserve"> </w:t>
      </w:r>
      <w:r w:rsidR="004C4C33" w:rsidRPr="00CB5F81">
        <w:rPr>
          <w:rFonts w:asciiTheme="majorHAnsi" w:hAnsiTheme="majorHAnsi" w:cstheme="majorHAnsi"/>
          <w:sz w:val="24"/>
          <w:szCs w:val="24"/>
          <w:lang w:val="ro-MD"/>
        </w:rPr>
        <w:t>plenitudinea datelor din Registru nu a fost asigurată din cauz</w:t>
      </w:r>
      <w:r w:rsidR="00D33899" w:rsidRPr="00CB5F81">
        <w:rPr>
          <w:rFonts w:asciiTheme="majorHAnsi" w:hAnsiTheme="majorHAnsi" w:cstheme="majorHAnsi"/>
          <w:sz w:val="24"/>
          <w:szCs w:val="24"/>
          <w:lang w:val="ro-MD"/>
        </w:rPr>
        <w:t>ă</w:t>
      </w:r>
      <w:r w:rsidR="004C4C33" w:rsidRPr="00CB5F81">
        <w:rPr>
          <w:rFonts w:asciiTheme="majorHAnsi" w:hAnsiTheme="majorHAnsi" w:cstheme="majorHAnsi"/>
          <w:sz w:val="24"/>
          <w:szCs w:val="24"/>
          <w:lang w:val="ro-MD"/>
        </w:rPr>
        <w:t xml:space="preserve"> că</w:t>
      </w:r>
      <w:r w:rsidR="00EC1EAF">
        <w:rPr>
          <w:rFonts w:asciiTheme="majorHAnsi" w:hAnsiTheme="majorHAnsi" w:cstheme="majorHAnsi"/>
          <w:sz w:val="24"/>
          <w:szCs w:val="24"/>
          <w:lang w:val="ro-MD"/>
        </w:rPr>
        <w:t xml:space="preserve"> </w:t>
      </w:r>
      <w:r w:rsidR="004C4C33" w:rsidRPr="00CB5F81">
        <w:rPr>
          <w:rFonts w:asciiTheme="majorHAnsi" w:hAnsiTheme="majorHAnsi" w:cstheme="majorHAnsi"/>
          <w:sz w:val="24"/>
          <w:szCs w:val="24"/>
          <w:lang w:val="ro-MD"/>
        </w:rPr>
        <w:t>unele instituții</w:t>
      </w:r>
      <w:r w:rsidR="00EC1EAF">
        <w:rPr>
          <w:rFonts w:asciiTheme="majorHAnsi" w:hAnsiTheme="majorHAnsi" w:cstheme="majorHAnsi"/>
          <w:sz w:val="24"/>
          <w:szCs w:val="24"/>
          <w:lang w:val="ro-MD"/>
        </w:rPr>
        <w:t xml:space="preserve"> </w:t>
      </w:r>
      <w:r w:rsidR="009536DA" w:rsidRPr="00CB5F81">
        <w:rPr>
          <w:rFonts w:asciiTheme="majorHAnsi" w:hAnsiTheme="majorHAnsi" w:cstheme="majorHAnsi"/>
          <w:sz w:val="24"/>
          <w:szCs w:val="24"/>
          <w:lang w:val="ro-MD"/>
        </w:rPr>
        <w:t>nu au prezentat Declarația c</w:t>
      </w:r>
      <w:r w:rsidR="00655C99" w:rsidRPr="00CB5F81">
        <w:rPr>
          <w:rFonts w:asciiTheme="majorHAnsi" w:hAnsiTheme="majorHAnsi" w:cstheme="majorHAnsi"/>
          <w:sz w:val="24"/>
          <w:szCs w:val="24"/>
          <w:lang w:val="ro-MD"/>
        </w:rPr>
        <w:t xml:space="preserve">u </w:t>
      </w:r>
      <w:r w:rsidR="009536DA" w:rsidRPr="00CB5F81">
        <w:rPr>
          <w:rFonts w:asciiTheme="majorHAnsi" w:hAnsiTheme="majorHAnsi" w:cstheme="majorHAnsi"/>
          <w:sz w:val="24"/>
          <w:szCs w:val="24"/>
          <w:lang w:val="ro-MD"/>
        </w:rPr>
        <w:t xml:space="preserve">privire </w:t>
      </w:r>
      <w:r w:rsidR="004C4C33" w:rsidRPr="00CB5F81">
        <w:rPr>
          <w:rFonts w:asciiTheme="majorHAnsi" w:hAnsiTheme="majorHAnsi" w:cstheme="majorHAnsi"/>
          <w:sz w:val="24"/>
          <w:szCs w:val="24"/>
          <w:lang w:val="ro-MD"/>
        </w:rPr>
        <w:t>la impozitul pe venit</w:t>
      </w:r>
      <w:r w:rsidR="0066614F">
        <w:rPr>
          <w:rFonts w:asciiTheme="majorHAnsi" w:hAnsiTheme="majorHAnsi" w:cstheme="majorHAnsi"/>
          <w:sz w:val="24"/>
          <w:szCs w:val="24"/>
          <w:lang w:val="ro-MD"/>
        </w:rPr>
        <w:t>,</w:t>
      </w:r>
      <w:r w:rsidR="004C4C33" w:rsidRPr="00CB5F81">
        <w:rPr>
          <w:rFonts w:asciiTheme="majorHAnsi" w:hAnsiTheme="majorHAnsi" w:cstheme="majorHAnsi"/>
          <w:sz w:val="24"/>
          <w:szCs w:val="24"/>
          <w:lang w:val="ro-MD"/>
        </w:rPr>
        <w:t xml:space="preserve"> iar</w:t>
      </w:r>
      <w:r w:rsidR="009536DA" w:rsidRPr="00CB5F81">
        <w:rPr>
          <w:rFonts w:asciiTheme="majorHAnsi" w:hAnsiTheme="majorHAnsi" w:cstheme="majorHAnsi"/>
          <w:sz w:val="24"/>
          <w:szCs w:val="24"/>
          <w:lang w:val="ro-MD"/>
        </w:rPr>
        <w:t xml:space="preserve"> al</w:t>
      </w:r>
      <w:r w:rsidR="004C4C33" w:rsidRPr="00CB5F81">
        <w:rPr>
          <w:rFonts w:asciiTheme="majorHAnsi" w:hAnsiTheme="majorHAnsi" w:cstheme="majorHAnsi"/>
          <w:sz w:val="24"/>
          <w:szCs w:val="24"/>
          <w:lang w:val="ro-MD"/>
        </w:rPr>
        <w:t>tele</w:t>
      </w:r>
      <w:r w:rsidR="00BF6115" w:rsidRPr="00CB5F81">
        <w:rPr>
          <w:rFonts w:asciiTheme="majorHAnsi" w:hAnsiTheme="majorHAnsi" w:cstheme="majorHAnsi"/>
          <w:sz w:val="24"/>
          <w:szCs w:val="24"/>
          <w:lang w:val="ro-MD"/>
        </w:rPr>
        <w:t xml:space="preserve"> </w:t>
      </w:r>
      <w:r w:rsidR="0066614F">
        <w:rPr>
          <w:rFonts w:asciiTheme="majorHAnsi" w:hAnsiTheme="majorHAnsi" w:cstheme="majorHAnsi"/>
          <w:sz w:val="24"/>
          <w:szCs w:val="24"/>
          <w:lang w:val="ro-MD"/>
        </w:rPr>
        <w:t xml:space="preserve">- </w:t>
      </w:r>
      <w:r w:rsidR="004C4C33" w:rsidRPr="00CB5F81">
        <w:rPr>
          <w:rFonts w:asciiTheme="majorHAnsi" w:hAnsiTheme="majorHAnsi" w:cstheme="majorHAnsi"/>
          <w:sz w:val="24"/>
          <w:szCs w:val="24"/>
          <w:lang w:val="ro-MD"/>
        </w:rPr>
        <w:t>nu au</w:t>
      </w:r>
      <w:r w:rsidR="00655C99" w:rsidRPr="00CB5F81">
        <w:rPr>
          <w:rFonts w:asciiTheme="majorHAnsi" w:hAnsiTheme="majorHAnsi" w:cstheme="majorHAnsi"/>
          <w:sz w:val="24"/>
          <w:szCs w:val="24"/>
          <w:lang w:val="ro-MD"/>
        </w:rPr>
        <w:t xml:space="preserve"> indicat</w:t>
      </w:r>
      <w:r w:rsidR="00BF6115" w:rsidRPr="00CB5F81">
        <w:rPr>
          <w:rFonts w:asciiTheme="majorHAnsi" w:hAnsiTheme="majorHAnsi" w:cstheme="majorHAnsi"/>
          <w:sz w:val="24"/>
          <w:szCs w:val="24"/>
          <w:lang w:val="ro-MD"/>
        </w:rPr>
        <w:t xml:space="preserve"> suma impozitului pe venit</w:t>
      </w:r>
      <w:r w:rsidR="004C4C33" w:rsidRPr="00CB5F81">
        <w:rPr>
          <w:rFonts w:asciiTheme="majorHAnsi" w:hAnsiTheme="majorHAnsi" w:cstheme="majorHAnsi"/>
          <w:sz w:val="24"/>
          <w:szCs w:val="24"/>
          <w:lang w:val="ro-MD"/>
        </w:rPr>
        <w:t xml:space="preserve"> calculată din valoarea venitului impozabil</w:t>
      </w:r>
      <w:r w:rsidR="004C4C33" w:rsidRPr="00CB5F81">
        <w:rPr>
          <w:rStyle w:val="FootnoteReference"/>
          <w:rFonts w:asciiTheme="majorHAnsi" w:hAnsiTheme="majorHAnsi" w:cstheme="majorHAnsi"/>
          <w:sz w:val="24"/>
          <w:szCs w:val="24"/>
          <w:lang w:val="ro-MD"/>
        </w:rPr>
        <w:footnoteReference w:id="26"/>
      </w:r>
      <w:r w:rsidR="004C4C33" w:rsidRPr="00CB5F81">
        <w:rPr>
          <w:rFonts w:asciiTheme="majorHAnsi" w:hAnsiTheme="majorHAnsi" w:cstheme="majorHAnsi"/>
          <w:sz w:val="24"/>
          <w:szCs w:val="24"/>
          <w:lang w:val="ro-MD"/>
        </w:rPr>
        <w:t>.</w:t>
      </w:r>
    </w:p>
    <w:p w:rsidR="00BF6115" w:rsidRPr="00CB5F81" w:rsidRDefault="00BF6115" w:rsidP="00BF6115">
      <w:pPr>
        <w:jc w:val="both"/>
        <w:rPr>
          <w:rFonts w:asciiTheme="majorHAnsi" w:eastAsiaTheme="minorEastAsia" w:hAnsiTheme="majorHAnsi" w:cstheme="majorHAnsi"/>
          <w:sz w:val="24"/>
          <w:szCs w:val="24"/>
          <w:lang w:eastAsia="ru-RU"/>
        </w:rPr>
      </w:pPr>
      <w:r w:rsidRPr="00CB5F81">
        <w:rPr>
          <w:rFonts w:asciiTheme="majorHAnsi" w:eastAsiaTheme="minorEastAsia" w:hAnsiTheme="majorHAnsi" w:cstheme="majorHAnsi"/>
          <w:sz w:val="24"/>
          <w:szCs w:val="24"/>
          <w:lang w:eastAsia="ru-RU"/>
        </w:rPr>
        <w:t>Cele menționate denotă că</w:t>
      </w:r>
      <w:r w:rsidR="000D39CE" w:rsidRPr="00CB5F81">
        <w:rPr>
          <w:rFonts w:asciiTheme="majorHAnsi" w:eastAsiaTheme="minorEastAsia" w:hAnsiTheme="majorHAnsi" w:cstheme="majorHAnsi"/>
          <w:sz w:val="24"/>
          <w:szCs w:val="24"/>
          <w:lang w:eastAsia="ru-RU"/>
        </w:rPr>
        <w:t xml:space="preserve"> modalitatea aplicată de </w:t>
      </w:r>
      <w:r w:rsidRPr="00CB5F81">
        <w:rPr>
          <w:rFonts w:asciiTheme="majorHAnsi" w:eastAsiaTheme="minorEastAsia" w:hAnsiTheme="majorHAnsi" w:cstheme="majorHAnsi"/>
          <w:sz w:val="24"/>
          <w:szCs w:val="24"/>
          <w:lang w:eastAsia="ru-RU"/>
        </w:rPr>
        <w:t>SFS</w:t>
      </w:r>
      <w:r w:rsidR="000D39CE" w:rsidRPr="00CB5F81">
        <w:rPr>
          <w:rFonts w:asciiTheme="majorHAnsi" w:eastAsiaTheme="minorEastAsia" w:hAnsiTheme="majorHAnsi" w:cstheme="majorHAnsi"/>
          <w:sz w:val="24"/>
          <w:szCs w:val="24"/>
          <w:lang w:eastAsia="ru-RU"/>
        </w:rPr>
        <w:t xml:space="preserve"> de</w:t>
      </w:r>
      <w:r w:rsidR="00EC1EAF">
        <w:rPr>
          <w:rFonts w:asciiTheme="majorHAnsi" w:eastAsiaTheme="minorEastAsia" w:hAnsiTheme="majorHAnsi" w:cstheme="majorHAnsi"/>
          <w:sz w:val="24"/>
          <w:szCs w:val="24"/>
          <w:lang w:eastAsia="ru-RU"/>
        </w:rPr>
        <w:t xml:space="preserve"> </w:t>
      </w:r>
      <w:r w:rsidRPr="00CB5F81">
        <w:rPr>
          <w:rFonts w:asciiTheme="majorHAnsi" w:eastAsiaTheme="minorEastAsia" w:hAnsiTheme="majorHAnsi" w:cstheme="majorHAnsi"/>
          <w:sz w:val="24"/>
          <w:szCs w:val="24"/>
          <w:lang w:eastAsia="ru-RU"/>
        </w:rPr>
        <w:t>pre</w:t>
      </w:r>
      <w:r w:rsidR="000D39CE" w:rsidRPr="00CB5F81">
        <w:rPr>
          <w:rFonts w:asciiTheme="majorHAnsi" w:eastAsiaTheme="minorEastAsia" w:hAnsiTheme="majorHAnsi" w:cstheme="majorHAnsi"/>
          <w:sz w:val="24"/>
          <w:szCs w:val="24"/>
          <w:lang w:eastAsia="ru-RU"/>
        </w:rPr>
        <w:t xml:space="preserve">luare </w:t>
      </w:r>
      <w:r w:rsidRPr="00CB5F81">
        <w:rPr>
          <w:rFonts w:asciiTheme="majorHAnsi" w:eastAsiaTheme="minorEastAsia" w:hAnsiTheme="majorHAnsi" w:cstheme="majorHAnsi"/>
          <w:sz w:val="24"/>
          <w:szCs w:val="24"/>
          <w:lang w:eastAsia="ru-RU"/>
        </w:rPr>
        <w:t>automatizat</w:t>
      </w:r>
      <w:r w:rsidR="000D39CE" w:rsidRPr="00CB5F81">
        <w:rPr>
          <w:rFonts w:asciiTheme="majorHAnsi" w:eastAsiaTheme="minorEastAsia" w:hAnsiTheme="majorHAnsi" w:cstheme="majorHAnsi"/>
          <w:sz w:val="24"/>
          <w:szCs w:val="24"/>
          <w:lang w:eastAsia="ru-RU"/>
        </w:rPr>
        <w:t>ă din SI</w:t>
      </w:r>
      <w:r w:rsidR="00EC1EAF">
        <w:rPr>
          <w:rFonts w:asciiTheme="majorHAnsi" w:eastAsiaTheme="minorEastAsia" w:hAnsiTheme="majorHAnsi" w:cstheme="majorHAnsi"/>
          <w:sz w:val="24"/>
          <w:szCs w:val="24"/>
          <w:lang w:eastAsia="ru-RU"/>
        </w:rPr>
        <w:t xml:space="preserve"> </w:t>
      </w:r>
      <w:r w:rsidR="000D39CE" w:rsidRPr="00CB5F81">
        <w:rPr>
          <w:rFonts w:asciiTheme="majorHAnsi" w:eastAsiaTheme="minorEastAsia" w:hAnsiTheme="majorHAnsi" w:cstheme="majorHAnsi"/>
          <w:sz w:val="24"/>
          <w:szCs w:val="24"/>
          <w:lang w:eastAsia="ru-RU"/>
        </w:rPr>
        <w:t>a</w:t>
      </w:r>
      <w:r w:rsidR="00EC1EAF">
        <w:rPr>
          <w:rFonts w:asciiTheme="majorHAnsi" w:eastAsiaTheme="minorEastAsia" w:hAnsiTheme="majorHAnsi" w:cstheme="majorHAnsi"/>
          <w:sz w:val="24"/>
          <w:szCs w:val="24"/>
          <w:lang w:eastAsia="ru-RU"/>
        </w:rPr>
        <w:t xml:space="preserve"> </w:t>
      </w:r>
      <w:r w:rsidR="000D39CE" w:rsidRPr="00CB5F81">
        <w:rPr>
          <w:rFonts w:asciiTheme="majorHAnsi" w:eastAsiaTheme="minorEastAsia" w:hAnsiTheme="majorHAnsi" w:cstheme="majorHAnsi"/>
          <w:sz w:val="24"/>
          <w:szCs w:val="24"/>
          <w:lang w:eastAsia="ru-RU"/>
        </w:rPr>
        <w:t>datelor furnizate de contribuabili,</w:t>
      </w:r>
      <w:r w:rsidRPr="00CB5F81">
        <w:rPr>
          <w:rFonts w:asciiTheme="majorHAnsi" w:eastAsiaTheme="minorEastAsia" w:hAnsiTheme="majorHAnsi" w:cstheme="majorHAnsi"/>
          <w:sz w:val="24"/>
          <w:szCs w:val="24"/>
          <w:lang w:eastAsia="ru-RU"/>
        </w:rPr>
        <w:t xml:space="preserve"> </w:t>
      </w:r>
      <w:r w:rsidR="000D39CE" w:rsidRPr="00CB5F81">
        <w:rPr>
          <w:rFonts w:asciiTheme="majorHAnsi" w:eastAsiaTheme="minorEastAsia" w:hAnsiTheme="majorHAnsi" w:cstheme="majorHAnsi"/>
          <w:sz w:val="24"/>
          <w:szCs w:val="24"/>
          <w:lang w:eastAsia="ru-RU"/>
        </w:rPr>
        <w:t>fără ca acestea să fie analizate din punct</w:t>
      </w:r>
      <w:r w:rsidR="002D7618">
        <w:rPr>
          <w:rFonts w:asciiTheme="majorHAnsi" w:eastAsiaTheme="minorEastAsia" w:hAnsiTheme="majorHAnsi" w:cstheme="majorHAnsi"/>
          <w:sz w:val="24"/>
          <w:szCs w:val="24"/>
          <w:lang w:eastAsia="ru-RU"/>
        </w:rPr>
        <w:t>ul</w:t>
      </w:r>
      <w:r w:rsidR="000D39CE" w:rsidRPr="00CB5F81">
        <w:rPr>
          <w:rFonts w:asciiTheme="majorHAnsi" w:eastAsiaTheme="minorEastAsia" w:hAnsiTheme="majorHAnsi" w:cstheme="majorHAnsi"/>
          <w:sz w:val="24"/>
          <w:szCs w:val="24"/>
          <w:lang w:eastAsia="ru-RU"/>
        </w:rPr>
        <w:t xml:space="preserve"> de vedere a</w:t>
      </w:r>
      <w:r w:rsidR="002D7618">
        <w:rPr>
          <w:rFonts w:asciiTheme="majorHAnsi" w:eastAsiaTheme="minorEastAsia" w:hAnsiTheme="majorHAnsi" w:cstheme="majorHAnsi"/>
          <w:sz w:val="24"/>
          <w:szCs w:val="24"/>
          <w:lang w:eastAsia="ru-RU"/>
        </w:rPr>
        <w:t>l</w:t>
      </w:r>
      <w:r w:rsidR="007E16D7" w:rsidRPr="00CB5F81">
        <w:rPr>
          <w:rFonts w:asciiTheme="majorHAnsi" w:eastAsiaTheme="minorEastAsia" w:hAnsiTheme="majorHAnsi" w:cstheme="majorHAnsi"/>
          <w:sz w:val="24"/>
          <w:szCs w:val="24"/>
          <w:lang w:eastAsia="ru-RU"/>
        </w:rPr>
        <w:t xml:space="preserve"> corectitudinii lor,</w:t>
      </w:r>
      <w:r w:rsidR="00EC1EAF">
        <w:rPr>
          <w:rFonts w:asciiTheme="majorHAnsi" w:eastAsiaTheme="minorEastAsia" w:hAnsiTheme="majorHAnsi" w:cstheme="majorHAnsi"/>
          <w:sz w:val="24"/>
          <w:szCs w:val="24"/>
          <w:lang w:eastAsia="ru-RU"/>
        </w:rPr>
        <w:t xml:space="preserve"> </w:t>
      </w:r>
      <w:r w:rsidR="000D39CE" w:rsidRPr="00CB5F81">
        <w:rPr>
          <w:rFonts w:asciiTheme="majorHAnsi" w:eastAsiaTheme="minorEastAsia" w:hAnsiTheme="majorHAnsi" w:cstheme="majorHAnsi"/>
          <w:sz w:val="24"/>
          <w:szCs w:val="24"/>
          <w:lang w:eastAsia="ru-RU"/>
        </w:rPr>
        <w:t xml:space="preserve">necesită a fi ajustată </w:t>
      </w:r>
      <w:r w:rsidR="007E16D7" w:rsidRPr="00CB5F81">
        <w:rPr>
          <w:rFonts w:asciiTheme="majorHAnsi" w:eastAsiaTheme="minorEastAsia" w:hAnsiTheme="majorHAnsi" w:cstheme="majorHAnsi"/>
          <w:sz w:val="24"/>
          <w:szCs w:val="24"/>
          <w:lang w:eastAsia="ru-RU"/>
        </w:rPr>
        <w:t xml:space="preserve">și îmbunătățită </w:t>
      </w:r>
      <w:r w:rsidR="000D39CE" w:rsidRPr="00CB5F81">
        <w:rPr>
          <w:rFonts w:asciiTheme="majorHAnsi" w:eastAsiaTheme="minorEastAsia" w:hAnsiTheme="majorHAnsi" w:cstheme="majorHAnsi"/>
          <w:sz w:val="24"/>
          <w:szCs w:val="24"/>
          <w:lang w:eastAsia="ru-RU"/>
        </w:rPr>
        <w:t>prin instituirea unor activ</w:t>
      </w:r>
      <w:r w:rsidRPr="00CB5F81">
        <w:rPr>
          <w:rFonts w:asciiTheme="majorHAnsi" w:eastAsiaTheme="minorEastAsia" w:hAnsiTheme="majorHAnsi" w:cstheme="majorHAnsi"/>
          <w:sz w:val="24"/>
          <w:szCs w:val="24"/>
          <w:lang w:eastAsia="ru-RU"/>
        </w:rPr>
        <w:t>ități de control intern</w:t>
      </w:r>
      <w:r w:rsidR="007E16D7" w:rsidRPr="00CB5F81">
        <w:rPr>
          <w:rFonts w:asciiTheme="majorHAnsi" w:eastAsiaTheme="minorEastAsia" w:hAnsiTheme="majorHAnsi" w:cstheme="majorHAnsi"/>
          <w:sz w:val="24"/>
          <w:szCs w:val="24"/>
          <w:lang w:eastAsia="ru-RU"/>
        </w:rPr>
        <w:t xml:space="preserve"> </w:t>
      </w:r>
      <w:r w:rsidR="007E16D7" w:rsidRPr="003B791A">
        <w:rPr>
          <w:rFonts w:asciiTheme="majorHAnsi" w:eastAsiaTheme="minorEastAsia" w:hAnsiTheme="majorHAnsi" w:cstheme="majorHAnsi"/>
          <w:sz w:val="24"/>
          <w:szCs w:val="24"/>
          <w:lang w:eastAsia="ru-RU"/>
        </w:rPr>
        <w:t xml:space="preserve">de </w:t>
      </w:r>
      <w:r w:rsidR="00441907" w:rsidRPr="003B791A">
        <w:rPr>
          <w:rFonts w:asciiTheme="majorHAnsi" w:eastAsiaTheme="minorEastAsia" w:hAnsiTheme="majorHAnsi" w:cstheme="majorHAnsi"/>
          <w:sz w:val="24"/>
          <w:szCs w:val="24"/>
          <w:lang w:eastAsia="ru-RU"/>
        </w:rPr>
        <w:t>prevenire</w:t>
      </w:r>
      <w:r w:rsidR="00441907">
        <w:rPr>
          <w:rFonts w:asciiTheme="majorHAnsi" w:eastAsiaTheme="minorEastAsia" w:hAnsiTheme="majorHAnsi" w:cstheme="majorHAnsi"/>
          <w:sz w:val="24"/>
          <w:szCs w:val="24"/>
          <w:lang w:eastAsia="ru-RU"/>
        </w:rPr>
        <w:t xml:space="preserve"> </w:t>
      </w:r>
      <w:r w:rsidR="007E16D7" w:rsidRPr="00CB5F81">
        <w:rPr>
          <w:rFonts w:asciiTheme="majorHAnsi" w:eastAsiaTheme="minorEastAsia" w:hAnsiTheme="majorHAnsi" w:cstheme="majorHAnsi"/>
          <w:sz w:val="24"/>
          <w:szCs w:val="24"/>
          <w:lang w:eastAsia="ru-RU"/>
        </w:rPr>
        <w:t xml:space="preserve"> a erorilor</w:t>
      </w:r>
      <w:r w:rsidR="00EC1EAF">
        <w:rPr>
          <w:rFonts w:asciiTheme="majorHAnsi" w:eastAsiaTheme="minorEastAsia" w:hAnsiTheme="majorHAnsi" w:cstheme="majorHAnsi"/>
          <w:sz w:val="24"/>
          <w:szCs w:val="24"/>
          <w:lang w:eastAsia="ru-RU"/>
        </w:rPr>
        <w:t xml:space="preserve"> </w:t>
      </w:r>
      <w:r w:rsidR="007E16D7" w:rsidRPr="00CB5F81">
        <w:rPr>
          <w:rFonts w:asciiTheme="majorHAnsi" w:eastAsiaTheme="minorEastAsia" w:hAnsiTheme="majorHAnsi" w:cstheme="majorHAnsi"/>
          <w:sz w:val="24"/>
          <w:szCs w:val="24"/>
          <w:lang w:eastAsia="ru-RU"/>
        </w:rPr>
        <w:t xml:space="preserve">la determinarea costului facilității admise de contribuabil. </w:t>
      </w:r>
    </w:p>
    <w:p w:rsidR="009660F4" w:rsidRPr="00CB5F81" w:rsidRDefault="00F05CFB" w:rsidP="00D04386">
      <w:pPr>
        <w:pStyle w:val="ListParagraph"/>
        <w:numPr>
          <w:ilvl w:val="0"/>
          <w:numId w:val="5"/>
        </w:numPr>
        <w:tabs>
          <w:tab w:val="left" w:pos="270"/>
          <w:tab w:val="left" w:pos="540"/>
        </w:tabs>
        <w:ind w:left="270" w:firstLine="0"/>
        <w:jc w:val="both"/>
        <w:rPr>
          <w:rFonts w:asciiTheme="minorHAnsi" w:hAnsiTheme="minorHAnsi" w:cstheme="minorHAnsi"/>
          <w:i/>
          <w:color w:val="1F4E79" w:themeColor="accent1" w:themeShade="80"/>
          <w:sz w:val="24"/>
          <w:szCs w:val="24"/>
          <w:lang w:val="ro-MD"/>
        </w:rPr>
      </w:pPr>
      <w:r w:rsidRPr="00CB5F81">
        <w:rPr>
          <w:rFonts w:asciiTheme="minorHAnsi" w:hAnsiTheme="minorHAnsi" w:cstheme="minorHAnsi"/>
          <w:i/>
          <w:color w:val="1F4E79" w:themeColor="accent1" w:themeShade="80"/>
          <w:sz w:val="24"/>
          <w:szCs w:val="24"/>
          <w:lang w:val="ro-MD"/>
        </w:rPr>
        <w:t xml:space="preserve">Au fost constatate erori </w:t>
      </w:r>
      <w:r w:rsidR="006B6B38" w:rsidRPr="00CB5F81">
        <w:rPr>
          <w:rFonts w:asciiTheme="minorHAnsi" w:hAnsiTheme="minorHAnsi" w:cstheme="minorHAnsi"/>
          <w:i/>
          <w:color w:val="1F4E79" w:themeColor="accent1" w:themeShade="80"/>
          <w:sz w:val="24"/>
          <w:szCs w:val="24"/>
          <w:lang w:val="ro-MD"/>
        </w:rPr>
        <w:t xml:space="preserve">și la agregarea datelor </w:t>
      </w:r>
      <w:r w:rsidRPr="00CB5F81">
        <w:rPr>
          <w:rFonts w:asciiTheme="minorHAnsi" w:hAnsiTheme="minorHAnsi" w:cstheme="minorHAnsi"/>
          <w:i/>
          <w:color w:val="1F4E79" w:themeColor="accent1" w:themeShade="80"/>
          <w:sz w:val="24"/>
          <w:szCs w:val="24"/>
          <w:lang w:val="ro-MD"/>
        </w:rPr>
        <w:t xml:space="preserve">privind </w:t>
      </w:r>
      <w:r w:rsidR="009660F4" w:rsidRPr="00CB5F81">
        <w:rPr>
          <w:rFonts w:asciiTheme="minorHAnsi" w:hAnsiTheme="minorHAnsi" w:cstheme="minorHAnsi"/>
          <w:i/>
          <w:color w:val="1F4E79" w:themeColor="accent1" w:themeShade="80"/>
          <w:sz w:val="24"/>
          <w:szCs w:val="24"/>
          <w:lang w:val="ro-MD"/>
        </w:rPr>
        <w:t>scutiril</w:t>
      </w:r>
      <w:r w:rsidRPr="00CB5F81">
        <w:rPr>
          <w:rFonts w:asciiTheme="minorHAnsi" w:hAnsiTheme="minorHAnsi" w:cstheme="minorHAnsi"/>
          <w:i/>
          <w:color w:val="1F4E79" w:themeColor="accent1" w:themeShade="80"/>
          <w:sz w:val="24"/>
          <w:szCs w:val="24"/>
          <w:lang w:val="ro-MD"/>
        </w:rPr>
        <w:t>e</w:t>
      </w:r>
      <w:r w:rsidR="009660F4" w:rsidRPr="00CB5F81">
        <w:rPr>
          <w:rFonts w:asciiTheme="minorHAnsi" w:hAnsiTheme="minorHAnsi" w:cstheme="minorHAnsi"/>
          <w:i/>
          <w:color w:val="1F4E79" w:themeColor="accent1" w:themeShade="80"/>
          <w:sz w:val="24"/>
          <w:szCs w:val="24"/>
          <w:lang w:val="ro-MD"/>
        </w:rPr>
        <w:t xml:space="preserve"> de impozit acordate asociațiilor de economii și împrumut ( </w:t>
      </w:r>
      <w:r w:rsidR="002D7618">
        <w:rPr>
          <w:rFonts w:asciiTheme="minorHAnsi" w:hAnsiTheme="minorHAnsi" w:cstheme="minorHAnsi"/>
          <w:i/>
          <w:color w:val="1F4E79" w:themeColor="accent1" w:themeShade="80"/>
          <w:sz w:val="24"/>
          <w:szCs w:val="24"/>
          <w:lang w:val="ro-MD"/>
        </w:rPr>
        <w:t>C</w:t>
      </w:r>
      <w:r w:rsidR="009660F4" w:rsidRPr="00CB5F81">
        <w:rPr>
          <w:rFonts w:asciiTheme="minorHAnsi" w:hAnsiTheme="minorHAnsi" w:cstheme="minorHAnsi"/>
          <w:i/>
          <w:color w:val="1F4E79" w:themeColor="accent1" w:themeShade="80"/>
          <w:sz w:val="24"/>
          <w:szCs w:val="24"/>
          <w:lang w:val="ro-MD"/>
        </w:rPr>
        <w:t>odul facilității- CFIV059)</w:t>
      </w:r>
    </w:p>
    <w:p w:rsidR="00D847A9" w:rsidRPr="00CB5F81" w:rsidRDefault="009B6D46" w:rsidP="00901578">
      <w:pPr>
        <w:pStyle w:val="ListParagraph"/>
        <w:tabs>
          <w:tab w:val="left" w:pos="270"/>
        </w:tabs>
        <w:spacing w:after="200" w:line="276" w:lineRule="auto"/>
        <w:ind w:left="0"/>
        <w:contextualSpacing w:val="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Similar celor menționate mai sus</w:t>
      </w:r>
      <w:r w:rsidR="002D7618">
        <w:rPr>
          <w:rFonts w:asciiTheme="majorHAnsi" w:hAnsiTheme="majorHAnsi" w:cstheme="majorHAnsi"/>
          <w:sz w:val="24"/>
          <w:szCs w:val="24"/>
          <w:lang w:val="ro-MD"/>
        </w:rPr>
        <w:t>,</w:t>
      </w:r>
      <w:r w:rsidR="00A47B5F" w:rsidRPr="00CB5F81">
        <w:rPr>
          <w:rFonts w:asciiTheme="majorHAnsi" w:hAnsiTheme="majorHAnsi" w:cstheme="majorHAnsi"/>
          <w:sz w:val="24"/>
          <w:szCs w:val="24"/>
          <w:lang w:val="ro-MD"/>
        </w:rPr>
        <w:t xml:space="preserve"> a fost constatată in</w:t>
      </w:r>
      <w:r w:rsidRPr="00CB5F81">
        <w:rPr>
          <w:rFonts w:asciiTheme="majorHAnsi" w:hAnsiTheme="majorHAnsi" w:cstheme="majorHAnsi"/>
          <w:sz w:val="24"/>
          <w:szCs w:val="24"/>
          <w:lang w:val="ro-MD"/>
        </w:rPr>
        <w:t>c</w:t>
      </w:r>
      <w:r w:rsidR="00A47B5F" w:rsidRPr="00CB5F81">
        <w:rPr>
          <w:rFonts w:asciiTheme="majorHAnsi" w:hAnsiTheme="majorHAnsi" w:cstheme="majorHAnsi"/>
          <w:sz w:val="24"/>
          <w:szCs w:val="24"/>
          <w:lang w:val="ro-MD"/>
        </w:rPr>
        <w:t>orectitudinea</w:t>
      </w:r>
      <w:r w:rsidRPr="00CB5F81">
        <w:rPr>
          <w:rFonts w:asciiTheme="majorHAnsi" w:hAnsiTheme="majorHAnsi" w:cstheme="majorHAnsi"/>
          <w:sz w:val="24"/>
          <w:szCs w:val="24"/>
          <w:lang w:val="ro-MD"/>
        </w:rPr>
        <w:t xml:space="preserve"> </w:t>
      </w:r>
      <w:r w:rsidR="0016519C" w:rsidRPr="00CB5F81">
        <w:rPr>
          <w:rFonts w:asciiTheme="majorHAnsi" w:hAnsiTheme="majorHAnsi" w:cstheme="majorHAnsi"/>
          <w:sz w:val="24"/>
          <w:szCs w:val="24"/>
          <w:lang w:val="ro-MD"/>
        </w:rPr>
        <w:t>informației raportate d</w:t>
      </w:r>
      <w:r w:rsidR="000B1714" w:rsidRPr="00CB5F81">
        <w:rPr>
          <w:rFonts w:asciiTheme="majorHAnsi" w:hAnsiTheme="majorHAnsi" w:cstheme="majorHAnsi"/>
          <w:sz w:val="24"/>
          <w:szCs w:val="24"/>
          <w:lang w:val="ro-MD"/>
        </w:rPr>
        <w:t>e SFS</w:t>
      </w:r>
      <w:r w:rsidR="00EC1EAF">
        <w:rPr>
          <w:rFonts w:asciiTheme="majorHAnsi" w:hAnsiTheme="majorHAnsi" w:cstheme="majorHAnsi"/>
          <w:sz w:val="24"/>
          <w:szCs w:val="24"/>
          <w:lang w:val="ro-MD"/>
        </w:rPr>
        <w:t xml:space="preserve"> </w:t>
      </w:r>
      <w:r w:rsidR="0016519C" w:rsidRPr="00CB5F81">
        <w:rPr>
          <w:rFonts w:asciiTheme="majorHAnsi" w:hAnsiTheme="majorHAnsi" w:cstheme="majorHAnsi"/>
          <w:sz w:val="24"/>
          <w:szCs w:val="24"/>
          <w:lang w:val="ro-MD"/>
        </w:rPr>
        <w:t xml:space="preserve">privind </w:t>
      </w:r>
      <w:r w:rsidR="000B1714" w:rsidRPr="00CB5F81">
        <w:rPr>
          <w:rFonts w:asciiTheme="majorHAnsi" w:hAnsiTheme="majorHAnsi" w:cstheme="majorHAnsi"/>
          <w:sz w:val="24"/>
          <w:szCs w:val="24"/>
          <w:lang w:val="ro-MD"/>
        </w:rPr>
        <w:t>facilitatea de care au beneficiat asociațiile de economii și împrumut la plata impozitului pe venit în condițiile art.53</w:t>
      </w:r>
      <w:r w:rsidR="000B1714" w:rsidRPr="00CB5F81">
        <w:rPr>
          <w:rFonts w:asciiTheme="majorHAnsi" w:hAnsiTheme="majorHAnsi" w:cstheme="majorHAnsi"/>
          <w:sz w:val="24"/>
          <w:szCs w:val="24"/>
          <w:vertAlign w:val="superscript"/>
          <w:lang w:val="ro-MD"/>
        </w:rPr>
        <w:t>2</w:t>
      </w:r>
      <w:r w:rsidR="000B1714" w:rsidRPr="00CB5F81">
        <w:rPr>
          <w:rFonts w:asciiTheme="majorHAnsi" w:hAnsiTheme="majorHAnsi" w:cstheme="majorHAnsi"/>
          <w:sz w:val="24"/>
          <w:szCs w:val="24"/>
          <w:lang w:val="ro-MD"/>
        </w:rPr>
        <w:t xml:space="preserve"> din Codul fiscal.</w:t>
      </w:r>
      <w:r w:rsidR="0016519C" w:rsidRPr="00CB5F81">
        <w:rPr>
          <w:rFonts w:asciiTheme="majorHAnsi" w:hAnsiTheme="majorHAnsi" w:cstheme="majorHAnsi"/>
          <w:sz w:val="24"/>
          <w:szCs w:val="24"/>
          <w:lang w:val="ro-MD"/>
        </w:rPr>
        <w:t xml:space="preserve"> </w:t>
      </w:r>
      <w:r w:rsidR="00D847A9" w:rsidRPr="000007C5">
        <w:rPr>
          <w:rFonts w:asciiTheme="majorHAnsi" w:hAnsiTheme="majorHAnsi" w:cstheme="majorHAnsi"/>
          <w:sz w:val="24"/>
          <w:szCs w:val="24"/>
          <w:lang w:val="ro-MD"/>
        </w:rPr>
        <w:t xml:space="preserve">Astfel, potrivit </w:t>
      </w:r>
      <w:r w:rsidR="00405A66" w:rsidRPr="000007C5">
        <w:rPr>
          <w:rFonts w:asciiTheme="majorHAnsi" w:hAnsiTheme="majorHAnsi" w:cstheme="majorHAnsi"/>
          <w:sz w:val="24"/>
          <w:szCs w:val="24"/>
          <w:lang w:val="ro-MD"/>
        </w:rPr>
        <w:t xml:space="preserve"> datelor din Registrul </w:t>
      </w:r>
      <w:r w:rsidR="00D847A9" w:rsidRPr="000007C5">
        <w:rPr>
          <w:rFonts w:asciiTheme="majorHAnsi" w:hAnsiTheme="majorHAnsi" w:cstheme="majorHAnsi"/>
          <w:sz w:val="24"/>
          <w:szCs w:val="24"/>
          <w:lang w:val="ro-MD"/>
        </w:rPr>
        <w:t>unic</w:t>
      </w:r>
      <w:r w:rsidR="00405A66" w:rsidRPr="000007C5">
        <w:rPr>
          <w:rFonts w:asciiTheme="majorHAnsi" w:hAnsiTheme="majorHAnsi" w:cstheme="majorHAnsi"/>
          <w:sz w:val="24"/>
          <w:szCs w:val="24"/>
          <w:lang w:val="ro-MD"/>
        </w:rPr>
        <w:t xml:space="preserve"> al facilităților fiscale</w:t>
      </w:r>
      <w:r w:rsidR="002D7618" w:rsidRPr="000007C5">
        <w:rPr>
          <w:rFonts w:asciiTheme="majorHAnsi" w:hAnsiTheme="majorHAnsi" w:cstheme="majorHAnsi"/>
          <w:sz w:val="24"/>
          <w:szCs w:val="24"/>
          <w:lang w:val="ro-MD"/>
        </w:rPr>
        <w:t>,</w:t>
      </w:r>
      <w:r w:rsidR="00D847A9" w:rsidRPr="000007C5">
        <w:rPr>
          <w:rFonts w:asciiTheme="majorHAnsi" w:hAnsiTheme="majorHAnsi" w:cstheme="majorHAnsi"/>
          <w:sz w:val="24"/>
          <w:szCs w:val="24"/>
          <w:lang w:val="ro-MD"/>
        </w:rPr>
        <w:t xml:space="preserve"> în anul 2020, </w:t>
      </w:r>
      <w:r w:rsidR="004854EE" w:rsidRPr="00CB5F81">
        <w:rPr>
          <w:rFonts w:asciiTheme="majorHAnsi" w:hAnsiTheme="majorHAnsi" w:cstheme="majorHAnsi"/>
          <w:sz w:val="24"/>
          <w:szCs w:val="24"/>
          <w:lang w:val="ro-MD"/>
        </w:rPr>
        <w:t>ace</w:t>
      </w:r>
      <w:r w:rsidR="00FD6E4A">
        <w:rPr>
          <w:rFonts w:asciiTheme="majorHAnsi" w:hAnsiTheme="majorHAnsi" w:cstheme="majorHAnsi"/>
          <w:sz w:val="24"/>
          <w:szCs w:val="24"/>
          <w:lang w:val="ro-MD"/>
        </w:rPr>
        <w:t>a</w:t>
      </w:r>
      <w:r w:rsidR="004854EE" w:rsidRPr="00CB5F81">
        <w:rPr>
          <w:rFonts w:asciiTheme="majorHAnsi" w:hAnsiTheme="majorHAnsi" w:cstheme="majorHAnsi"/>
          <w:sz w:val="24"/>
          <w:szCs w:val="24"/>
          <w:lang w:val="ro-MD"/>
        </w:rPr>
        <w:t>stă categorie de contribuabi</w:t>
      </w:r>
      <w:r w:rsidR="00A47B5F" w:rsidRPr="00CB5F81">
        <w:rPr>
          <w:rFonts w:asciiTheme="majorHAnsi" w:hAnsiTheme="majorHAnsi" w:cstheme="majorHAnsi"/>
          <w:sz w:val="24"/>
          <w:szCs w:val="24"/>
          <w:lang w:val="ro-MD"/>
        </w:rPr>
        <w:t xml:space="preserve">li a declarat înlesniri </w:t>
      </w:r>
      <w:r w:rsidR="004854EE" w:rsidRPr="00CB5F81">
        <w:rPr>
          <w:rFonts w:asciiTheme="majorHAnsi" w:hAnsiTheme="majorHAnsi" w:cstheme="majorHAnsi"/>
          <w:sz w:val="24"/>
          <w:szCs w:val="24"/>
          <w:lang w:val="ro-MD"/>
        </w:rPr>
        <w:t>în valoare de 11,8 mil.lei. Verificările</w:t>
      </w:r>
      <w:r w:rsidR="002D7618">
        <w:rPr>
          <w:rFonts w:asciiTheme="majorHAnsi" w:hAnsiTheme="majorHAnsi" w:cstheme="majorHAnsi"/>
          <w:sz w:val="24"/>
          <w:szCs w:val="24"/>
          <w:lang w:val="ro-MD"/>
        </w:rPr>
        <w:t xml:space="preserve"> efectuate</w:t>
      </w:r>
      <w:r w:rsidR="004854EE" w:rsidRPr="00CB5F81">
        <w:rPr>
          <w:rFonts w:asciiTheme="majorHAnsi" w:hAnsiTheme="majorHAnsi" w:cstheme="majorHAnsi"/>
          <w:sz w:val="24"/>
          <w:szCs w:val="24"/>
          <w:lang w:val="ro-MD"/>
        </w:rPr>
        <w:t xml:space="preserve"> de audit</w:t>
      </w:r>
      <w:r w:rsidR="002D7618">
        <w:rPr>
          <w:rFonts w:asciiTheme="majorHAnsi" w:hAnsiTheme="majorHAnsi" w:cstheme="majorHAnsi"/>
          <w:sz w:val="24"/>
          <w:szCs w:val="24"/>
          <w:lang w:val="ro-MD"/>
        </w:rPr>
        <w:t>,</w:t>
      </w:r>
      <w:r w:rsidR="004854EE" w:rsidRPr="00CB5F81">
        <w:rPr>
          <w:rFonts w:asciiTheme="majorHAnsi" w:hAnsiTheme="majorHAnsi" w:cstheme="majorHAnsi"/>
          <w:sz w:val="24"/>
          <w:szCs w:val="24"/>
          <w:lang w:val="ro-MD"/>
        </w:rPr>
        <w:t xml:space="preserve"> </w:t>
      </w:r>
      <w:r w:rsidR="00BD6A6F" w:rsidRPr="00CB5F81">
        <w:rPr>
          <w:rFonts w:asciiTheme="majorHAnsi" w:hAnsiTheme="majorHAnsi" w:cstheme="majorHAnsi"/>
          <w:sz w:val="24"/>
          <w:szCs w:val="24"/>
          <w:lang w:val="ro-MD"/>
        </w:rPr>
        <w:t>într-un caz</w:t>
      </w:r>
      <w:r w:rsidR="002D7618">
        <w:rPr>
          <w:rFonts w:asciiTheme="majorHAnsi" w:hAnsiTheme="majorHAnsi" w:cstheme="majorHAnsi"/>
          <w:sz w:val="24"/>
          <w:szCs w:val="24"/>
          <w:lang w:val="ro-MD"/>
        </w:rPr>
        <w:t>,</w:t>
      </w:r>
      <w:r w:rsidR="00BD6A6F" w:rsidRPr="00CB5F81">
        <w:rPr>
          <w:rFonts w:asciiTheme="majorHAnsi" w:hAnsiTheme="majorHAnsi" w:cstheme="majorHAnsi"/>
          <w:sz w:val="24"/>
          <w:szCs w:val="24"/>
          <w:lang w:val="ro-MD"/>
        </w:rPr>
        <w:t xml:space="preserve"> </w:t>
      </w:r>
      <w:r w:rsidR="004854EE" w:rsidRPr="00CB5F81">
        <w:rPr>
          <w:rFonts w:asciiTheme="majorHAnsi" w:hAnsiTheme="majorHAnsi" w:cstheme="majorHAnsi"/>
          <w:sz w:val="24"/>
          <w:szCs w:val="24"/>
          <w:lang w:val="ro-MD"/>
        </w:rPr>
        <w:t>au elucidat erori</w:t>
      </w:r>
      <w:r w:rsidR="00BD6A6F" w:rsidRPr="00CB5F81">
        <w:rPr>
          <w:rFonts w:asciiTheme="majorHAnsi" w:hAnsiTheme="majorHAnsi" w:cstheme="majorHAnsi"/>
          <w:sz w:val="24"/>
          <w:szCs w:val="24"/>
          <w:lang w:val="ro-MD"/>
        </w:rPr>
        <w:t xml:space="preserve"> cu valoare</w:t>
      </w:r>
      <w:r w:rsidR="002D7618">
        <w:rPr>
          <w:rFonts w:asciiTheme="majorHAnsi" w:hAnsiTheme="majorHAnsi" w:cstheme="majorHAnsi"/>
          <w:sz w:val="24"/>
          <w:szCs w:val="24"/>
          <w:lang w:val="ro-MD"/>
        </w:rPr>
        <w:t>a</w:t>
      </w:r>
      <w:r w:rsidR="00BD6A6F" w:rsidRPr="00CB5F81">
        <w:rPr>
          <w:rFonts w:asciiTheme="majorHAnsi" w:hAnsiTheme="majorHAnsi" w:cstheme="majorHAnsi"/>
          <w:sz w:val="24"/>
          <w:szCs w:val="24"/>
          <w:lang w:val="ro-MD"/>
        </w:rPr>
        <w:t xml:space="preserve"> semnificativă</w:t>
      </w:r>
      <w:r w:rsidR="00EC1EAF">
        <w:rPr>
          <w:rFonts w:asciiTheme="majorHAnsi" w:hAnsiTheme="majorHAnsi" w:cstheme="majorHAnsi"/>
          <w:sz w:val="24"/>
          <w:szCs w:val="24"/>
          <w:lang w:val="ro-MD"/>
        </w:rPr>
        <w:t xml:space="preserve"> </w:t>
      </w:r>
      <w:r w:rsidR="004854EE" w:rsidRPr="00CB5F81">
        <w:rPr>
          <w:rFonts w:asciiTheme="majorHAnsi" w:hAnsiTheme="majorHAnsi" w:cstheme="majorHAnsi"/>
          <w:sz w:val="24"/>
          <w:szCs w:val="24"/>
          <w:lang w:val="ro-MD"/>
        </w:rPr>
        <w:t xml:space="preserve">de 5,2 </w:t>
      </w:r>
      <w:r w:rsidR="00726434" w:rsidRPr="00CB5F81">
        <w:rPr>
          <w:rFonts w:asciiTheme="majorHAnsi" w:hAnsiTheme="majorHAnsi" w:cstheme="majorHAnsi"/>
          <w:sz w:val="24"/>
          <w:szCs w:val="24"/>
          <w:lang w:val="ro-MD"/>
        </w:rPr>
        <w:t>mil.</w:t>
      </w:r>
      <w:r w:rsidR="004854EE" w:rsidRPr="00CB5F81">
        <w:rPr>
          <w:rFonts w:asciiTheme="majorHAnsi" w:hAnsiTheme="majorHAnsi" w:cstheme="majorHAnsi"/>
          <w:sz w:val="24"/>
          <w:szCs w:val="24"/>
          <w:lang w:val="ro-MD"/>
        </w:rPr>
        <w:t>lei</w:t>
      </w:r>
      <w:r w:rsidR="00BD6A6F" w:rsidRPr="00CB5F81">
        <w:rPr>
          <w:rFonts w:asciiTheme="majorHAnsi" w:hAnsiTheme="majorHAnsi" w:cstheme="majorHAnsi"/>
          <w:sz w:val="24"/>
          <w:szCs w:val="24"/>
          <w:lang w:val="ro-MD"/>
        </w:rPr>
        <w:t xml:space="preserve"> (44% din valoarea totală)</w:t>
      </w:r>
      <w:r w:rsidR="004854EE" w:rsidRPr="00CB5F81">
        <w:rPr>
          <w:rFonts w:asciiTheme="majorHAnsi" w:hAnsiTheme="majorHAnsi" w:cstheme="majorHAnsi"/>
          <w:sz w:val="24"/>
          <w:szCs w:val="24"/>
          <w:lang w:val="ro-MD"/>
        </w:rPr>
        <w:t>, cauzate de indicarea greșită de către un contribuabil</w:t>
      </w:r>
      <w:r w:rsidR="00EC1EAF">
        <w:rPr>
          <w:rFonts w:asciiTheme="majorHAnsi" w:hAnsiTheme="majorHAnsi" w:cstheme="majorHAnsi"/>
          <w:sz w:val="24"/>
          <w:szCs w:val="24"/>
          <w:lang w:val="ro-MD"/>
        </w:rPr>
        <w:t xml:space="preserve"> </w:t>
      </w:r>
      <w:r w:rsidR="004854EE" w:rsidRPr="00CB5F81">
        <w:rPr>
          <w:rFonts w:asciiTheme="majorHAnsi" w:hAnsiTheme="majorHAnsi" w:cstheme="majorHAnsi"/>
          <w:sz w:val="24"/>
          <w:szCs w:val="24"/>
          <w:lang w:val="ro-MD"/>
        </w:rPr>
        <w:t xml:space="preserve">în </w:t>
      </w:r>
      <w:r w:rsidR="002D7618">
        <w:rPr>
          <w:rFonts w:asciiTheme="majorHAnsi" w:hAnsiTheme="majorHAnsi" w:cstheme="majorHAnsi"/>
          <w:sz w:val="24"/>
          <w:szCs w:val="24"/>
          <w:lang w:val="ro-MD"/>
        </w:rPr>
        <w:t>F</w:t>
      </w:r>
      <w:r w:rsidR="004854EE" w:rsidRPr="00CB5F81">
        <w:rPr>
          <w:rFonts w:asciiTheme="majorHAnsi" w:hAnsiTheme="majorHAnsi" w:cstheme="majorHAnsi"/>
          <w:sz w:val="24"/>
          <w:szCs w:val="24"/>
          <w:lang w:val="ro-MD"/>
        </w:rPr>
        <w:t>ormularul VEN12 a sumei venitului impozabil</w:t>
      </w:r>
      <w:r w:rsidR="002D7618">
        <w:rPr>
          <w:rFonts w:asciiTheme="majorHAnsi" w:hAnsiTheme="majorHAnsi" w:cstheme="majorHAnsi"/>
          <w:sz w:val="24"/>
          <w:szCs w:val="24"/>
          <w:lang w:val="ro-MD"/>
        </w:rPr>
        <w:t>,</w:t>
      </w:r>
      <w:r w:rsidR="004854EE" w:rsidRPr="00CB5F81">
        <w:rPr>
          <w:rFonts w:asciiTheme="majorHAnsi" w:hAnsiTheme="majorHAnsi" w:cstheme="majorHAnsi"/>
          <w:sz w:val="24"/>
          <w:szCs w:val="24"/>
          <w:lang w:val="ro-MD"/>
        </w:rPr>
        <w:t xml:space="preserve"> în loc de impozitul pe venit</w:t>
      </w:r>
      <w:r w:rsidR="00902F6C" w:rsidRPr="00CB5F81">
        <w:rPr>
          <w:rFonts w:asciiTheme="majorHAnsi" w:hAnsiTheme="majorHAnsi" w:cstheme="majorHAnsi"/>
          <w:sz w:val="24"/>
          <w:szCs w:val="24"/>
          <w:lang w:val="ro-MD"/>
        </w:rPr>
        <w:t>. În așa mod</w:t>
      </w:r>
      <w:r w:rsidR="002D7618">
        <w:rPr>
          <w:rFonts w:asciiTheme="majorHAnsi" w:hAnsiTheme="majorHAnsi" w:cstheme="majorHAnsi"/>
          <w:sz w:val="24"/>
          <w:szCs w:val="24"/>
          <w:lang w:val="ro-MD"/>
        </w:rPr>
        <w:t>,</w:t>
      </w:r>
      <w:r w:rsidR="00902F6C" w:rsidRPr="00CB5F81">
        <w:rPr>
          <w:rFonts w:asciiTheme="majorHAnsi" w:hAnsiTheme="majorHAnsi" w:cstheme="majorHAnsi"/>
          <w:sz w:val="24"/>
          <w:szCs w:val="24"/>
          <w:lang w:val="ro-MD"/>
        </w:rPr>
        <w:t xml:space="preserve"> suma facilităților raportate a fost incorect majorată cu 5,2 </w:t>
      </w:r>
      <w:r w:rsidR="00726434" w:rsidRPr="00CB5F81">
        <w:rPr>
          <w:rFonts w:asciiTheme="majorHAnsi" w:hAnsiTheme="majorHAnsi" w:cstheme="majorHAnsi"/>
          <w:sz w:val="24"/>
          <w:szCs w:val="24"/>
          <w:lang w:val="ro-MD"/>
        </w:rPr>
        <w:t>mil.</w:t>
      </w:r>
      <w:r w:rsidR="00902F6C" w:rsidRPr="00CB5F81">
        <w:rPr>
          <w:rFonts w:asciiTheme="majorHAnsi" w:hAnsiTheme="majorHAnsi" w:cstheme="majorHAnsi"/>
          <w:sz w:val="24"/>
          <w:szCs w:val="24"/>
          <w:lang w:val="ro-MD"/>
        </w:rPr>
        <w:t>lei.</w:t>
      </w:r>
      <w:r w:rsidR="00EB531C" w:rsidRPr="00CB5F81">
        <w:rPr>
          <w:rFonts w:asciiTheme="majorHAnsi" w:hAnsiTheme="majorHAnsi" w:cstheme="majorHAnsi"/>
          <w:sz w:val="24"/>
          <w:szCs w:val="24"/>
          <w:lang w:val="ro-MD"/>
        </w:rPr>
        <w:t xml:space="preserve"> Analogic cazurilor expuse</w:t>
      </w:r>
      <w:r w:rsidR="00BD6A6F" w:rsidRPr="00CB5F81">
        <w:rPr>
          <w:rFonts w:asciiTheme="majorHAnsi" w:hAnsiTheme="majorHAnsi" w:cstheme="majorHAnsi"/>
          <w:sz w:val="24"/>
          <w:szCs w:val="24"/>
          <w:lang w:val="ro-MD"/>
        </w:rPr>
        <w:t>,</w:t>
      </w:r>
      <w:r w:rsidR="00EB531C" w:rsidRPr="00CB5F81">
        <w:rPr>
          <w:rFonts w:asciiTheme="majorHAnsi" w:hAnsiTheme="majorHAnsi" w:cstheme="majorHAnsi"/>
          <w:sz w:val="24"/>
          <w:szCs w:val="24"/>
          <w:lang w:val="ro-MD"/>
        </w:rPr>
        <w:t xml:space="preserve"> cauza acestor erori se perpetu</w:t>
      </w:r>
      <w:r w:rsidR="00936ECF">
        <w:rPr>
          <w:rFonts w:asciiTheme="majorHAnsi" w:hAnsiTheme="majorHAnsi" w:cstheme="majorHAnsi"/>
          <w:sz w:val="24"/>
          <w:szCs w:val="24"/>
          <w:lang w:val="ro-MD"/>
        </w:rPr>
        <w:t>ează</w:t>
      </w:r>
      <w:r w:rsidR="00EB531C" w:rsidRPr="00CB5F81">
        <w:rPr>
          <w:rFonts w:asciiTheme="majorHAnsi" w:hAnsiTheme="majorHAnsi" w:cstheme="majorHAnsi"/>
          <w:sz w:val="24"/>
          <w:szCs w:val="24"/>
          <w:lang w:val="ro-MD"/>
        </w:rPr>
        <w:t xml:space="preserve"> și constă în</w:t>
      </w:r>
      <w:r w:rsidR="00EC1EAF">
        <w:rPr>
          <w:rFonts w:asciiTheme="majorHAnsi" w:hAnsiTheme="majorHAnsi" w:cstheme="majorHAnsi"/>
          <w:sz w:val="24"/>
          <w:szCs w:val="24"/>
          <w:lang w:val="ro-MD"/>
        </w:rPr>
        <w:t xml:space="preserve"> </w:t>
      </w:r>
      <w:r w:rsidR="00EB531C" w:rsidRPr="00CB5F81">
        <w:rPr>
          <w:rFonts w:asciiTheme="majorHAnsi" w:hAnsiTheme="majorHAnsi" w:cstheme="majorHAnsi"/>
          <w:sz w:val="24"/>
          <w:szCs w:val="24"/>
          <w:lang w:val="ro-MD"/>
        </w:rPr>
        <w:t>lipsa procedurilor de control</w:t>
      </w:r>
      <w:r w:rsidR="00441907">
        <w:rPr>
          <w:rFonts w:asciiTheme="majorHAnsi" w:hAnsiTheme="majorHAnsi" w:cstheme="majorHAnsi"/>
          <w:sz w:val="24"/>
          <w:szCs w:val="24"/>
          <w:lang w:val="ro-MD"/>
        </w:rPr>
        <w:t xml:space="preserve"> intern în </w:t>
      </w:r>
      <w:r w:rsidR="002D7618">
        <w:rPr>
          <w:rFonts w:asciiTheme="majorHAnsi" w:hAnsiTheme="majorHAnsi" w:cstheme="majorHAnsi"/>
          <w:sz w:val="24"/>
          <w:szCs w:val="24"/>
          <w:lang w:val="ro-MD"/>
        </w:rPr>
        <w:t xml:space="preserve">cadrul </w:t>
      </w:r>
      <w:r w:rsidR="00BD6A6F" w:rsidRPr="00CB5F81">
        <w:rPr>
          <w:rFonts w:asciiTheme="majorHAnsi" w:hAnsiTheme="majorHAnsi" w:cstheme="majorHAnsi"/>
          <w:sz w:val="24"/>
          <w:szCs w:val="24"/>
          <w:lang w:val="ro-MD"/>
        </w:rPr>
        <w:t>SFS, în speță</w:t>
      </w:r>
      <w:r w:rsidR="002D7618">
        <w:rPr>
          <w:rFonts w:asciiTheme="majorHAnsi" w:hAnsiTheme="majorHAnsi" w:cstheme="majorHAnsi"/>
          <w:sz w:val="24"/>
          <w:szCs w:val="24"/>
          <w:lang w:val="ro-MD"/>
        </w:rPr>
        <w:t>, a</w:t>
      </w:r>
      <w:r w:rsidR="00BD6A6F" w:rsidRPr="00CB5F81">
        <w:rPr>
          <w:rFonts w:asciiTheme="majorHAnsi" w:hAnsiTheme="majorHAnsi" w:cstheme="majorHAnsi"/>
          <w:sz w:val="24"/>
          <w:szCs w:val="24"/>
          <w:lang w:val="ro-MD"/>
        </w:rPr>
        <w:t xml:space="preserve"> activitățil</w:t>
      </w:r>
      <w:r w:rsidR="002D7618">
        <w:rPr>
          <w:rFonts w:asciiTheme="majorHAnsi" w:hAnsiTheme="majorHAnsi" w:cstheme="majorHAnsi"/>
          <w:sz w:val="24"/>
          <w:szCs w:val="24"/>
          <w:lang w:val="ro-MD"/>
        </w:rPr>
        <w:t>or</w:t>
      </w:r>
      <w:r w:rsidR="00BD6A6F" w:rsidRPr="00CB5F81">
        <w:rPr>
          <w:rFonts w:asciiTheme="majorHAnsi" w:hAnsiTheme="majorHAnsi" w:cstheme="majorHAnsi"/>
          <w:sz w:val="24"/>
          <w:szCs w:val="24"/>
          <w:lang w:val="ro-MD"/>
        </w:rPr>
        <w:t xml:space="preserve"> de control</w:t>
      </w:r>
      <w:r w:rsidR="00EC1EAF">
        <w:rPr>
          <w:rFonts w:asciiTheme="majorHAnsi" w:hAnsiTheme="majorHAnsi" w:cstheme="majorHAnsi"/>
          <w:sz w:val="24"/>
          <w:szCs w:val="24"/>
          <w:lang w:val="ro-MD"/>
        </w:rPr>
        <w:t xml:space="preserve"> </w:t>
      </w:r>
      <w:r w:rsidR="00BD6A6F" w:rsidRPr="00CB5F81">
        <w:rPr>
          <w:rFonts w:asciiTheme="majorHAnsi" w:hAnsiTheme="majorHAnsi" w:cstheme="majorHAnsi"/>
          <w:sz w:val="24"/>
          <w:szCs w:val="24"/>
          <w:lang w:val="ro-MD"/>
        </w:rPr>
        <w:t>ex-ante</w:t>
      </w:r>
      <w:r w:rsidR="000F72BF">
        <w:rPr>
          <w:rFonts w:asciiTheme="majorHAnsi" w:hAnsiTheme="majorHAnsi" w:cstheme="majorHAnsi"/>
          <w:sz w:val="24"/>
          <w:szCs w:val="24"/>
          <w:lang w:val="ro-MD"/>
        </w:rPr>
        <w:t>,</w:t>
      </w:r>
      <w:r w:rsidR="00BD6A6F" w:rsidRPr="00CB5F81">
        <w:rPr>
          <w:rFonts w:asciiTheme="majorHAnsi" w:hAnsiTheme="majorHAnsi" w:cstheme="majorHAnsi"/>
          <w:sz w:val="24"/>
          <w:szCs w:val="24"/>
          <w:lang w:val="ro-MD"/>
        </w:rPr>
        <w:t xml:space="preserve"> </w:t>
      </w:r>
      <w:r w:rsidR="00EB531C" w:rsidRPr="00CB5F81">
        <w:rPr>
          <w:rFonts w:asciiTheme="majorHAnsi" w:hAnsiTheme="majorHAnsi" w:cstheme="majorHAnsi"/>
          <w:sz w:val="24"/>
          <w:szCs w:val="24"/>
          <w:lang w:val="ro-MD"/>
        </w:rPr>
        <w:t>care să detecteze e</w:t>
      </w:r>
      <w:r w:rsidR="00BD6A6F" w:rsidRPr="00CB5F81">
        <w:rPr>
          <w:rFonts w:asciiTheme="majorHAnsi" w:hAnsiTheme="majorHAnsi" w:cstheme="majorHAnsi"/>
          <w:sz w:val="24"/>
          <w:szCs w:val="24"/>
          <w:lang w:val="ro-MD"/>
        </w:rPr>
        <w:t>r</w:t>
      </w:r>
      <w:r w:rsidR="00EB531C" w:rsidRPr="00CB5F81">
        <w:rPr>
          <w:rFonts w:asciiTheme="majorHAnsi" w:hAnsiTheme="majorHAnsi" w:cstheme="majorHAnsi"/>
          <w:sz w:val="24"/>
          <w:szCs w:val="24"/>
          <w:lang w:val="ro-MD"/>
        </w:rPr>
        <w:t>orile</w:t>
      </w:r>
      <w:r w:rsidR="00BD6A6F" w:rsidRPr="00CB5F81">
        <w:rPr>
          <w:rFonts w:asciiTheme="majorHAnsi" w:hAnsiTheme="majorHAnsi" w:cstheme="majorHAnsi"/>
          <w:sz w:val="24"/>
          <w:szCs w:val="24"/>
          <w:lang w:val="ro-MD"/>
        </w:rPr>
        <w:t xml:space="preserve"> în </w:t>
      </w:r>
      <w:r w:rsidR="00EB531C" w:rsidRPr="00CB5F81">
        <w:rPr>
          <w:rFonts w:asciiTheme="majorHAnsi" w:hAnsiTheme="majorHAnsi" w:cstheme="majorHAnsi"/>
          <w:sz w:val="24"/>
          <w:szCs w:val="24"/>
          <w:lang w:val="ro-MD"/>
        </w:rPr>
        <w:t xml:space="preserve">procesul de </w:t>
      </w:r>
      <w:r w:rsidR="00BD6A6F" w:rsidRPr="00CB5F81">
        <w:rPr>
          <w:rFonts w:asciiTheme="majorHAnsi" w:hAnsiTheme="majorHAnsi" w:cstheme="majorHAnsi"/>
          <w:sz w:val="24"/>
          <w:szCs w:val="24"/>
          <w:lang w:val="ro-MD"/>
        </w:rPr>
        <w:t xml:space="preserve">analiză și </w:t>
      </w:r>
      <w:r w:rsidR="00EB531C" w:rsidRPr="00CB5F81">
        <w:rPr>
          <w:rFonts w:asciiTheme="majorHAnsi" w:hAnsiTheme="majorHAnsi" w:cstheme="majorHAnsi"/>
          <w:sz w:val="24"/>
          <w:szCs w:val="24"/>
          <w:lang w:val="ro-MD"/>
        </w:rPr>
        <w:t>agregare a</w:t>
      </w:r>
      <w:r w:rsidR="00BD6A6F" w:rsidRPr="00CB5F81">
        <w:rPr>
          <w:rFonts w:asciiTheme="majorHAnsi" w:hAnsiTheme="majorHAnsi" w:cstheme="majorHAnsi"/>
          <w:sz w:val="24"/>
          <w:szCs w:val="24"/>
          <w:lang w:val="ro-MD"/>
        </w:rPr>
        <w:t xml:space="preserve"> acestora.</w:t>
      </w:r>
      <w:r w:rsidR="00EB531C" w:rsidRPr="00CB5F81">
        <w:rPr>
          <w:rFonts w:asciiTheme="majorHAnsi" w:hAnsiTheme="majorHAnsi" w:cstheme="majorHAnsi"/>
          <w:sz w:val="24"/>
          <w:szCs w:val="24"/>
          <w:lang w:val="ro-MD"/>
        </w:rPr>
        <w:t xml:space="preserve"> </w:t>
      </w:r>
      <w:r w:rsidR="004854EE" w:rsidRPr="00CB5F81">
        <w:rPr>
          <w:rFonts w:asciiTheme="majorHAnsi" w:hAnsiTheme="majorHAnsi" w:cstheme="majorHAnsi"/>
          <w:sz w:val="24"/>
          <w:szCs w:val="24"/>
          <w:lang w:val="ro-MD"/>
        </w:rPr>
        <w:t>Deși</w:t>
      </w:r>
      <w:r w:rsidR="00A47B5F" w:rsidRPr="00CB5F81">
        <w:rPr>
          <w:rFonts w:asciiTheme="majorHAnsi" w:hAnsiTheme="majorHAnsi" w:cstheme="majorHAnsi"/>
          <w:sz w:val="24"/>
          <w:szCs w:val="24"/>
          <w:lang w:val="ro-MD"/>
        </w:rPr>
        <w:t xml:space="preserve"> responsabili</w:t>
      </w:r>
      <w:r w:rsidR="00BD6A6F" w:rsidRPr="00CB5F81">
        <w:rPr>
          <w:rFonts w:asciiTheme="majorHAnsi" w:hAnsiTheme="majorHAnsi" w:cstheme="majorHAnsi"/>
          <w:sz w:val="24"/>
          <w:szCs w:val="24"/>
          <w:lang w:val="ro-MD"/>
        </w:rPr>
        <w:t>i</w:t>
      </w:r>
      <w:r w:rsidR="00A47B5F" w:rsidRPr="00CB5F81">
        <w:rPr>
          <w:rFonts w:asciiTheme="majorHAnsi" w:hAnsiTheme="majorHAnsi" w:cstheme="majorHAnsi"/>
          <w:sz w:val="24"/>
          <w:szCs w:val="24"/>
          <w:lang w:val="ro-MD"/>
        </w:rPr>
        <w:t xml:space="preserve"> din cadrul SFS</w:t>
      </w:r>
      <w:r w:rsidR="000F72BF">
        <w:rPr>
          <w:rFonts w:asciiTheme="majorHAnsi" w:hAnsiTheme="majorHAnsi" w:cstheme="majorHAnsi"/>
          <w:sz w:val="24"/>
          <w:szCs w:val="24"/>
          <w:lang w:val="ro-MD"/>
        </w:rPr>
        <w:t>,</w:t>
      </w:r>
      <w:r w:rsidR="00A47B5F" w:rsidRPr="00CB5F81">
        <w:rPr>
          <w:rFonts w:asciiTheme="majorHAnsi" w:hAnsiTheme="majorHAnsi" w:cstheme="majorHAnsi"/>
          <w:sz w:val="24"/>
          <w:szCs w:val="24"/>
          <w:lang w:val="ro-MD"/>
        </w:rPr>
        <w:t xml:space="preserve"> pe</w:t>
      </w:r>
      <w:r w:rsidR="004854EE" w:rsidRPr="00CB5F81">
        <w:rPr>
          <w:rFonts w:asciiTheme="majorHAnsi" w:hAnsiTheme="majorHAnsi" w:cstheme="majorHAnsi"/>
          <w:sz w:val="24"/>
          <w:szCs w:val="24"/>
          <w:lang w:val="ro-MD"/>
        </w:rPr>
        <w:t xml:space="preserve"> parcursul misiunii de audit</w:t>
      </w:r>
      <w:r w:rsidR="000F72BF">
        <w:rPr>
          <w:rFonts w:asciiTheme="majorHAnsi" w:hAnsiTheme="majorHAnsi" w:cstheme="majorHAnsi"/>
          <w:sz w:val="24"/>
          <w:szCs w:val="24"/>
          <w:lang w:val="ro-MD"/>
        </w:rPr>
        <w:t>,</w:t>
      </w:r>
      <w:r w:rsidR="004854EE" w:rsidRPr="00CB5F81">
        <w:rPr>
          <w:rFonts w:asciiTheme="majorHAnsi" w:hAnsiTheme="majorHAnsi" w:cstheme="majorHAnsi"/>
          <w:sz w:val="24"/>
          <w:szCs w:val="24"/>
          <w:lang w:val="ro-MD"/>
        </w:rPr>
        <w:t xml:space="preserve"> au prezentat</w:t>
      </w:r>
      <w:r w:rsidR="00A47B5F" w:rsidRPr="00CB5F81">
        <w:rPr>
          <w:rFonts w:asciiTheme="majorHAnsi" w:hAnsiTheme="majorHAnsi" w:cstheme="majorHAnsi"/>
          <w:sz w:val="24"/>
          <w:szCs w:val="24"/>
          <w:lang w:val="ro-MD"/>
        </w:rPr>
        <w:t xml:space="preserve"> echipei</w:t>
      </w:r>
      <w:r w:rsidR="004854EE" w:rsidRPr="00CB5F81">
        <w:rPr>
          <w:rFonts w:asciiTheme="majorHAnsi" w:hAnsiTheme="majorHAnsi" w:cstheme="majorHAnsi"/>
          <w:sz w:val="24"/>
          <w:szCs w:val="24"/>
          <w:lang w:val="ro-MD"/>
        </w:rPr>
        <w:t xml:space="preserve"> date actualizate </w:t>
      </w:r>
      <w:r w:rsidR="004854EE" w:rsidRPr="00CB5F81">
        <w:rPr>
          <w:rFonts w:asciiTheme="majorHAnsi" w:hAnsiTheme="majorHAnsi" w:cstheme="majorHAnsi"/>
          <w:sz w:val="24"/>
          <w:szCs w:val="24"/>
          <w:lang w:val="ro-MD"/>
        </w:rPr>
        <w:lastRenderedPageBreak/>
        <w:t>referitor la suma facilității</w:t>
      </w:r>
      <w:r w:rsidR="00A47B5F" w:rsidRPr="00CB5F81">
        <w:rPr>
          <w:rFonts w:asciiTheme="majorHAnsi" w:hAnsiTheme="majorHAnsi" w:cstheme="majorHAnsi"/>
          <w:sz w:val="24"/>
          <w:szCs w:val="24"/>
          <w:lang w:val="ro-MD"/>
        </w:rPr>
        <w:t xml:space="preserve"> cuantificate inițial</w:t>
      </w:r>
      <w:r w:rsidR="004854EE" w:rsidRPr="00CB5F81">
        <w:rPr>
          <w:rFonts w:asciiTheme="majorHAnsi" w:hAnsiTheme="majorHAnsi" w:cstheme="majorHAnsi"/>
          <w:sz w:val="24"/>
          <w:szCs w:val="24"/>
          <w:lang w:val="ro-MD"/>
        </w:rPr>
        <w:t xml:space="preserve">, corectând-o cu 20,0 mii lei, eroarea de 5,2 </w:t>
      </w:r>
      <w:r w:rsidR="00726434" w:rsidRPr="00CB5F81">
        <w:rPr>
          <w:rFonts w:asciiTheme="majorHAnsi" w:hAnsiTheme="majorHAnsi" w:cstheme="majorHAnsi"/>
          <w:sz w:val="24"/>
          <w:szCs w:val="24"/>
          <w:lang w:val="ro-MD"/>
        </w:rPr>
        <w:t>mil.</w:t>
      </w:r>
      <w:r w:rsidR="004854EE" w:rsidRPr="00CB5F81">
        <w:rPr>
          <w:rFonts w:asciiTheme="majorHAnsi" w:hAnsiTheme="majorHAnsi" w:cstheme="majorHAnsi"/>
          <w:sz w:val="24"/>
          <w:szCs w:val="24"/>
          <w:lang w:val="ro-MD"/>
        </w:rPr>
        <w:t>lei nu a fost detectată și</w:t>
      </w:r>
      <w:r w:rsidR="00BD6A6F" w:rsidRPr="00CB5F81">
        <w:rPr>
          <w:rFonts w:asciiTheme="majorHAnsi" w:hAnsiTheme="majorHAnsi" w:cstheme="majorHAnsi"/>
          <w:sz w:val="24"/>
          <w:szCs w:val="24"/>
          <w:lang w:val="ro-MD"/>
        </w:rPr>
        <w:t xml:space="preserve"> ajustată</w:t>
      </w:r>
      <w:r w:rsidR="004854EE" w:rsidRPr="00CB5F81">
        <w:rPr>
          <w:rFonts w:asciiTheme="majorHAnsi" w:hAnsiTheme="majorHAnsi" w:cstheme="majorHAnsi"/>
          <w:sz w:val="24"/>
          <w:szCs w:val="24"/>
          <w:lang w:val="ro-MD"/>
        </w:rPr>
        <w:t>.</w:t>
      </w:r>
      <w:r w:rsidR="000B1714" w:rsidRPr="00CB5F81">
        <w:rPr>
          <w:rFonts w:asciiTheme="majorHAnsi" w:hAnsiTheme="majorHAnsi" w:cstheme="majorHAnsi"/>
          <w:sz w:val="24"/>
          <w:szCs w:val="24"/>
          <w:lang w:val="ro-MD"/>
        </w:rPr>
        <w:t xml:space="preserve"> </w:t>
      </w:r>
    </w:p>
    <w:p w:rsidR="005C59FE" w:rsidRPr="00985D59" w:rsidRDefault="00DC0540" w:rsidP="00040BCB">
      <w:pPr>
        <w:pStyle w:val="ListParagraph"/>
        <w:numPr>
          <w:ilvl w:val="0"/>
          <w:numId w:val="5"/>
        </w:numPr>
        <w:tabs>
          <w:tab w:val="left" w:pos="270"/>
          <w:tab w:val="left" w:pos="540"/>
        </w:tabs>
        <w:spacing w:after="120"/>
        <w:ind w:left="274" w:firstLine="0"/>
        <w:contextualSpacing w:val="0"/>
        <w:jc w:val="both"/>
        <w:rPr>
          <w:rFonts w:asciiTheme="minorHAnsi" w:hAnsiTheme="minorHAnsi" w:cstheme="minorHAnsi"/>
          <w:i/>
          <w:color w:val="1F4E79" w:themeColor="accent1" w:themeShade="80"/>
          <w:sz w:val="24"/>
          <w:szCs w:val="24"/>
          <w:lang w:val="ro-MD"/>
        </w:rPr>
      </w:pPr>
      <w:r w:rsidRPr="00985D59">
        <w:rPr>
          <w:rFonts w:asciiTheme="minorHAnsi" w:hAnsiTheme="minorHAnsi" w:cstheme="minorHAnsi"/>
          <w:i/>
          <w:color w:val="1F4E79" w:themeColor="accent1" w:themeShade="80"/>
          <w:sz w:val="24"/>
          <w:szCs w:val="24"/>
          <w:lang w:val="ro-MD"/>
        </w:rPr>
        <w:t xml:space="preserve">Nu este veridic </w:t>
      </w:r>
      <w:r w:rsidR="00EB70FA" w:rsidRPr="00985D59">
        <w:rPr>
          <w:rFonts w:asciiTheme="minorHAnsi" w:hAnsiTheme="minorHAnsi" w:cstheme="minorHAnsi"/>
          <w:i/>
          <w:color w:val="1F4E79" w:themeColor="accent1" w:themeShade="80"/>
          <w:sz w:val="24"/>
          <w:szCs w:val="24"/>
          <w:lang w:val="ro-MD"/>
        </w:rPr>
        <w:t xml:space="preserve">estimat </w:t>
      </w:r>
      <w:r w:rsidRPr="00985D59">
        <w:rPr>
          <w:rFonts w:asciiTheme="minorHAnsi" w:hAnsiTheme="minorHAnsi" w:cstheme="minorHAnsi"/>
          <w:i/>
          <w:color w:val="1F4E79" w:themeColor="accent1" w:themeShade="80"/>
          <w:sz w:val="24"/>
          <w:szCs w:val="24"/>
          <w:lang w:val="ro-MD"/>
        </w:rPr>
        <w:t>și costul scutirilor</w:t>
      </w:r>
      <w:r w:rsidR="005D58E6" w:rsidRPr="00985D59">
        <w:rPr>
          <w:rFonts w:asciiTheme="minorHAnsi" w:hAnsiTheme="minorHAnsi" w:cstheme="minorHAnsi"/>
          <w:i/>
          <w:color w:val="1F4E79" w:themeColor="accent1" w:themeShade="80"/>
          <w:sz w:val="24"/>
          <w:szCs w:val="24"/>
          <w:lang w:val="ro-MD"/>
        </w:rPr>
        <w:t xml:space="preserve"> de plata accizului la alcoolul etilic nedenaturat</w:t>
      </w:r>
      <w:r w:rsidR="000F72BF">
        <w:rPr>
          <w:rFonts w:asciiTheme="minorHAnsi" w:hAnsiTheme="minorHAnsi" w:cstheme="minorHAnsi"/>
          <w:i/>
          <w:color w:val="1F4E79" w:themeColor="accent1" w:themeShade="80"/>
          <w:sz w:val="24"/>
          <w:szCs w:val="24"/>
          <w:lang w:val="ro-MD"/>
        </w:rPr>
        <w:t>,</w:t>
      </w:r>
      <w:r w:rsidR="003C459C" w:rsidRPr="00985D59">
        <w:rPr>
          <w:rFonts w:asciiTheme="minorHAnsi" w:hAnsiTheme="minorHAnsi" w:cstheme="minorHAnsi"/>
          <w:i/>
          <w:color w:val="1F4E79" w:themeColor="accent1" w:themeShade="80"/>
          <w:sz w:val="24"/>
          <w:szCs w:val="24"/>
          <w:lang w:val="ro-MD"/>
        </w:rPr>
        <w:t xml:space="preserve"> utilizat în industria de parfumerie și cosmetică</w:t>
      </w:r>
      <w:r w:rsidR="005D58E6" w:rsidRPr="00985D59">
        <w:rPr>
          <w:rFonts w:asciiTheme="minorHAnsi" w:hAnsiTheme="minorHAnsi" w:cstheme="minorHAnsi"/>
          <w:i/>
          <w:color w:val="1F4E79" w:themeColor="accent1" w:themeShade="80"/>
          <w:sz w:val="24"/>
          <w:szCs w:val="24"/>
          <w:lang w:val="ro-MD"/>
        </w:rPr>
        <w:t xml:space="preserve">, fapt cauzat de  </w:t>
      </w:r>
      <w:r w:rsidR="000F72BF">
        <w:rPr>
          <w:rFonts w:asciiTheme="minorHAnsi" w:hAnsiTheme="minorHAnsi" w:cstheme="minorHAnsi"/>
          <w:i/>
          <w:color w:val="1F4E79" w:themeColor="accent1" w:themeShade="80"/>
          <w:sz w:val="24"/>
          <w:szCs w:val="24"/>
          <w:lang w:val="ro-MD"/>
        </w:rPr>
        <w:t>ne</w:t>
      </w:r>
      <w:r w:rsidRPr="00985D59">
        <w:rPr>
          <w:rFonts w:asciiTheme="minorHAnsi" w:hAnsiTheme="minorHAnsi" w:cstheme="minorHAnsi"/>
          <w:i/>
          <w:color w:val="1F4E79" w:themeColor="accent1" w:themeShade="80"/>
          <w:sz w:val="24"/>
          <w:szCs w:val="24"/>
          <w:lang w:val="ro-MD"/>
        </w:rPr>
        <w:t>instituir</w:t>
      </w:r>
      <w:r w:rsidR="000F72BF">
        <w:rPr>
          <w:rFonts w:asciiTheme="minorHAnsi" w:hAnsiTheme="minorHAnsi" w:cstheme="minorHAnsi"/>
          <w:i/>
          <w:color w:val="1F4E79" w:themeColor="accent1" w:themeShade="80"/>
          <w:sz w:val="24"/>
          <w:szCs w:val="24"/>
          <w:lang w:val="ro-MD"/>
        </w:rPr>
        <w:t>ea</w:t>
      </w:r>
      <w:r w:rsidRPr="00985D59">
        <w:rPr>
          <w:rFonts w:asciiTheme="minorHAnsi" w:hAnsiTheme="minorHAnsi" w:cstheme="minorHAnsi"/>
          <w:i/>
          <w:color w:val="1F4E79" w:themeColor="accent1" w:themeShade="80"/>
          <w:sz w:val="24"/>
          <w:szCs w:val="24"/>
          <w:lang w:val="ro-MD"/>
        </w:rPr>
        <w:t xml:space="preserve"> unui mecanism de schimb de informații</w:t>
      </w:r>
      <w:r w:rsidR="00EC1EAF">
        <w:rPr>
          <w:rFonts w:asciiTheme="minorHAnsi" w:hAnsiTheme="minorHAnsi" w:cstheme="minorHAnsi"/>
          <w:i/>
          <w:color w:val="1F4E79" w:themeColor="accent1" w:themeShade="80"/>
          <w:sz w:val="24"/>
          <w:szCs w:val="24"/>
          <w:lang w:val="ro-MD"/>
        </w:rPr>
        <w:t xml:space="preserve"> </w:t>
      </w:r>
      <w:r w:rsidRPr="00985D59">
        <w:rPr>
          <w:rFonts w:asciiTheme="minorHAnsi" w:hAnsiTheme="minorHAnsi" w:cstheme="minorHAnsi"/>
          <w:i/>
          <w:color w:val="1F4E79" w:themeColor="accent1" w:themeShade="80"/>
          <w:sz w:val="24"/>
          <w:szCs w:val="24"/>
          <w:lang w:val="ro-MD"/>
        </w:rPr>
        <w:t xml:space="preserve">între </w:t>
      </w:r>
      <w:r w:rsidR="0071237F" w:rsidRPr="00985D59">
        <w:rPr>
          <w:rFonts w:asciiTheme="minorHAnsi" w:hAnsiTheme="minorHAnsi" w:cstheme="minorHAnsi"/>
          <w:i/>
          <w:color w:val="1F4E79" w:themeColor="accent1" w:themeShade="80"/>
          <w:sz w:val="24"/>
          <w:szCs w:val="24"/>
          <w:lang w:val="ro-MD"/>
        </w:rPr>
        <w:t xml:space="preserve">organul fiscal și </w:t>
      </w:r>
      <w:r w:rsidRPr="00985D59">
        <w:rPr>
          <w:rFonts w:asciiTheme="minorHAnsi" w:hAnsiTheme="minorHAnsi" w:cstheme="minorHAnsi"/>
          <w:i/>
          <w:color w:val="1F4E79" w:themeColor="accent1" w:themeShade="80"/>
          <w:sz w:val="24"/>
          <w:szCs w:val="24"/>
          <w:lang w:val="ro-MD"/>
        </w:rPr>
        <w:t>MAIA</w:t>
      </w:r>
      <w:r w:rsidR="00EC1EAF">
        <w:rPr>
          <w:rFonts w:asciiTheme="minorHAnsi" w:hAnsiTheme="minorHAnsi" w:cstheme="minorHAnsi"/>
          <w:i/>
          <w:color w:val="1F4E79" w:themeColor="accent1" w:themeShade="80"/>
          <w:sz w:val="24"/>
          <w:szCs w:val="24"/>
          <w:lang w:val="ro-MD"/>
        </w:rPr>
        <w:t xml:space="preserve"> </w:t>
      </w:r>
      <w:r w:rsidR="005D58E6" w:rsidRPr="00985D59">
        <w:rPr>
          <w:rFonts w:asciiTheme="minorHAnsi" w:hAnsiTheme="minorHAnsi" w:cstheme="minorHAnsi"/>
          <w:i/>
          <w:color w:val="1F4E79" w:themeColor="accent1" w:themeShade="80"/>
          <w:sz w:val="24"/>
          <w:szCs w:val="24"/>
          <w:lang w:val="ro-MD"/>
        </w:rPr>
        <w:t>(</w:t>
      </w:r>
      <w:r w:rsidR="000F72BF">
        <w:rPr>
          <w:rFonts w:asciiTheme="minorHAnsi" w:hAnsiTheme="minorHAnsi" w:cstheme="minorHAnsi"/>
          <w:i/>
          <w:color w:val="1F4E79" w:themeColor="accent1" w:themeShade="80"/>
          <w:sz w:val="24"/>
          <w:szCs w:val="24"/>
          <w:lang w:val="ro-MD"/>
        </w:rPr>
        <w:t>C</w:t>
      </w:r>
      <w:r w:rsidR="005D58E6" w:rsidRPr="00985D59">
        <w:rPr>
          <w:rFonts w:asciiTheme="minorHAnsi" w:hAnsiTheme="minorHAnsi" w:cstheme="minorHAnsi"/>
          <w:i/>
          <w:color w:val="1F4E79" w:themeColor="accent1" w:themeShade="80"/>
          <w:sz w:val="24"/>
          <w:szCs w:val="24"/>
          <w:lang w:val="ro-MD"/>
        </w:rPr>
        <w:t>odul facilității-CFAC 020)</w:t>
      </w:r>
      <w:r w:rsidR="005C59FE" w:rsidRPr="00985D59">
        <w:rPr>
          <w:rFonts w:asciiTheme="minorHAnsi" w:hAnsiTheme="minorHAnsi" w:cstheme="minorHAnsi"/>
          <w:i/>
          <w:color w:val="1F4E79" w:themeColor="accent1" w:themeShade="80"/>
          <w:sz w:val="24"/>
          <w:szCs w:val="24"/>
          <w:lang w:val="ro-MD"/>
        </w:rPr>
        <w:t xml:space="preserve"> </w:t>
      </w:r>
    </w:p>
    <w:p w:rsidR="005D58E6" w:rsidRPr="00CB5F81" w:rsidRDefault="00C65E39" w:rsidP="005D58E6">
      <w:pPr>
        <w:pStyle w:val="ListParagraph"/>
        <w:tabs>
          <w:tab w:val="left" w:pos="360"/>
        </w:tabs>
        <w:ind w:left="0"/>
        <w:jc w:val="both"/>
        <w:rPr>
          <w:rFonts w:asciiTheme="majorHAnsi" w:eastAsia="Times New Roman" w:hAnsiTheme="majorHAnsi" w:cstheme="majorHAnsi"/>
          <w:sz w:val="24"/>
          <w:szCs w:val="24"/>
          <w:lang w:val="ro-MD"/>
        </w:rPr>
      </w:pPr>
      <w:r>
        <w:rPr>
          <w:rFonts w:asciiTheme="majorHAnsi" w:hAnsiTheme="majorHAnsi" w:cstheme="majorHAnsi"/>
          <w:sz w:val="24"/>
          <w:szCs w:val="24"/>
          <w:lang w:val="ro-MD"/>
        </w:rPr>
        <w:t xml:space="preserve">Potrivit prevederilor </w:t>
      </w:r>
      <w:r w:rsidR="00D33899" w:rsidRPr="00CB5F81">
        <w:rPr>
          <w:rFonts w:asciiTheme="majorHAnsi" w:eastAsia="Times New Roman" w:hAnsiTheme="majorHAnsi" w:cstheme="majorHAnsi"/>
          <w:sz w:val="24"/>
          <w:szCs w:val="24"/>
          <w:lang w:val="ro-MD"/>
        </w:rPr>
        <w:t>Codul</w:t>
      </w:r>
      <w:r>
        <w:rPr>
          <w:rFonts w:asciiTheme="majorHAnsi" w:eastAsia="Times New Roman" w:hAnsiTheme="majorHAnsi" w:cstheme="majorHAnsi"/>
          <w:sz w:val="24"/>
          <w:szCs w:val="24"/>
          <w:lang w:val="ro-MD"/>
        </w:rPr>
        <w:t>ui</w:t>
      </w:r>
      <w:r w:rsidR="00D33899" w:rsidRPr="00CB5F81">
        <w:rPr>
          <w:rFonts w:asciiTheme="majorHAnsi" w:eastAsia="Times New Roman" w:hAnsiTheme="majorHAnsi" w:cstheme="majorHAnsi"/>
          <w:sz w:val="24"/>
          <w:szCs w:val="24"/>
          <w:lang w:val="ro-MD"/>
        </w:rPr>
        <w:t xml:space="preserve"> f</w:t>
      </w:r>
      <w:r w:rsidR="00827D73" w:rsidRPr="00CB5F81">
        <w:rPr>
          <w:rFonts w:asciiTheme="majorHAnsi" w:eastAsia="Times New Roman" w:hAnsiTheme="majorHAnsi" w:cstheme="majorHAnsi"/>
          <w:sz w:val="24"/>
          <w:szCs w:val="24"/>
          <w:lang w:val="ro-MD"/>
        </w:rPr>
        <w:t>iscal</w:t>
      </w:r>
      <w:r w:rsidR="001A6761">
        <w:rPr>
          <w:rStyle w:val="FootnoteReference"/>
          <w:rFonts w:asciiTheme="majorHAnsi" w:eastAsia="Times New Roman" w:hAnsiTheme="majorHAnsi" w:cstheme="majorHAnsi"/>
          <w:sz w:val="24"/>
          <w:szCs w:val="24"/>
          <w:lang w:val="ro-MD"/>
        </w:rPr>
        <w:footnoteReference w:id="27"/>
      </w:r>
      <w:r w:rsidR="001A6761">
        <w:rPr>
          <w:rFonts w:asciiTheme="majorHAnsi" w:eastAsia="Times New Roman" w:hAnsiTheme="majorHAnsi" w:cstheme="majorHAnsi"/>
          <w:sz w:val="24"/>
          <w:szCs w:val="24"/>
          <w:lang w:val="ro-MD"/>
        </w:rPr>
        <w:t>,</w:t>
      </w:r>
      <w:r w:rsidR="00827D73" w:rsidRPr="00CB5F81">
        <w:rPr>
          <w:rFonts w:asciiTheme="majorHAnsi" w:eastAsia="Times New Roman" w:hAnsiTheme="majorHAnsi" w:cstheme="majorHAnsi"/>
          <w:sz w:val="24"/>
          <w:szCs w:val="24"/>
          <w:lang w:val="ro-MD"/>
        </w:rPr>
        <w:t xml:space="preserve"> este scutit de plata accizelor alcoolul etilic nedenaturat în limita volumului stabilit de ministerul de ramură, coordonat cu SFS, destinat utilizării în industria de parfumerie și cosmetică</w:t>
      </w:r>
      <w:r w:rsidR="00CC4357" w:rsidRPr="00CB5F81">
        <w:rPr>
          <w:rFonts w:asciiTheme="majorHAnsi" w:eastAsia="Times New Roman" w:hAnsiTheme="majorHAnsi" w:cstheme="majorHAnsi"/>
          <w:sz w:val="24"/>
          <w:szCs w:val="24"/>
          <w:lang w:val="ro-MD"/>
        </w:rPr>
        <w:t>.</w:t>
      </w:r>
      <w:r w:rsidR="00EC1EAF">
        <w:rPr>
          <w:rFonts w:asciiTheme="majorHAnsi" w:eastAsia="Times New Roman" w:hAnsiTheme="majorHAnsi" w:cstheme="majorHAnsi"/>
          <w:sz w:val="24"/>
          <w:szCs w:val="24"/>
          <w:lang w:val="ro-MD"/>
        </w:rPr>
        <w:t xml:space="preserve"> </w:t>
      </w:r>
      <w:r w:rsidR="00CC4357" w:rsidRPr="00CB5F81">
        <w:rPr>
          <w:rFonts w:asciiTheme="majorHAnsi" w:eastAsia="Times New Roman" w:hAnsiTheme="majorHAnsi" w:cstheme="majorHAnsi"/>
          <w:sz w:val="24"/>
          <w:szCs w:val="24"/>
          <w:lang w:val="ro-MD"/>
        </w:rPr>
        <w:t xml:space="preserve">Potrivit datelor </w:t>
      </w:r>
      <w:r w:rsidR="00CC4357" w:rsidRPr="00405A66">
        <w:rPr>
          <w:rFonts w:asciiTheme="majorHAnsi" w:eastAsia="Times New Roman" w:hAnsiTheme="majorHAnsi" w:cstheme="majorHAnsi"/>
          <w:color w:val="000000"/>
          <w:sz w:val="24"/>
          <w:szCs w:val="24"/>
          <w:lang w:val="ro-MD"/>
        </w:rPr>
        <w:t>Registrului facilităților fiscale</w:t>
      </w:r>
      <w:r w:rsidR="00EC1EAF">
        <w:rPr>
          <w:rFonts w:asciiTheme="majorHAnsi" w:eastAsia="Times New Roman" w:hAnsiTheme="majorHAnsi" w:cstheme="majorHAnsi"/>
          <w:color w:val="000000"/>
          <w:sz w:val="24"/>
          <w:szCs w:val="24"/>
          <w:lang w:val="ro-MD"/>
        </w:rPr>
        <w:t xml:space="preserve"> </w:t>
      </w:r>
      <w:r w:rsidR="00CC4357" w:rsidRPr="00CB5F81">
        <w:rPr>
          <w:rFonts w:asciiTheme="majorHAnsi" w:eastAsia="Times New Roman" w:hAnsiTheme="majorHAnsi" w:cstheme="majorHAnsi"/>
          <w:color w:val="000000"/>
          <w:sz w:val="24"/>
          <w:szCs w:val="24"/>
          <w:lang w:val="ro-MD"/>
        </w:rPr>
        <w:t>(</w:t>
      </w:r>
      <w:r w:rsidR="000F72BF">
        <w:rPr>
          <w:rFonts w:asciiTheme="majorHAnsi" w:eastAsia="Times New Roman" w:hAnsiTheme="majorHAnsi" w:cstheme="majorHAnsi"/>
          <w:color w:val="000000"/>
          <w:sz w:val="24"/>
          <w:szCs w:val="24"/>
          <w:lang w:val="ro-MD"/>
        </w:rPr>
        <w:t>C</w:t>
      </w:r>
      <w:r w:rsidR="00CC4357" w:rsidRPr="00CB5F81">
        <w:rPr>
          <w:rFonts w:asciiTheme="majorHAnsi" w:eastAsia="Times New Roman" w:hAnsiTheme="majorHAnsi" w:cstheme="majorHAnsi"/>
          <w:color w:val="000000"/>
          <w:sz w:val="24"/>
          <w:szCs w:val="24"/>
          <w:lang w:val="ro-MD"/>
        </w:rPr>
        <w:t>odul facilității</w:t>
      </w:r>
      <w:r w:rsidR="000F72BF">
        <w:rPr>
          <w:rFonts w:asciiTheme="majorHAnsi" w:eastAsia="Times New Roman" w:hAnsiTheme="majorHAnsi" w:cstheme="majorHAnsi"/>
          <w:color w:val="000000"/>
          <w:sz w:val="24"/>
          <w:szCs w:val="24"/>
          <w:lang w:val="ro-MD"/>
        </w:rPr>
        <w:t xml:space="preserve"> </w:t>
      </w:r>
      <w:r w:rsidR="00CC4357" w:rsidRPr="00CB5F81">
        <w:rPr>
          <w:rFonts w:asciiTheme="majorHAnsi" w:eastAsia="Times New Roman" w:hAnsiTheme="majorHAnsi" w:cstheme="majorHAnsi"/>
          <w:color w:val="000000"/>
          <w:sz w:val="24"/>
          <w:szCs w:val="24"/>
          <w:lang w:val="ro-MD"/>
        </w:rPr>
        <w:t>-</w:t>
      </w:r>
      <w:r w:rsidR="00CC4357" w:rsidRPr="00CB5F81">
        <w:rPr>
          <w:rFonts w:asciiTheme="majorHAnsi" w:eastAsia="Times New Roman" w:hAnsiTheme="majorHAnsi" w:cstheme="majorHAnsi"/>
          <w:bCs/>
          <w:color w:val="000000"/>
          <w:sz w:val="24"/>
          <w:szCs w:val="24"/>
          <w:lang w:val="ro-MD"/>
        </w:rPr>
        <w:t xml:space="preserve"> CFAC 020),</w:t>
      </w:r>
      <w:r w:rsidR="00EC1EAF">
        <w:rPr>
          <w:rFonts w:asciiTheme="majorHAnsi" w:eastAsia="Times New Roman" w:hAnsiTheme="majorHAnsi" w:cstheme="majorHAnsi"/>
          <w:bCs/>
          <w:color w:val="000000"/>
          <w:sz w:val="24"/>
          <w:szCs w:val="24"/>
          <w:lang w:val="ro-MD"/>
        </w:rPr>
        <w:t xml:space="preserve"> </w:t>
      </w:r>
      <w:r w:rsidR="00CC4357" w:rsidRPr="00CB5F81">
        <w:rPr>
          <w:rFonts w:asciiTheme="majorHAnsi" w:eastAsia="Times New Roman" w:hAnsiTheme="majorHAnsi" w:cstheme="majorHAnsi"/>
          <w:bCs/>
          <w:color w:val="000000"/>
          <w:sz w:val="24"/>
          <w:szCs w:val="24"/>
          <w:lang w:val="ro-MD"/>
        </w:rPr>
        <w:t>în anul 2020, SFS</w:t>
      </w:r>
      <w:r w:rsidR="003C459C" w:rsidRPr="00CB5F81">
        <w:rPr>
          <w:rFonts w:asciiTheme="majorHAnsi" w:eastAsia="Times New Roman" w:hAnsiTheme="majorHAnsi" w:cstheme="majorHAnsi"/>
          <w:bCs/>
          <w:color w:val="000000"/>
          <w:sz w:val="24"/>
          <w:szCs w:val="24"/>
          <w:lang w:val="ro-MD"/>
        </w:rPr>
        <w:t xml:space="preserve"> a rapor</w:t>
      </w:r>
      <w:r w:rsidR="00CC4357" w:rsidRPr="00CB5F81">
        <w:rPr>
          <w:rFonts w:asciiTheme="majorHAnsi" w:eastAsia="Times New Roman" w:hAnsiTheme="majorHAnsi" w:cstheme="majorHAnsi"/>
          <w:bCs/>
          <w:color w:val="000000"/>
          <w:sz w:val="24"/>
          <w:szCs w:val="24"/>
          <w:lang w:val="ro-MD"/>
        </w:rPr>
        <w:t xml:space="preserve">tat suma facilității </w:t>
      </w:r>
      <w:r w:rsidR="000F72BF">
        <w:rPr>
          <w:rFonts w:asciiTheme="majorHAnsi" w:eastAsia="Times New Roman" w:hAnsiTheme="majorHAnsi" w:cstheme="majorHAnsi"/>
          <w:bCs/>
          <w:color w:val="000000"/>
          <w:sz w:val="24"/>
          <w:szCs w:val="24"/>
          <w:lang w:val="ro-MD"/>
        </w:rPr>
        <w:t>de</w:t>
      </w:r>
      <w:r w:rsidR="00CC4357" w:rsidRPr="00CB5F81">
        <w:rPr>
          <w:rFonts w:asciiTheme="majorHAnsi" w:eastAsia="Times New Roman" w:hAnsiTheme="majorHAnsi" w:cstheme="majorHAnsi"/>
          <w:bCs/>
          <w:color w:val="000000"/>
          <w:sz w:val="24"/>
          <w:szCs w:val="24"/>
          <w:lang w:val="ro-MD"/>
        </w:rPr>
        <w:t xml:space="preserve"> </w:t>
      </w:r>
      <w:r w:rsidR="00CC4357" w:rsidRPr="00CB5F81">
        <w:rPr>
          <w:rFonts w:asciiTheme="majorHAnsi" w:eastAsia="Times New Roman" w:hAnsiTheme="majorHAnsi" w:cstheme="majorHAnsi"/>
          <w:sz w:val="24"/>
          <w:szCs w:val="24"/>
          <w:lang w:val="ro-MD"/>
        </w:rPr>
        <w:t xml:space="preserve">200,9 </w:t>
      </w:r>
      <w:r w:rsidR="00726434" w:rsidRPr="00CB5F81">
        <w:rPr>
          <w:rFonts w:asciiTheme="majorHAnsi" w:eastAsia="Times New Roman" w:hAnsiTheme="majorHAnsi" w:cstheme="majorHAnsi"/>
          <w:sz w:val="24"/>
          <w:szCs w:val="24"/>
          <w:lang w:val="ro-MD"/>
        </w:rPr>
        <w:t>mil.</w:t>
      </w:r>
      <w:r w:rsidR="00CC4357" w:rsidRPr="00CB5F81">
        <w:rPr>
          <w:rFonts w:asciiTheme="majorHAnsi" w:eastAsia="Times New Roman" w:hAnsiTheme="majorHAnsi" w:cstheme="majorHAnsi"/>
          <w:sz w:val="24"/>
          <w:szCs w:val="24"/>
          <w:lang w:val="ro-MD"/>
        </w:rPr>
        <w:t>lei. Similar cazurilor enunțate mai sus</w:t>
      </w:r>
      <w:r w:rsidR="00844C4C" w:rsidRPr="00CB5F81">
        <w:rPr>
          <w:rFonts w:asciiTheme="majorHAnsi" w:eastAsia="Times New Roman" w:hAnsiTheme="majorHAnsi" w:cstheme="majorHAnsi"/>
          <w:sz w:val="24"/>
          <w:szCs w:val="24"/>
          <w:lang w:val="ro-MD"/>
        </w:rPr>
        <w:t>,</w:t>
      </w:r>
      <w:r w:rsidR="00CC4357" w:rsidRPr="00CB5F81">
        <w:rPr>
          <w:rFonts w:asciiTheme="majorHAnsi" w:eastAsia="Times New Roman" w:hAnsiTheme="majorHAnsi" w:cstheme="majorHAnsi"/>
          <w:sz w:val="24"/>
          <w:szCs w:val="24"/>
          <w:lang w:val="ro-MD"/>
        </w:rPr>
        <w:t xml:space="preserve"> nu există norme metodologice/instrucțiuni care ar prevedea modul de agregare și raportare a datelor, SFS </w:t>
      </w:r>
      <w:r w:rsidR="00844C4C" w:rsidRPr="00CB5F81">
        <w:rPr>
          <w:rFonts w:asciiTheme="majorHAnsi" w:eastAsia="Times New Roman" w:hAnsiTheme="majorHAnsi" w:cstheme="majorHAnsi"/>
          <w:sz w:val="24"/>
          <w:szCs w:val="24"/>
          <w:lang w:val="ro-MD"/>
        </w:rPr>
        <w:t xml:space="preserve">relatând </w:t>
      </w:r>
      <w:r w:rsidR="00CC4357" w:rsidRPr="00CB5F81">
        <w:rPr>
          <w:rFonts w:asciiTheme="majorHAnsi" w:eastAsia="Times New Roman" w:hAnsiTheme="majorHAnsi" w:cstheme="majorHAnsi"/>
          <w:sz w:val="24"/>
          <w:szCs w:val="24"/>
          <w:lang w:val="ro-MD"/>
        </w:rPr>
        <w:t>că suma facilității</w:t>
      </w:r>
      <w:r w:rsidR="00EC1EAF">
        <w:rPr>
          <w:rFonts w:asciiTheme="majorHAnsi" w:eastAsia="Times New Roman" w:hAnsiTheme="majorHAnsi" w:cstheme="majorHAnsi"/>
          <w:sz w:val="24"/>
          <w:szCs w:val="24"/>
          <w:lang w:val="ro-MD"/>
        </w:rPr>
        <w:t xml:space="preserve"> </w:t>
      </w:r>
      <w:r w:rsidR="00844C4C" w:rsidRPr="00CB5F81">
        <w:rPr>
          <w:rFonts w:asciiTheme="majorHAnsi" w:eastAsia="Times New Roman" w:hAnsiTheme="majorHAnsi" w:cstheme="majorHAnsi"/>
          <w:sz w:val="24"/>
          <w:szCs w:val="24"/>
          <w:lang w:val="ro-MD"/>
        </w:rPr>
        <w:t>este</w:t>
      </w:r>
      <w:r w:rsidR="00EC1EAF">
        <w:rPr>
          <w:rFonts w:asciiTheme="majorHAnsi" w:eastAsia="Times New Roman" w:hAnsiTheme="majorHAnsi" w:cstheme="majorHAnsi"/>
          <w:sz w:val="24"/>
          <w:szCs w:val="24"/>
          <w:lang w:val="ro-MD"/>
        </w:rPr>
        <w:t xml:space="preserve"> </w:t>
      </w:r>
      <w:r w:rsidR="00F15FFB" w:rsidRPr="00CB5F81">
        <w:rPr>
          <w:rFonts w:asciiTheme="majorHAnsi" w:eastAsia="Times New Roman" w:hAnsiTheme="majorHAnsi" w:cstheme="majorHAnsi"/>
          <w:sz w:val="24"/>
          <w:szCs w:val="24"/>
          <w:lang w:val="ro-MD"/>
        </w:rPr>
        <w:t>indicată</w:t>
      </w:r>
      <w:r w:rsidR="00CC4357" w:rsidRPr="00CB5F81">
        <w:rPr>
          <w:rFonts w:asciiTheme="majorHAnsi" w:eastAsia="Times New Roman" w:hAnsiTheme="majorHAnsi" w:cstheme="majorHAnsi"/>
          <w:sz w:val="24"/>
          <w:szCs w:val="24"/>
          <w:lang w:val="ro-MD"/>
        </w:rPr>
        <w:t xml:space="preserve"> în </w:t>
      </w:r>
      <w:r w:rsidR="00CC4357" w:rsidRPr="00CB5F81">
        <w:rPr>
          <w:rFonts w:asciiTheme="majorHAnsi" w:eastAsia="Times New Roman" w:hAnsiTheme="majorHAnsi" w:cstheme="majorHAnsi"/>
          <w:color w:val="000000"/>
          <w:sz w:val="24"/>
          <w:szCs w:val="24"/>
          <w:lang w:val="ro-MD"/>
        </w:rPr>
        <w:t>Registru</w:t>
      </w:r>
      <w:r w:rsidR="000F72BF">
        <w:rPr>
          <w:rFonts w:asciiTheme="majorHAnsi" w:eastAsia="Times New Roman" w:hAnsiTheme="majorHAnsi" w:cstheme="majorHAnsi"/>
          <w:color w:val="000000"/>
          <w:sz w:val="24"/>
          <w:szCs w:val="24"/>
          <w:lang w:val="ro-MD"/>
        </w:rPr>
        <w:t>,</w:t>
      </w:r>
      <w:r w:rsidR="00CC4357" w:rsidRPr="00CB5F81">
        <w:rPr>
          <w:rFonts w:asciiTheme="majorHAnsi" w:eastAsia="Times New Roman" w:hAnsiTheme="majorHAnsi" w:cstheme="majorHAnsi"/>
          <w:color w:val="000000"/>
          <w:sz w:val="24"/>
          <w:szCs w:val="24"/>
          <w:lang w:val="ro-MD"/>
        </w:rPr>
        <w:t xml:space="preserve"> </w:t>
      </w:r>
      <w:r w:rsidR="00CC4357" w:rsidRPr="00CB5F81">
        <w:rPr>
          <w:rFonts w:asciiTheme="majorHAnsi" w:eastAsia="Times New Roman" w:hAnsiTheme="majorHAnsi" w:cstheme="majorHAnsi"/>
          <w:sz w:val="24"/>
          <w:szCs w:val="24"/>
          <w:lang w:val="ro-MD"/>
        </w:rPr>
        <w:t>în baza scrisorilor MAIA</w:t>
      </w:r>
      <w:r w:rsidR="00844C4C" w:rsidRPr="00CB5F81">
        <w:rPr>
          <w:rFonts w:asciiTheme="majorHAnsi" w:eastAsia="Times New Roman" w:hAnsiTheme="majorHAnsi" w:cstheme="majorHAnsi"/>
          <w:sz w:val="24"/>
          <w:szCs w:val="24"/>
          <w:lang w:val="ro-MD"/>
        </w:rPr>
        <w:t xml:space="preserve"> adresate SFS</w:t>
      </w:r>
      <w:r w:rsidR="00CC4357" w:rsidRPr="00CB5F81">
        <w:rPr>
          <w:rFonts w:asciiTheme="majorHAnsi" w:eastAsia="Times New Roman" w:hAnsiTheme="majorHAnsi" w:cstheme="majorHAnsi"/>
          <w:sz w:val="24"/>
          <w:szCs w:val="24"/>
          <w:lang w:val="ro-MD"/>
        </w:rPr>
        <w:t>.</w:t>
      </w:r>
      <w:r w:rsidR="00EC1EAF">
        <w:rPr>
          <w:rFonts w:asciiTheme="majorHAnsi" w:eastAsia="Times New Roman" w:hAnsiTheme="majorHAnsi" w:cstheme="majorHAnsi"/>
          <w:sz w:val="24"/>
          <w:szCs w:val="24"/>
          <w:lang w:val="ro-MD"/>
        </w:rPr>
        <w:t xml:space="preserve"> </w:t>
      </w:r>
      <w:r w:rsidR="00F15FFB" w:rsidRPr="00CB5F81">
        <w:rPr>
          <w:rFonts w:asciiTheme="majorHAnsi" w:eastAsia="Times New Roman" w:hAnsiTheme="majorHAnsi" w:cstheme="majorHAnsi"/>
          <w:sz w:val="24"/>
          <w:szCs w:val="24"/>
          <w:lang w:val="ro-MD"/>
        </w:rPr>
        <w:t xml:space="preserve">Verificările </w:t>
      </w:r>
      <w:r w:rsidR="000F72BF">
        <w:rPr>
          <w:rFonts w:asciiTheme="majorHAnsi" w:eastAsia="Times New Roman" w:hAnsiTheme="majorHAnsi" w:cstheme="majorHAnsi"/>
          <w:sz w:val="24"/>
          <w:szCs w:val="24"/>
          <w:lang w:val="ro-MD"/>
        </w:rPr>
        <w:t xml:space="preserve">efectuate </w:t>
      </w:r>
      <w:r w:rsidR="00F15FFB" w:rsidRPr="00CB5F81">
        <w:rPr>
          <w:rFonts w:asciiTheme="majorHAnsi" w:eastAsia="Times New Roman" w:hAnsiTheme="majorHAnsi" w:cstheme="majorHAnsi"/>
          <w:sz w:val="24"/>
          <w:szCs w:val="24"/>
          <w:lang w:val="ro-MD"/>
        </w:rPr>
        <w:t>de audit</w:t>
      </w:r>
      <w:r w:rsidR="00035E67" w:rsidRPr="00CB5F81">
        <w:rPr>
          <w:rFonts w:asciiTheme="majorHAnsi" w:eastAsia="Times New Roman" w:hAnsiTheme="majorHAnsi" w:cstheme="majorHAnsi"/>
          <w:sz w:val="24"/>
          <w:szCs w:val="24"/>
          <w:lang w:val="ro-MD"/>
        </w:rPr>
        <w:t xml:space="preserve"> atestă că MAIA a acordat scutiri în valoare de</w:t>
      </w:r>
      <w:r w:rsidR="00EC1EAF">
        <w:rPr>
          <w:rFonts w:asciiTheme="majorHAnsi" w:eastAsia="Times New Roman" w:hAnsiTheme="majorHAnsi" w:cstheme="majorHAnsi"/>
          <w:sz w:val="24"/>
          <w:szCs w:val="24"/>
          <w:lang w:val="ro-MD"/>
        </w:rPr>
        <w:t xml:space="preserve"> </w:t>
      </w:r>
      <w:r w:rsidR="00035E67" w:rsidRPr="00CB5F81">
        <w:rPr>
          <w:rFonts w:asciiTheme="majorHAnsi" w:eastAsia="Times New Roman" w:hAnsiTheme="majorHAnsi" w:cstheme="majorHAnsi"/>
          <w:sz w:val="24"/>
          <w:szCs w:val="24"/>
          <w:lang w:val="ro-MD"/>
        </w:rPr>
        <w:t>666,</w:t>
      </w:r>
      <w:r w:rsidR="00E90A1B" w:rsidRPr="00CB5F81">
        <w:rPr>
          <w:rFonts w:asciiTheme="majorHAnsi" w:eastAsia="Times New Roman" w:hAnsiTheme="majorHAnsi" w:cstheme="majorHAnsi"/>
          <w:sz w:val="24"/>
          <w:szCs w:val="24"/>
          <w:lang w:val="ro-MD"/>
        </w:rPr>
        <w:t>6 mil. lei, sau cu 465,7</w:t>
      </w:r>
      <w:r w:rsidR="003C459C" w:rsidRPr="00CB5F81">
        <w:rPr>
          <w:rFonts w:asciiTheme="majorHAnsi" w:eastAsia="Times New Roman" w:hAnsiTheme="majorHAnsi" w:cstheme="majorHAnsi"/>
          <w:sz w:val="24"/>
          <w:szCs w:val="24"/>
          <w:lang w:val="ro-MD"/>
        </w:rPr>
        <w:t xml:space="preserve"> mil. lei mai mult decât a raportat SFS, </w:t>
      </w:r>
      <w:r w:rsidR="004C4C80" w:rsidRPr="003B791A">
        <w:rPr>
          <w:rFonts w:asciiTheme="majorHAnsi" w:eastAsia="Times New Roman" w:hAnsiTheme="majorHAnsi" w:cstheme="majorHAnsi"/>
          <w:sz w:val="24"/>
          <w:szCs w:val="24"/>
          <w:lang w:val="ro-MD"/>
        </w:rPr>
        <w:t>din următoarele motive</w:t>
      </w:r>
      <w:r w:rsidR="003C459C" w:rsidRPr="00CB5F81">
        <w:rPr>
          <w:rFonts w:asciiTheme="majorHAnsi" w:eastAsia="Times New Roman" w:hAnsiTheme="majorHAnsi" w:cstheme="majorHAnsi"/>
          <w:sz w:val="24"/>
          <w:szCs w:val="24"/>
          <w:lang w:val="ro-MD"/>
        </w:rPr>
        <w:t xml:space="preserve">: </w:t>
      </w:r>
    </w:p>
    <w:p w:rsidR="001B455F" w:rsidRPr="00CB5F81" w:rsidRDefault="00B927A3" w:rsidP="00D04386">
      <w:pPr>
        <w:pStyle w:val="ListParagraph"/>
        <w:numPr>
          <w:ilvl w:val="0"/>
          <w:numId w:val="15"/>
        </w:numPr>
        <w:tabs>
          <w:tab w:val="left" w:pos="360"/>
        </w:tabs>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n</w:t>
      </w:r>
      <w:r w:rsidR="003C459C" w:rsidRPr="00CB5F81">
        <w:rPr>
          <w:rFonts w:asciiTheme="majorHAnsi" w:eastAsia="Times New Roman" w:hAnsiTheme="majorHAnsi" w:cstheme="majorHAnsi"/>
          <w:sz w:val="24"/>
          <w:szCs w:val="24"/>
          <w:lang w:val="ro-MD"/>
        </w:rPr>
        <w:t>erecepționarea de către SFS a unei scrisori remise de MAIA privind coordonarea acordării scutirii de acciz</w:t>
      </w:r>
      <w:r w:rsidR="00563D2B" w:rsidRPr="00CB5F81">
        <w:rPr>
          <w:rFonts w:asciiTheme="majorHAnsi" w:eastAsia="Times New Roman" w:hAnsiTheme="majorHAnsi" w:cstheme="majorHAnsi"/>
          <w:sz w:val="24"/>
          <w:szCs w:val="24"/>
          <w:lang w:val="ro-MD"/>
        </w:rPr>
        <w:t>e</w:t>
      </w:r>
      <w:r w:rsidR="003C459C" w:rsidRPr="00CB5F81">
        <w:rPr>
          <w:rFonts w:asciiTheme="majorHAnsi" w:eastAsia="Times New Roman" w:hAnsiTheme="majorHAnsi" w:cstheme="majorHAnsi"/>
          <w:sz w:val="24"/>
          <w:szCs w:val="24"/>
          <w:lang w:val="ro-MD"/>
        </w:rPr>
        <w:t xml:space="preserve"> în valoare de </w:t>
      </w:r>
      <w:r w:rsidR="001B455F" w:rsidRPr="00CB5F81">
        <w:rPr>
          <w:rFonts w:asciiTheme="majorHAnsi" w:eastAsia="Times New Roman" w:hAnsiTheme="majorHAnsi" w:cstheme="majorHAnsi"/>
          <w:sz w:val="24"/>
          <w:szCs w:val="24"/>
          <w:lang w:val="ro-MD"/>
        </w:rPr>
        <w:t xml:space="preserve">466,1 </w:t>
      </w:r>
      <w:r w:rsidR="00726434" w:rsidRPr="00CB5F81">
        <w:rPr>
          <w:rFonts w:asciiTheme="majorHAnsi" w:eastAsia="Times New Roman" w:hAnsiTheme="majorHAnsi" w:cstheme="majorHAnsi"/>
          <w:sz w:val="24"/>
          <w:szCs w:val="24"/>
          <w:lang w:val="ro-MD"/>
        </w:rPr>
        <w:t>mil.</w:t>
      </w:r>
      <w:r w:rsidR="001B455F" w:rsidRPr="00CB5F81">
        <w:rPr>
          <w:rFonts w:asciiTheme="majorHAnsi" w:eastAsia="Times New Roman" w:hAnsiTheme="majorHAnsi" w:cstheme="majorHAnsi"/>
          <w:sz w:val="24"/>
          <w:szCs w:val="24"/>
          <w:lang w:val="ro-MD"/>
        </w:rPr>
        <w:t>lei;</w:t>
      </w:r>
    </w:p>
    <w:p w:rsidR="001B455F" w:rsidRPr="00CB5F81" w:rsidRDefault="00B927A3" w:rsidP="00D04386">
      <w:pPr>
        <w:pStyle w:val="ListParagraph"/>
        <w:numPr>
          <w:ilvl w:val="0"/>
          <w:numId w:val="15"/>
        </w:numPr>
        <w:tabs>
          <w:tab w:val="left" w:pos="360"/>
        </w:tabs>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e</w:t>
      </w:r>
      <w:r w:rsidR="001B455F" w:rsidRPr="00CB5F81">
        <w:rPr>
          <w:rFonts w:asciiTheme="majorHAnsi" w:eastAsia="Times New Roman" w:hAnsiTheme="majorHAnsi" w:cstheme="majorHAnsi"/>
          <w:sz w:val="24"/>
          <w:szCs w:val="24"/>
          <w:lang w:val="ro-MD"/>
        </w:rPr>
        <w:t xml:space="preserve">rori în generalizarea datelor de </w:t>
      </w:r>
      <w:r>
        <w:rPr>
          <w:rFonts w:asciiTheme="majorHAnsi" w:eastAsia="Times New Roman" w:hAnsiTheme="majorHAnsi" w:cstheme="majorHAnsi"/>
          <w:sz w:val="24"/>
          <w:szCs w:val="24"/>
          <w:lang w:val="ro-MD"/>
        </w:rPr>
        <w:t xml:space="preserve">către </w:t>
      </w:r>
      <w:r w:rsidR="001B455F" w:rsidRPr="00CB5F81">
        <w:rPr>
          <w:rFonts w:asciiTheme="majorHAnsi" w:eastAsia="Times New Roman" w:hAnsiTheme="majorHAnsi" w:cstheme="majorHAnsi"/>
          <w:sz w:val="24"/>
          <w:szCs w:val="24"/>
          <w:lang w:val="ro-MD"/>
        </w:rPr>
        <w:t>SFS</w:t>
      </w:r>
      <w:r w:rsidR="00563D2B" w:rsidRPr="00CB5F81">
        <w:rPr>
          <w:rFonts w:asciiTheme="majorHAnsi" w:eastAsia="Times New Roman" w:hAnsiTheme="majorHAnsi" w:cstheme="majorHAnsi"/>
          <w:sz w:val="24"/>
          <w:szCs w:val="24"/>
          <w:lang w:val="ro-MD"/>
        </w:rPr>
        <w:t>,</w:t>
      </w:r>
      <w:r w:rsidR="001B455F" w:rsidRPr="00CB5F81">
        <w:rPr>
          <w:rFonts w:asciiTheme="majorHAnsi" w:eastAsia="Times New Roman" w:hAnsiTheme="majorHAnsi" w:cstheme="majorHAnsi"/>
          <w:sz w:val="24"/>
          <w:szCs w:val="24"/>
          <w:lang w:val="ro-MD"/>
        </w:rPr>
        <w:t xml:space="preserve"> urmare omiterii includerii unei scrisori a MAIA în valo</w:t>
      </w:r>
      <w:r w:rsidR="002C1256" w:rsidRPr="00CB5F81">
        <w:rPr>
          <w:rFonts w:asciiTheme="majorHAnsi" w:eastAsia="Times New Roman" w:hAnsiTheme="majorHAnsi" w:cstheme="majorHAnsi"/>
          <w:sz w:val="24"/>
          <w:szCs w:val="24"/>
          <w:lang w:val="ro-MD"/>
        </w:rPr>
        <w:t xml:space="preserve">are de 12,4 </w:t>
      </w:r>
      <w:r w:rsidR="00726434" w:rsidRPr="00CB5F81">
        <w:rPr>
          <w:rFonts w:asciiTheme="majorHAnsi" w:eastAsia="Times New Roman" w:hAnsiTheme="majorHAnsi" w:cstheme="majorHAnsi"/>
          <w:sz w:val="24"/>
          <w:szCs w:val="24"/>
          <w:lang w:val="ro-MD"/>
        </w:rPr>
        <w:t>mil.</w:t>
      </w:r>
      <w:r w:rsidR="002C1256" w:rsidRPr="00CB5F81">
        <w:rPr>
          <w:rFonts w:asciiTheme="majorHAnsi" w:eastAsia="Times New Roman" w:hAnsiTheme="majorHAnsi" w:cstheme="majorHAnsi"/>
          <w:sz w:val="24"/>
          <w:szCs w:val="24"/>
          <w:lang w:val="ro-MD"/>
        </w:rPr>
        <w:t xml:space="preserve">lei. Neregulile </w:t>
      </w:r>
      <w:r>
        <w:rPr>
          <w:rFonts w:asciiTheme="majorHAnsi" w:eastAsia="Times New Roman" w:hAnsiTheme="majorHAnsi" w:cstheme="majorHAnsi"/>
          <w:sz w:val="24"/>
          <w:szCs w:val="24"/>
          <w:lang w:val="ro-MD"/>
        </w:rPr>
        <w:t>expuse în</w:t>
      </w:r>
      <w:r w:rsidR="002C1256" w:rsidRPr="00CB5F81">
        <w:rPr>
          <w:rFonts w:asciiTheme="majorHAnsi" w:eastAsia="Times New Roman" w:hAnsiTheme="majorHAnsi" w:cstheme="majorHAnsi"/>
          <w:sz w:val="24"/>
          <w:szCs w:val="24"/>
          <w:lang w:val="ro-MD"/>
        </w:rPr>
        <w:t xml:space="preserve"> </w:t>
      </w:r>
      <w:r w:rsidR="001B455F" w:rsidRPr="00CB5F81">
        <w:rPr>
          <w:rFonts w:asciiTheme="majorHAnsi" w:eastAsia="Times New Roman" w:hAnsiTheme="majorHAnsi" w:cstheme="majorHAnsi"/>
          <w:sz w:val="24"/>
          <w:szCs w:val="24"/>
          <w:lang w:val="ro-MD"/>
        </w:rPr>
        <w:t>pct.</w:t>
      </w:r>
      <w:r w:rsidR="00FD6E4A">
        <w:rPr>
          <w:rFonts w:asciiTheme="majorHAnsi" w:eastAsia="Times New Roman" w:hAnsiTheme="majorHAnsi" w:cstheme="majorHAnsi"/>
          <w:sz w:val="24"/>
          <w:szCs w:val="24"/>
          <w:lang w:val="ro-MD"/>
        </w:rPr>
        <w:t xml:space="preserve"> </w:t>
      </w:r>
      <w:r w:rsidR="001B455F" w:rsidRPr="00CB5F81">
        <w:rPr>
          <w:rFonts w:asciiTheme="majorHAnsi" w:eastAsia="Times New Roman" w:hAnsiTheme="majorHAnsi" w:cstheme="majorHAnsi"/>
          <w:sz w:val="24"/>
          <w:szCs w:val="24"/>
          <w:lang w:val="ro-MD"/>
        </w:rPr>
        <w:t>a) și pct.</w:t>
      </w:r>
      <w:r w:rsidR="00FD6E4A">
        <w:rPr>
          <w:rFonts w:asciiTheme="majorHAnsi" w:eastAsia="Times New Roman" w:hAnsiTheme="majorHAnsi" w:cstheme="majorHAnsi"/>
          <w:sz w:val="24"/>
          <w:szCs w:val="24"/>
          <w:lang w:val="ro-MD"/>
        </w:rPr>
        <w:t xml:space="preserve"> </w:t>
      </w:r>
      <w:r w:rsidR="001B455F" w:rsidRPr="00CB5F81">
        <w:rPr>
          <w:rFonts w:asciiTheme="majorHAnsi" w:eastAsia="Times New Roman" w:hAnsiTheme="majorHAnsi" w:cstheme="majorHAnsi"/>
          <w:sz w:val="24"/>
          <w:szCs w:val="24"/>
          <w:lang w:val="ro-MD"/>
        </w:rPr>
        <w:t xml:space="preserve">b) au fost </w:t>
      </w:r>
      <w:r w:rsidRPr="00CB5F81">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redate </w:t>
      </w:r>
      <w:r w:rsidR="001B455F" w:rsidRPr="00CB5F81">
        <w:rPr>
          <w:rFonts w:asciiTheme="majorHAnsi" w:eastAsia="Times New Roman" w:hAnsiTheme="majorHAnsi" w:cstheme="majorHAnsi"/>
          <w:sz w:val="24"/>
          <w:szCs w:val="24"/>
          <w:lang w:val="ro-MD"/>
        </w:rPr>
        <w:t>detaliat în Obiectivul nr.</w:t>
      </w:r>
      <w:r w:rsidR="00FD6E4A">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2</w:t>
      </w:r>
      <w:r w:rsidR="001B455F" w:rsidRPr="00CB5F81">
        <w:rPr>
          <w:rFonts w:asciiTheme="majorHAnsi" w:eastAsia="Times New Roman" w:hAnsiTheme="majorHAnsi" w:cstheme="majorHAnsi"/>
          <w:sz w:val="24"/>
          <w:szCs w:val="24"/>
          <w:lang w:val="ro-MD"/>
        </w:rPr>
        <w:t>, pct.4.2.3</w:t>
      </w:r>
      <w:r>
        <w:rPr>
          <w:rFonts w:asciiTheme="majorHAnsi" w:eastAsia="Times New Roman" w:hAnsiTheme="majorHAnsi" w:cstheme="majorHAnsi"/>
          <w:sz w:val="24"/>
          <w:szCs w:val="24"/>
          <w:lang w:val="ro-MD"/>
        </w:rPr>
        <w:t>.</w:t>
      </w:r>
      <w:r w:rsidR="001B455F" w:rsidRPr="00CB5F81">
        <w:rPr>
          <w:rFonts w:asciiTheme="majorHAnsi" w:eastAsia="Times New Roman" w:hAnsiTheme="majorHAnsi" w:cstheme="majorHAnsi"/>
          <w:sz w:val="24"/>
          <w:szCs w:val="24"/>
          <w:lang w:val="ro-MD"/>
        </w:rPr>
        <w:t xml:space="preserve"> </w:t>
      </w:r>
      <w:r w:rsidR="00563D2B" w:rsidRPr="00CB5F81">
        <w:rPr>
          <w:rFonts w:asciiTheme="majorHAnsi" w:eastAsia="Times New Roman" w:hAnsiTheme="majorHAnsi" w:cstheme="majorHAnsi"/>
          <w:sz w:val="24"/>
          <w:szCs w:val="24"/>
          <w:lang w:val="ro-MD"/>
        </w:rPr>
        <w:t>din</w:t>
      </w:r>
      <w:r w:rsidR="00EC1EAF">
        <w:rPr>
          <w:rFonts w:asciiTheme="majorHAnsi" w:eastAsia="Times New Roman" w:hAnsiTheme="majorHAnsi" w:cstheme="majorHAnsi"/>
          <w:sz w:val="24"/>
          <w:szCs w:val="24"/>
          <w:lang w:val="ro-MD"/>
        </w:rPr>
        <w:t xml:space="preserve"> </w:t>
      </w:r>
      <w:r w:rsidR="00563D2B" w:rsidRPr="00CB5F81">
        <w:rPr>
          <w:rFonts w:asciiTheme="majorHAnsi" w:eastAsia="Times New Roman" w:hAnsiTheme="majorHAnsi" w:cstheme="majorHAnsi"/>
          <w:sz w:val="24"/>
          <w:szCs w:val="24"/>
          <w:lang w:val="ro-MD"/>
        </w:rPr>
        <w:t>prezentul Raport de audit</w:t>
      </w:r>
      <w:r w:rsidR="00423B96" w:rsidRPr="00CB5F81">
        <w:rPr>
          <w:rFonts w:asciiTheme="majorHAnsi" w:eastAsia="Times New Roman" w:hAnsiTheme="majorHAnsi" w:cstheme="majorHAnsi"/>
          <w:sz w:val="24"/>
          <w:szCs w:val="24"/>
          <w:lang w:val="ro-MD"/>
        </w:rPr>
        <w:t>;</w:t>
      </w:r>
    </w:p>
    <w:p w:rsidR="003C459C" w:rsidRPr="00CB5F81" w:rsidRDefault="00B927A3" w:rsidP="00D04386">
      <w:pPr>
        <w:pStyle w:val="ListParagraph"/>
        <w:numPr>
          <w:ilvl w:val="0"/>
          <w:numId w:val="15"/>
        </w:numPr>
        <w:tabs>
          <w:tab w:val="left" w:pos="360"/>
        </w:tabs>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w:t>
      </w:r>
      <w:r w:rsidR="001B455F" w:rsidRPr="00CB5F81">
        <w:rPr>
          <w:rFonts w:asciiTheme="majorHAnsi" w:eastAsia="Times New Roman" w:hAnsiTheme="majorHAnsi" w:cstheme="majorHAnsi"/>
          <w:sz w:val="24"/>
          <w:szCs w:val="24"/>
          <w:lang w:val="ro-MD"/>
        </w:rPr>
        <w:t>dmiterea erorii la indicarea</w:t>
      </w:r>
      <w:r w:rsidR="00EC1EAF">
        <w:rPr>
          <w:rFonts w:asciiTheme="majorHAnsi" w:eastAsia="Times New Roman" w:hAnsiTheme="majorHAnsi" w:cstheme="majorHAnsi"/>
          <w:sz w:val="24"/>
          <w:szCs w:val="24"/>
          <w:lang w:val="ro-MD"/>
        </w:rPr>
        <w:t xml:space="preserve"> </w:t>
      </w:r>
      <w:r w:rsidR="001B455F" w:rsidRPr="00CB5F81">
        <w:rPr>
          <w:rFonts w:asciiTheme="majorHAnsi" w:eastAsia="Times New Roman" w:hAnsiTheme="majorHAnsi" w:cstheme="majorHAnsi"/>
          <w:sz w:val="24"/>
          <w:szCs w:val="24"/>
          <w:lang w:val="ro-MD"/>
        </w:rPr>
        <w:t>sumei facilității acordate unui agent economic</w:t>
      </w:r>
      <w:r w:rsidR="001B455F" w:rsidRPr="00CB5F81">
        <w:rPr>
          <w:rStyle w:val="FootnoteReference"/>
          <w:rFonts w:asciiTheme="majorHAnsi" w:eastAsia="Times New Roman" w:hAnsiTheme="majorHAnsi" w:cstheme="majorHAnsi"/>
          <w:sz w:val="24"/>
          <w:szCs w:val="24"/>
          <w:lang w:val="ro-MD"/>
        </w:rPr>
        <w:footnoteReference w:id="28"/>
      </w:r>
      <w:r w:rsidR="0013518B" w:rsidRPr="00CB5F81">
        <w:rPr>
          <w:rFonts w:asciiTheme="majorHAnsi" w:eastAsia="Times New Roman" w:hAnsiTheme="majorHAnsi" w:cstheme="majorHAnsi"/>
          <w:sz w:val="24"/>
          <w:szCs w:val="24"/>
          <w:lang w:val="ro-MD"/>
        </w:rPr>
        <w:t xml:space="preserve"> în </w:t>
      </w:r>
      <w:r>
        <w:rPr>
          <w:rFonts w:asciiTheme="majorHAnsi" w:eastAsia="Times New Roman" w:hAnsiTheme="majorHAnsi" w:cstheme="majorHAnsi"/>
          <w:sz w:val="24"/>
          <w:szCs w:val="24"/>
          <w:lang w:val="ro-MD"/>
        </w:rPr>
        <w:t>mărime</w:t>
      </w:r>
      <w:r w:rsidR="00EC1EAF">
        <w:rPr>
          <w:rFonts w:asciiTheme="majorHAnsi" w:eastAsia="Times New Roman" w:hAnsiTheme="majorHAnsi" w:cstheme="majorHAnsi"/>
          <w:sz w:val="24"/>
          <w:szCs w:val="24"/>
          <w:lang w:val="ro-MD"/>
        </w:rPr>
        <w:t xml:space="preserve"> </w:t>
      </w:r>
      <w:r w:rsidR="0013518B" w:rsidRPr="00CB5F81">
        <w:rPr>
          <w:rFonts w:asciiTheme="majorHAnsi" w:eastAsia="Times New Roman" w:hAnsiTheme="majorHAnsi" w:cstheme="majorHAnsi"/>
          <w:sz w:val="24"/>
          <w:szCs w:val="24"/>
          <w:lang w:val="ro-MD"/>
        </w:rPr>
        <w:t>de</w:t>
      </w:r>
      <w:r w:rsidR="001B455F" w:rsidRPr="00CB5F81">
        <w:rPr>
          <w:rFonts w:asciiTheme="majorHAnsi" w:eastAsia="Times New Roman" w:hAnsiTheme="majorHAnsi" w:cstheme="majorHAnsi"/>
          <w:sz w:val="24"/>
          <w:szCs w:val="24"/>
          <w:lang w:val="ro-MD"/>
        </w:rPr>
        <w:t xml:space="preserve"> 13,0 </w:t>
      </w:r>
      <w:r w:rsidR="00726434" w:rsidRPr="00CB5F81">
        <w:rPr>
          <w:rFonts w:asciiTheme="majorHAnsi" w:eastAsia="Times New Roman" w:hAnsiTheme="majorHAnsi" w:cstheme="majorHAnsi"/>
          <w:sz w:val="24"/>
          <w:szCs w:val="24"/>
          <w:lang w:val="ro-MD"/>
        </w:rPr>
        <w:t>mil.</w:t>
      </w:r>
      <w:r w:rsidR="001B455F" w:rsidRPr="00CB5F81">
        <w:rPr>
          <w:rFonts w:asciiTheme="majorHAnsi" w:eastAsia="Times New Roman" w:hAnsiTheme="majorHAnsi" w:cstheme="majorHAnsi"/>
          <w:sz w:val="24"/>
          <w:szCs w:val="24"/>
          <w:lang w:val="ro-MD"/>
        </w:rPr>
        <w:t>lei</w:t>
      </w:r>
      <w:r w:rsidR="0013518B" w:rsidRPr="00CB5F81">
        <w:rPr>
          <w:rFonts w:asciiTheme="majorHAnsi" w:eastAsia="Times New Roman" w:hAnsiTheme="majorHAnsi" w:cstheme="majorHAnsi"/>
          <w:sz w:val="24"/>
          <w:szCs w:val="24"/>
          <w:lang w:val="ro-MD"/>
        </w:rPr>
        <w:t>, fiind raportată în anul 2020, deși</w:t>
      </w:r>
      <w:r>
        <w:rPr>
          <w:rFonts w:asciiTheme="majorHAnsi" w:eastAsia="Times New Roman" w:hAnsiTheme="majorHAnsi" w:cstheme="majorHAnsi"/>
          <w:sz w:val="24"/>
          <w:szCs w:val="24"/>
          <w:lang w:val="ro-MD"/>
        </w:rPr>
        <w:t>,</w:t>
      </w:r>
      <w:r w:rsidR="0013518B" w:rsidRPr="00CB5F81">
        <w:rPr>
          <w:rFonts w:asciiTheme="majorHAnsi" w:eastAsia="Times New Roman" w:hAnsiTheme="majorHAnsi" w:cstheme="majorHAnsi"/>
          <w:sz w:val="24"/>
          <w:szCs w:val="24"/>
          <w:lang w:val="ro-MD"/>
        </w:rPr>
        <w:t xml:space="preserve"> potrivit scrisorii MAIA</w:t>
      </w:r>
      <w:r>
        <w:rPr>
          <w:rFonts w:asciiTheme="majorHAnsi" w:eastAsia="Times New Roman" w:hAnsiTheme="majorHAnsi" w:cstheme="majorHAnsi"/>
          <w:sz w:val="24"/>
          <w:szCs w:val="24"/>
          <w:lang w:val="ro-MD"/>
        </w:rPr>
        <w:t xml:space="preserve">, </w:t>
      </w:r>
      <w:r w:rsidR="0013518B" w:rsidRPr="00CB5F81">
        <w:rPr>
          <w:rFonts w:asciiTheme="majorHAnsi" w:eastAsia="Times New Roman" w:hAnsiTheme="majorHAnsi" w:cstheme="majorHAnsi"/>
          <w:sz w:val="24"/>
          <w:szCs w:val="24"/>
          <w:lang w:val="ro-MD"/>
        </w:rPr>
        <w:t>această facilitate a fost acordată</w:t>
      </w:r>
      <w:r w:rsidR="00EC1EAF">
        <w:rPr>
          <w:rFonts w:asciiTheme="majorHAnsi" w:eastAsia="Times New Roman" w:hAnsiTheme="majorHAnsi" w:cstheme="majorHAnsi"/>
          <w:sz w:val="24"/>
          <w:szCs w:val="24"/>
          <w:lang w:val="ro-MD"/>
        </w:rPr>
        <w:t xml:space="preserve"> </w:t>
      </w:r>
      <w:r w:rsidR="0013518B" w:rsidRPr="00CB5F81">
        <w:rPr>
          <w:rFonts w:asciiTheme="majorHAnsi" w:eastAsia="Times New Roman" w:hAnsiTheme="majorHAnsi" w:cstheme="majorHAnsi"/>
          <w:sz w:val="24"/>
          <w:szCs w:val="24"/>
          <w:lang w:val="ro-MD"/>
        </w:rPr>
        <w:t>pentru anul 2021.</w:t>
      </w:r>
    </w:p>
    <w:p w:rsidR="002C1256" w:rsidRPr="00CB5F81" w:rsidRDefault="00945EF4" w:rsidP="002C1256">
      <w:pPr>
        <w:pStyle w:val="ListParagraph"/>
        <w:tabs>
          <w:tab w:val="left" w:pos="360"/>
        </w:tabs>
        <w:ind w:left="0"/>
        <w:jc w:val="both"/>
        <w:rPr>
          <w:rFonts w:asciiTheme="majorHAnsi" w:eastAsia="Times New Roman" w:hAnsiTheme="majorHAnsi" w:cstheme="majorHAnsi"/>
          <w:sz w:val="24"/>
          <w:szCs w:val="24"/>
          <w:lang w:val="ro-MD"/>
        </w:rPr>
      </w:pPr>
      <w:r w:rsidRPr="00CB5F81">
        <w:rPr>
          <w:rFonts w:asciiTheme="majorHAnsi" w:eastAsia="Times New Roman" w:hAnsiTheme="majorHAnsi" w:cstheme="majorHAnsi"/>
          <w:color w:val="000000"/>
          <w:sz w:val="24"/>
          <w:szCs w:val="24"/>
          <w:lang w:val="ro-MD"/>
        </w:rPr>
        <w:t xml:space="preserve">Analizele </w:t>
      </w:r>
      <w:r w:rsidR="00B927A3">
        <w:rPr>
          <w:rFonts w:asciiTheme="majorHAnsi" w:eastAsia="Times New Roman" w:hAnsiTheme="majorHAnsi" w:cstheme="majorHAnsi"/>
          <w:color w:val="000000"/>
          <w:sz w:val="24"/>
          <w:szCs w:val="24"/>
          <w:lang w:val="ro-MD"/>
        </w:rPr>
        <w:t xml:space="preserve">efectuate </w:t>
      </w:r>
      <w:r w:rsidRPr="00CB5F81">
        <w:rPr>
          <w:rFonts w:asciiTheme="majorHAnsi" w:eastAsia="Times New Roman" w:hAnsiTheme="majorHAnsi" w:cstheme="majorHAnsi"/>
          <w:color w:val="000000"/>
          <w:sz w:val="24"/>
          <w:szCs w:val="24"/>
          <w:lang w:val="ro-MD"/>
        </w:rPr>
        <w:t xml:space="preserve">de audit relevă că </w:t>
      </w:r>
      <w:r w:rsidR="00347C2F" w:rsidRPr="00CB5F81">
        <w:rPr>
          <w:rFonts w:asciiTheme="majorHAnsi" w:eastAsia="Times New Roman" w:hAnsiTheme="majorHAnsi" w:cstheme="majorHAnsi"/>
          <w:color w:val="000000"/>
          <w:sz w:val="24"/>
          <w:szCs w:val="24"/>
          <w:lang w:val="ro-MD"/>
        </w:rPr>
        <w:t>metoda</w:t>
      </w:r>
      <w:r w:rsidR="00B927A3">
        <w:rPr>
          <w:rFonts w:asciiTheme="majorHAnsi" w:eastAsia="Times New Roman" w:hAnsiTheme="majorHAnsi" w:cstheme="majorHAnsi"/>
          <w:color w:val="000000"/>
          <w:sz w:val="24"/>
          <w:szCs w:val="24"/>
          <w:lang w:val="ro-MD"/>
        </w:rPr>
        <w:t>,</w:t>
      </w:r>
      <w:r w:rsidR="00347C2F" w:rsidRPr="00CB5F81">
        <w:rPr>
          <w:rFonts w:asciiTheme="majorHAnsi" w:eastAsia="Times New Roman" w:hAnsiTheme="majorHAnsi" w:cstheme="majorHAnsi"/>
          <w:color w:val="000000"/>
          <w:sz w:val="24"/>
          <w:szCs w:val="24"/>
          <w:lang w:val="ro-MD"/>
        </w:rPr>
        <w:t xml:space="preserve"> utilizată de SFS</w:t>
      </w:r>
      <w:r w:rsidR="002C1256" w:rsidRPr="00CB5F81">
        <w:rPr>
          <w:rFonts w:asciiTheme="majorHAnsi" w:eastAsia="Times New Roman" w:hAnsiTheme="majorHAnsi" w:cstheme="majorHAnsi"/>
          <w:color w:val="000000"/>
          <w:sz w:val="24"/>
          <w:szCs w:val="24"/>
          <w:lang w:val="ro-MD"/>
        </w:rPr>
        <w:t>,</w:t>
      </w:r>
      <w:r w:rsidR="00EC1EAF">
        <w:rPr>
          <w:rFonts w:asciiTheme="majorHAnsi" w:eastAsia="Times New Roman" w:hAnsiTheme="majorHAnsi" w:cstheme="majorHAnsi"/>
          <w:color w:val="000000"/>
          <w:sz w:val="24"/>
          <w:szCs w:val="24"/>
          <w:lang w:val="ro-MD"/>
        </w:rPr>
        <w:t xml:space="preserve"> </w:t>
      </w:r>
      <w:r w:rsidR="004C4C80" w:rsidRPr="003B791A">
        <w:rPr>
          <w:rFonts w:asciiTheme="majorHAnsi" w:eastAsia="Times New Roman" w:hAnsiTheme="majorHAnsi" w:cstheme="majorHAnsi"/>
          <w:color w:val="000000"/>
          <w:sz w:val="24"/>
          <w:szCs w:val="24"/>
          <w:lang w:val="ro-MD"/>
        </w:rPr>
        <w:t>de preluare a datelor</w:t>
      </w:r>
      <w:r w:rsidR="002C1256" w:rsidRPr="003B791A">
        <w:rPr>
          <w:rFonts w:asciiTheme="majorHAnsi" w:eastAsia="Times New Roman" w:hAnsiTheme="majorHAnsi" w:cstheme="majorHAnsi"/>
          <w:color w:val="000000"/>
          <w:sz w:val="24"/>
          <w:szCs w:val="24"/>
          <w:lang w:val="ro-MD"/>
        </w:rPr>
        <w:t xml:space="preserve"> din scrisorile de coordonare remise de MAIA</w:t>
      </w:r>
      <w:r w:rsidR="00896A66" w:rsidRPr="003B791A">
        <w:rPr>
          <w:rFonts w:asciiTheme="majorHAnsi" w:eastAsia="Times New Roman" w:hAnsiTheme="majorHAnsi" w:cstheme="majorHAnsi"/>
          <w:color w:val="000000"/>
          <w:sz w:val="24"/>
          <w:szCs w:val="24"/>
          <w:lang w:val="ro-MD"/>
        </w:rPr>
        <w:t xml:space="preserve"> către organul fiscal privind</w:t>
      </w:r>
      <w:r w:rsidR="00896A66" w:rsidRPr="00CB5F81">
        <w:rPr>
          <w:rFonts w:asciiTheme="majorHAnsi" w:eastAsia="Times New Roman" w:hAnsiTheme="majorHAnsi" w:cstheme="majorHAnsi"/>
          <w:color w:val="000000"/>
          <w:sz w:val="24"/>
          <w:szCs w:val="24"/>
          <w:lang w:val="ro-MD"/>
        </w:rPr>
        <w:t xml:space="preserve"> acordarea scutirii</w:t>
      </w:r>
      <w:r w:rsidR="00EC1EAF">
        <w:rPr>
          <w:rFonts w:asciiTheme="majorHAnsi" w:eastAsia="Times New Roman" w:hAnsiTheme="majorHAnsi" w:cstheme="majorHAnsi"/>
          <w:color w:val="000000"/>
          <w:sz w:val="24"/>
          <w:szCs w:val="24"/>
          <w:lang w:val="ro-MD"/>
        </w:rPr>
        <w:t xml:space="preserve"> </w:t>
      </w:r>
      <w:r w:rsidR="00347C2F" w:rsidRPr="00CB5F81">
        <w:rPr>
          <w:rFonts w:asciiTheme="majorHAnsi" w:eastAsia="Times New Roman" w:hAnsiTheme="majorHAnsi" w:cstheme="majorHAnsi"/>
          <w:color w:val="000000"/>
          <w:sz w:val="24"/>
          <w:szCs w:val="24"/>
          <w:lang w:val="ro-MD"/>
        </w:rPr>
        <w:t>nu este una ajustată și armonizată cu suma facilității efectiv valorificată de către contribuabili</w:t>
      </w:r>
      <w:r w:rsidR="004F0940">
        <w:rPr>
          <w:rFonts w:asciiTheme="majorHAnsi" w:eastAsia="Times New Roman" w:hAnsiTheme="majorHAnsi" w:cstheme="majorHAnsi"/>
          <w:color w:val="000000"/>
          <w:sz w:val="24"/>
          <w:szCs w:val="24"/>
          <w:lang w:val="ro-MD"/>
        </w:rPr>
        <w:t>i</w:t>
      </w:r>
      <w:r w:rsidR="00347C2F" w:rsidRPr="00CB5F81">
        <w:rPr>
          <w:rFonts w:asciiTheme="majorHAnsi" w:eastAsia="Times New Roman" w:hAnsiTheme="majorHAnsi" w:cstheme="majorHAnsi"/>
          <w:color w:val="000000"/>
          <w:sz w:val="24"/>
          <w:szCs w:val="24"/>
          <w:lang w:val="ro-MD"/>
        </w:rPr>
        <w:t xml:space="preserve"> solicitanți. </w:t>
      </w:r>
      <w:r w:rsidR="002C1256" w:rsidRPr="00CB5F81">
        <w:rPr>
          <w:rFonts w:asciiTheme="majorHAnsi" w:eastAsia="Times New Roman" w:hAnsiTheme="majorHAnsi" w:cstheme="majorHAnsi"/>
          <w:color w:val="000000"/>
          <w:sz w:val="24"/>
          <w:szCs w:val="24"/>
          <w:lang w:val="ro-MD"/>
        </w:rPr>
        <w:t xml:space="preserve">Astfel, conform </w:t>
      </w:r>
      <w:r w:rsidR="00347C2F" w:rsidRPr="00CB5F81">
        <w:rPr>
          <w:rFonts w:asciiTheme="majorHAnsi" w:eastAsia="Times New Roman" w:hAnsiTheme="majorHAnsi" w:cstheme="majorHAnsi"/>
          <w:color w:val="000000"/>
          <w:sz w:val="24"/>
          <w:szCs w:val="24"/>
          <w:lang w:val="ro-MD"/>
        </w:rPr>
        <w:t>datelor MAIA</w:t>
      </w:r>
      <w:r w:rsidR="002C1256" w:rsidRPr="00CB5F81">
        <w:rPr>
          <w:rFonts w:asciiTheme="majorHAnsi" w:eastAsia="Times New Roman" w:hAnsiTheme="majorHAnsi" w:cstheme="majorHAnsi"/>
          <w:color w:val="000000"/>
          <w:sz w:val="24"/>
          <w:szCs w:val="24"/>
          <w:lang w:val="ro-MD"/>
        </w:rPr>
        <w:t>, deși</w:t>
      </w:r>
      <w:r w:rsidR="00EC1EAF">
        <w:rPr>
          <w:rFonts w:asciiTheme="majorHAnsi" w:eastAsia="Times New Roman" w:hAnsiTheme="majorHAnsi" w:cstheme="majorHAnsi"/>
          <w:color w:val="000000"/>
          <w:sz w:val="24"/>
          <w:szCs w:val="24"/>
          <w:lang w:val="ro-MD"/>
        </w:rPr>
        <w:t xml:space="preserve"> </w:t>
      </w:r>
      <w:r w:rsidR="002C1256" w:rsidRPr="00CB5F81">
        <w:rPr>
          <w:rFonts w:asciiTheme="majorHAnsi" w:eastAsia="Times New Roman" w:hAnsiTheme="majorHAnsi" w:cstheme="majorHAnsi"/>
          <w:color w:val="000000"/>
          <w:sz w:val="24"/>
          <w:szCs w:val="24"/>
          <w:lang w:val="ro-MD"/>
        </w:rPr>
        <w:t>agenților economici</w:t>
      </w:r>
      <w:r w:rsidR="00EC1EAF">
        <w:rPr>
          <w:rFonts w:asciiTheme="majorHAnsi" w:eastAsia="Times New Roman" w:hAnsiTheme="majorHAnsi" w:cstheme="majorHAnsi"/>
          <w:color w:val="000000"/>
          <w:sz w:val="24"/>
          <w:szCs w:val="24"/>
          <w:lang w:val="ro-MD"/>
        </w:rPr>
        <w:t xml:space="preserve"> </w:t>
      </w:r>
      <w:r w:rsidR="00A908E1" w:rsidRPr="00CB5F81">
        <w:rPr>
          <w:rFonts w:asciiTheme="majorHAnsi" w:eastAsia="Times New Roman" w:hAnsiTheme="majorHAnsi" w:cstheme="majorHAnsi"/>
          <w:color w:val="000000"/>
          <w:sz w:val="24"/>
          <w:szCs w:val="24"/>
          <w:lang w:val="ro-MD"/>
        </w:rPr>
        <w:t>li</w:t>
      </w:r>
      <w:r w:rsidR="00EC1EAF">
        <w:rPr>
          <w:rFonts w:asciiTheme="majorHAnsi" w:eastAsia="Times New Roman" w:hAnsiTheme="majorHAnsi" w:cstheme="majorHAnsi"/>
          <w:color w:val="000000"/>
          <w:sz w:val="24"/>
          <w:szCs w:val="24"/>
          <w:lang w:val="ro-MD"/>
        </w:rPr>
        <w:t xml:space="preserve"> </w:t>
      </w:r>
      <w:r w:rsidR="002C1256" w:rsidRPr="00CB5F81">
        <w:rPr>
          <w:rFonts w:asciiTheme="majorHAnsi" w:eastAsia="Times New Roman" w:hAnsiTheme="majorHAnsi" w:cstheme="majorHAnsi"/>
          <w:color w:val="000000"/>
          <w:sz w:val="24"/>
          <w:szCs w:val="24"/>
          <w:lang w:val="ro-MD"/>
        </w:rPr>
        <w:t>s-au acordat scutiri în valoare de 666,</w:t>
      </w:r>
      <w:r w:rsidR="002C1256" w:rsidRPr="00062B7C">
        <w:rPr>
          <w:rFonts w:asciiTheme="majorHAnsi" w:eastAsia="Times New Roman" w:hAnsiTheme="majorHAnsi" w:cstheme="majorHAnsi"/>
          <w:color w:val="000000"/>
          <w:sz w:val="24"/>
          <w:szCs w:val="24"/>
          <w:lang w:val="ro-MD"/>
        </w:rPr>
        <w:t>6 mi</w:t>
      </w:r>
      <w:r w:rsidR="00551E4C" w:rsidRPr="000B0D94">
        <w:rPr>
          <w:rFonts w:asciiTheme="majorHAnsi" w:eastAsia="Times New Roman" w:hAnsiTheme="majorHAnsi" w:cstheme="majorHAnsi"/>
          <w:color w:val="000000"/>
          <w:sz w:val="24"/>
          <w:szCs w:val="24"/>
          <w:lang w:val="ro-MD"/>
        </w:rPr>
        <w:t>l.</w:t>
      </w:r>
      <w:r w:rsidR="002C1256" w:rsidRPr="00062B7C">
        <w:rPr>
          <w:rFonts w:asciiTheme="majorHAnsi" w:eastAsia="Times New Roman" w:hAnsiTheme="majorHAnsi" w:cstheme="majorHAnsi"/>
          <w:color w:val="000000"/>
          <w:sz w:val="24"/>
          <w:szCs w:val="24"/>
          <w:lang w:val="ro-MD"/>
        </w:rPr>
        <w:t xml:space="preserve"> lei,</w:t>
      </w:r>
      <w:r w:rsidR="002C1256" w:rsidRPr="00CB5F81">
        <w:rPr>
          <w:rFonts w:asciiTheme="majorHAnsi" w:eastAsia="Times New Roman" w:hAnsiTheme="majorHAnsi" w:cstheme="majorHAnsi"/>
          <w:color w:val="000000"/>
          <w:sz w:val="24"/>
          <w:szCs w:val="24"/>
          <w:lang w:val="ro-MD"/>
        </w:rPr>
        <w:t xml:space="preserve"> în anul 2020,</w:t>
      </w:r>
      <w:r w:rsidR="00EC1EAF">
        <w:rPr>
          <w:rFonts w:asciiTheme="majorHAnsi" w:eastAsia="Times New Roman" w:hAnsiTheme="majorHAnsi" w:cstheme="majorHAnsi"/>
          <w:sz w:val="24"/>
          <w:szCs w:val="24"/>
          <w:lang w:val="ro-MD"/>
        </w:rPr>
        <w:t xml:space="preserve"> </w:t>
      </w:r>
      <w:r w:rsidR="00A908E1" w:rsidRPr="00CB5F81">
        <w:rPr>
          <w:rFonts w:asciiTheme="majorHAnsi" w:eastAsia="Times New Roman" w:hAnsiTheme="majorHAnsi" w:cstheme="majorHAnsi"/>
          <w:color w:val="000000"/>
          <w:sz w:val="24"/>
          <w:szCs w:val="24"/>
          <w:lang w:val="ro-MD"/>
        </w:rPr>
        <w:t>aceșt</w:t>
      </w:r>
      <w:r w:rsidR="00E73F79" w:rsidRPr="00CB5F81">
        <w:rPr>
          <w:rFonts w:asciiTheme="majorHAnsi" w:eastAsia="Times New Roman" w:hAnsiTheme="majorHAnsi" w:cstheme="majorHAnsi"/>
          <w:color w:val="000000"/>
          <w:sz w:val="24"/>
          <w:szCs w:val="24"/>
          <w:lang w:val="ro-MD"/>
        </w:rPr>
        <w:t>i</w:t>
      </w:r>
      <w:r w:rsidR="00A908E1" w:rsidRPr="00CB5F81">
        <w:rPr>
          <w:rFonts w:asciiTheme="majorHAnsi" w:eastAsia="Times New Roman" w:hAnsiTheme="majorHAnsi" w:cstheme="majorHAnsi"/>
          <w:color w:val="000000"/>
          <w:sz w:val="24"/>
          <w:szCs w:val="24"/>
          <w:lang w:val="ro-MD"/>
        </w:rPr>
        <w:t>a</w:t>
      </w:r>
      <w:r w:rsidR="00EC1EAF">
        <w:rPr>
          <w:rFonts w:asciiTheme="majorHAnsi" w:eastAsia="Times New Roman" w:hAnsiTheme="majorHAnsi" w:cstheme="majorHAnsi"/>
          <w:color w:val="000000"/>
          <w:sz w:val="24"/>
          <w:szCs w:val="24"/>
          <w:lang w:val="ro-MD"/>
        </w:rPr>
        <w:t xml:space="preserve"> </w:t>
      </w:r>
      <w:r w:rsidR="002C1256" w:rsidRPr="00CB5F81">
        <w:rPr>
          <w:rFonts w:asciiTheme="majorHAnsi" w:eastAsia="Times New Roman" w:hAnsiTheme="majorHAnsi" w:cstheme="majorHAnsi"/>
          <w:color w:val="000000"/>
          <w:sz w:val="24"/>
          <w:szCs w:val="24"/>
          <w:lang w:val="ro-MD"/>
        </w:rPr>
        <w:t>au raportat că</w:t>
      </w:r>
      <w:r w:rsidR="00EC1EAF">
        <w:rPr>
          <w:rFonts w:asciiTheme="majorHAnsi" w:eastAsia="Times New Roman" w:hAnsiTheme="majorHAnsi" w:cstheme="majorHAnsi"/>
          <w:color w:val="000000"/>
          <w:sz w:val="24"/>
          <w:szCs w:val="24"/>
          <w:lang w:val="ro-MD"/>
        </w:rPr>
        <w:t xml:space="preserve"> </w:t>
      </w:r>
      <w:r w:rsidR="002C1256" w:rsidRPr="00CB5F81">
        <w:rPr>
          <w:rFonts w:asciiTheme="majorHAnsi" w:eastAsia="Times New Roman" w:hAnsiTheme="majorHAnsi" w:cstheme="majorHAnsi"/>
          <w:sz w:val="24"/>
          <w:szCs w:val="24"/>
          <w:lang w:val="ro-MD"/>
        </w:rPr>
        <w:t>au achiziționat/utilizat alcool etilic scutit de acciz</w:t>
      </w:r>
      <w:r w:rsidR="00A908E1" w:rsidRPr="00CB5F81">
        <w:rPr>
          <w:rFonts w:asciiTheme="majorHAnsi" w:eastAsia="Times New Roman" w:hAnsiTheme="majorHAnsi" w:cstheme="majorHAnsi"/>
          <w:sz w:val="24"/>
          <w:szCs w:val="24"/>
          <w:lang w:val="ro-MD"/>
        </w:rPr>
        <w:t>e</w:t>
      </w:r>
      <w:r w:rsidR="002C1256" w:rsidRPr="00CB5F81">
        <w:rPr>
          <w:rFonts w:asciiTheme="majorHAnsi" w:eastAsia="Times New Roman" w:hAnsiTheme="majorHAnsi" w:cstheme="majorHAnsi"/>
          <w:sz w:val="24"/>
          <w:szCs w:val="24"/>
          <w:lang w:val="ro-MD"/>
        </w:rPr>
        <w:t xml:space="preserve"> în valoare de 96,0 mil</w:t>
      </w:r>
      <w:r w:rsidR="00E73F79" w:rsidRPr="00CB5F81">
        <w:rPr>
          <w:rFonts w:asciiTheme="majorHAnsi" w:eastAsia="Times New Roman" w:hAnsiTheme="majorHAnsi" w:cstheme="majorHAnsi"/>
          <w:sz w:val="24"/>
          <w:szCs w:val="24"/>
          <w:lang w:val="ro-MD"/>
        </w:rPr>
        <w:t>.</w:t>
      </w:r>
      <w:r w:rsidR="002C1256" w:rsidRPr="00CB5F81">
        <w:rPr>
          <w:rFonts w:asciiTheme="majorHAnsi" w:eastAsia="Times New Roman" w:hAnsiTheme="majorHAnsi" w:cstheme="majorHAnsi"/>
          <w:sz w:val="24"/>
          <w:szCs w:val="24"/>
          <w:lang w:val="ro-MD"/>
        </w:rPr>
        <w:t xml:space="preserve"> lei, </w:t>
      </w:r>
      <w:r w:rsidR="00896A66" w:rsidRPr="00CB5F81">
        <w:rPr>
          <w:rFonts w:asciiTheme="majorHAnsi" w:eastAsia="Times New Roman" w:hAnsiTheme="majorHAnsi" w:cstheme="majorHAnsi"/>
          <w:sz w:val="24"/>
          <w:szCs w:val="24"/>
          <w:lang w:val="ro-MD"/>
        </w:rPr>
        <w:t>sau cu 570,6 mil</w:t>
      </w:r>
      <w:r w:rsidR="00902F6C" w:rsidRPr="00CB5F81">
        <w:rPr>
          <w:rFonts w:asciiTheme="majorHAnsi" w:eastAsia="Times New Roman" w:hAnsiTheme="majorHAnsi" w:cstheme="majorHAnsi"/>
          <w:sz w:val="24"/>
          <w:szCs w:val="24"/>
          <w:lang w:val="ro-MD"/>
        </w:rPr>
        <w:t>.</w:t>
      </w:r>
      <w:r w:rsidR="0057200D">
        <w:rPr>
          <w:rFonts w:asciiTheme="majorHAnsi" w:eastAsia="Times New Roman" w:hAnsiTheme="majorHAnsi" w:cstheme="majorHAnsi"/>
          <w:sz w:val="24"/>
          <w:szCs w:val="24"/>
          <w:lang w:val="ro-MD"/>
        </w:rPr>
        <w:t xml:space="preserve"> lei mai puțin.</w:t>
      </w:r>
    </w:p>
    <w:p w:rsidR="00D703BD" w:rsidRPr="00CB5F81" w:rsidRDefault="00FC4BB7" w:rsidP="00D04386">
      <w:pPr>
        <w:pStyle w:val="Heading3"/>
        <w:numPr>
          <w:ilvl w:val="2"/>
          <w:numId w:val="21"/>
        </w:numPr>
        <w:tabs>
          <w:tab w:val="left" w:pos="360"/>
          <w:tab w:val="left" w:pos="540"/>
          <w:tab w:val="left" w:pos="630"/>
        </w:tabs>
        <w:spacing w:before="200" w:after="120" w:line="240" w:lineRule="auto"/>
        <w:ind w:left="0" w:firstLine="0"/>
        <w:jc w:val="both"/>
        <w:rPr>
          <w:rFonts w:asciiTheme="minorHAnsi" w:eastAsia="Times New Roman" w:hAnsiTheme="minorHAnsi" w:cstheme="minorHAnsi"/>
          <w:bCs/>
          <w:i/>
          <w:color w:val="000000"/>
          <w:sz w:val="20"/>
          <w:szCs w:val="20"/>
        </w:rPr>
      </w:pPr>
      <w:bookmarkStart w:id="26" w:name="_Toc111467871"/>
      <w:r w:rsidRPr="00985D59">
        <w:rPr>
          <w:rFonts w:eastAsiaTheme="minorEastAsia" w:cstheme="majorHAnsi"/>
          <w:b/>
          <w:iCs/>
          <w:color w:val="2E74B5" w:themeColor="accent1" w:themeShade="BF"/>
        </w:rPr>
        <w:t>Autoritățile statului au</w:t>
      </w:r>
      <w:r w:rsidR="004A2302" w:rsidRPr="00985D59">
        <w:rPr>
          <w:rFonts w:eastAsiaTheme="minorEastAsia" w:cstheme="majorHAnsi"/>
          <w:b/>
          <w:iCs/>
          <w:color w:val="2E74B5" w:themeColor="accent1" w:themeShade="BF"/>
        </w:rPr>
        <w:t xml:space="preserve"> avut </w:t>
      </w:r>
      <w:r w:rsidRPr="00985D59">
        <w:rPr>
          <w:rFonts w:eastAsiaTheme="minorEastAsia" w:cstheme="majorHAnsi"/>
          <w:b/>
          <w:iCs/>
          <w:color w:val="2E74B5" w:themeColor="accent1" w:themeShade="BF"/>
        </w:rPr>
        <w:t>abordări d</w:t>
      </w:r>
      <w:r w:rsidR="004F0940">
        <w:rPr>
          <w:rFonts w:eastAsiaTheme="minorEastAsia" w:cstheme="majorHAnsi"/>
          <w:b/>
          <w:iCs/>
          <w:color w:val="2E74B5" w:themeColor="accent1" w:themeShade="BF"/>
        </w:rPr>
        <w:t>i</w:t>
      </w:r>
      <w:r w:rsidRPr="00985D59">
        <w:rPr>
          <w:rFonts w:eastAsiaTheme="minorEastAsia" w:cstheme="majorHAnsi"/>
          <w:b/>
          <w:iCs/>
          <w:color w:val="2E74B5" w:themeColor="accent1" w:themeShade="BF"/>
        </w:rPr>
        <w:t xml:space="preserve">ferite privind atribuirea </w:t>
      </w:r>
      <w:r w:rsidR="004A2302" w:rsidRPr="00985D59">
        <w:rPr>
          <w:rFonts w:eastAsiaTheme="minorEastAsia" w:cstheme="majorHAnsi"/>
          <w:b/>
          <w:iCs/>
          <w:color w:val="2E74B5" w:themeColor="accent1" w:themeShade="BF"/>
        </w:rPr>
        <w:t xml:space="preserve">ca </w:t>
      </w:r>
      <w:r w:rsidRPr="00985D59">
        <w:rPr>
          <w:rFonts w:eastAsiaTheme="minorEastAsia" w:cstheme="majorHAnsi"/>
          <w:b/>
          <w:iCs/>
          <w:color w:val="2E74B5" w:themeColor="accent1" w:themeShade="BF"/>
        </w:rPr>
        <w:t>facilit</w:t>
      </w:r>
      <w:r w:rsidR="004A2302" w:rsidRPr="00985D59">
        <w:rPr>
          <w:rFonts w:eastAsiaTheme="minorEastAsia" w:cstheme="majorHAnsi"/>
          <w:b/>
          <w:iCs/>
          <w:color w:val="2E74B5" w:themeColor="accent1" w:themeShade="BF"/>
        </w:rPr>
        <w:t xml:space="preserve">ate </w:t>
      </w:r>
      <w:r w:rsidRPr="00985D59">
        <w:rPr>
          <w:rFonts w:eastAsiaTheme="minorEastAsia" w:cstheme="majorHAnsi"/>
          <w:b/>
          <w:iCs/>
          <w:color w:val="2E74B5" w:themeColor="accent1" w:themeShade="BF"/>
        </w:rPr>
        <w:t xml:space="preserve">a regimului special de </w:t>
      </w:r>
      <w:r w:rsidRPr="00062B7C">
        <w:rPr>
          <w:rFonts w:eastAsiaTheme="minorEastAsia" w:cstheme="majorHAnsi"/>
          <w:b/>
          <w:iCs/>
          <w:color w:val="2E74B5" w:themeColor="accent1" w:themeShade="BF"/>
        </w:rPr>
        <w:t>impozitare  rezidenților</w:t>
      </w:r>
      <w:r w:rsidRPr="00985D59">
        <w:rPr>
          <w:rFonts w:eastAsiaTheme="minorEastAsia" w:cstheme="majorHAnsi"/>
          <w:b/>
          <w:iCs/>
          <w:color w:val="2E74B5" w:themeColor="accent1" w:themeShade="BF"/>
        </w:rPr>
        <w:t xml:space="preserve"> parcurilor pentru tehnologia informației și angajaților acestora (</w:t>
      </w:r>
      <w:r w:rsidR="004F0940">
        <w:rPr>
          <w:rFonts w:eastAsiaTheme="minorEastAsia" w:cstheme="majorHAnsi"/>
          <w:b/>
          <w:iCs/>
          <w:color w:val="2E74B5" w:themeColor="accent1" w:themeShade="BF"/>
        </w:rPr>
        <w:t>C</w:t>
      </w:r>
      <w:r w:rsidRPr="00985D59">
        <w:rPr>
          <w:rFonts w:eastAsiaTheme="minorEastAsia" w:cstheme="majorHAnsi"/>
          <w:b/>
          <w:iCs/>
          <w:color w:val="2E74B5" w:themeColor="accent1" w:themeShade="BF"/>
        </w:rPr>
        <w:t>odul facilității - CFARF001)</w:t>
      </w:r>
      <w:bookmarkEnd w:id="26"/>
    </w:p>
    <w:p w:rsidR="001D231C" w:rsidRPr="00CB5F81" w:rsidRDefault="00A908E1" w:rsidP="001D231C">
      <w:pPr>
        <w:spacing w:after="120" w:line="312" w:lineRule="exact"/>
        <w:jc w:val="both"/>
        <w:rPr>
          <w:rFonts w:asciiTheme="majorHAnsi" w:hAnsiTheme="majorHAnsi" w:cstheme="majorHAnsi"/>
          <w:color w:val="000000"/>
          <w:sz w:val="24"/>
          <w:szCs w:val="24"/>
        </w:rPr>
      </w:pPr>
      <w:r w:rsidRPr="00CB5F81">
        <w:rPr>
          <w:rFonts w:asciiTheme="majorHAnsi" w:hAnsiTheme="majorHAnsi" w:cstheme="majorHAnsi"/>
          <w:color w:val="000000"/>
          <w:sz w:val="24"/>
          <w:szCs w:val="24"/>
        </w:rPr>
        <w:t>Potrivit prevederilor Codului f</w:t>
      </w:r>
      <w:r w:rsidR="007D40A7" w:rsidRPr="00CB5F81">
        <w:rPr>
          <w:rFonts w:asciiTheme="majorHAnsi" w:hAnsiTheme="majorHAnsi" w:cstheme="majorHAnsi"/>
          <w:color w:val="000000"/>
          <w:sz w:val="24"/>
          <w:szCs w:val="24"/>
        </w:rPr>
        <w:t>iscal</w:t>
      </w:r>
      <w:r w:rsidR="007D40A7" w:rsidRPr="00CB5F81">
        <w:rPr>
          <w:rStyle w:val="FootnoteReference"/>
          <w:rFonts w:asciiTheme="majorHAnsi" w:hAnsiTheme="majorHAnsi" w:cstheme="majorHAnsi"/>
          <w:color w:val="000000"/>
          <w:sz w:val="24"/>
          <w:szCs w:val="24"/>
        </w:rPr>
        <w:footnoteReference w:id="29"/>
      </w:r>
      <w:r w:rsidR="007D40A7" w:rsidRPr="00CB5F81">
        <w:rPr>
          <w:rFonts w:asciiTheme="majorHAnsi" w:hAnsiTheme="majorHAnsi" w:cstheme="majorHAnsi"/>
          <w:color w:val="000000"/>
          <w:sz w:val="24"/>
          <w:szCs w:val="24"/>
        </w:rPr>
        <w:t xml:space="preserve"> și</w:t>
      </w:r>
      <w:r w:rsidR="00EC1EAF">
        <w:rPr>
          <w:rFonts w:asciiTheme="majorHAnsi" w:hAnsiTheme="majorHAnsi" w:cstheme="majorHAnsi"/>
          <w:color w:val="000000"/>
          <w:sz w:val="24"/>
          <w:szCs w:val="24"/>
        </w:rPr>
        <w:t xml:space="preserve"> </w:t>
      </w:r>
      <w:r w:rsidR="007D40A7" w:rsidRPr="00CB5F81">
        <w:rPr>
          <w:rFonts w:asciiTheme="majorHAnsi" w:hAnsiTheme="majorHAnsi" w:cstheme="majorHAnsi"/>
          <w:color w:val="000000"/>
          <w:sz w:val="24"/>
          <w:szCs w:val="24"/>
        </w:rPr>
        <w:t>în temeiul art. 15 alin. (1) lit. a) din Legea nr. 77/2016</w:t>
      </w:r>
      <w:r w:rsidR="004F0940">
        <w:rPr>
          <w:rFonts w:asciiTheme="majorHAnsi" w:hAnsiTheme="majorHAnsi" w:cstheme="majorHAnsi"/>
          <w:color w:val="000000"/>
          <w:sz w:val="24"/>
          <w:szCs w:val="24"/>
        </w:rPr>
        <w:t>,</w:t>
      </w:r>
      <w:r w:rsidR="007D40A7" w:rsidRPr="00CB5F81">
        <w:rPr>
          <w:rFonts w:asciiTheme="majorHAnsi" w:hAnsiTheme="majorHAnsi" w:cstheme="majorHAnsi"/>
          <w:color w:val="000000"/>
          <w:sz w:val="24"/>
          <w:szCs w:val="24"/>
        </w:rPr>
        <w:t xml:space="preserve"> rezidenții parcului</w:t>
      </w:r>
      <w:r w:rsidR="00FC4BB7" w:rsidRPr="00CB5F81">
        <w:rPr>
          <w:rFonts w:asciiTheme="majorHAnsi" w:hAnsiTheme="majorHAnsi" w:cstheme="majorHAnsi"/>
          <w:color w:val="000000"/>
          <w:sz w:val="24"/>
          <w:szCs w:val="24"/>
        </w:rPr>
        <w:t xml:space="preserve"> </w:t>
      </w:r>
      <w:r w:rsidR="004F0940">
        <w:rPr>
          <w:rFonts w:asciiTheme="majorHAnsi" w:hAnsiTheme="majorHAnsi" w:cstheme="majorHAnsi"/>
          <w:color w:val="000000"/>
          <w:sz w:val="24"/>
          <w:szCs w:val="24"/>
        </w:rPr>
        <w:t xml:space="preserve">pentru tehnologia informației </w:t>
      </w:r>
      <w:r w:rsidR="007D40A7" w:rsidRPr="00CB5F81">
        <w:rPr>
          <w:rFonts w:asciiTheme="majorHAnsi" w:hAnsiTheme="majorHAnsi" w:cstheme="majorHAnsi"/>
          <w:color w:val="000000"/>
          <w:sz w:val="24"/>
          <w:szCs w:val="24"/>
        </w:rPr>
        <w:t>beneficiază de un regim fiscal special</w:t>
      </w:r>
      <w:r w:rsidR="004F0940">
        <w:rPr>
          <w:rFonts w:asciiTheme="majorHAnsi" w:hAnsiTheme="majorHAnsi" w:cstheme="majorHAnsi"/>
          <w:color w:val="000000"/>
          <w:sz w:val="24"/>
          <w:szCs w:val="24"/>
        </w:rPr>
        <w:t>,</w:t>
      </w:r>
      <w:r w:rsidR="007D40A7" w:rsidRPr="00CB5F81">
        <w:rPr>
          <w:rFonts w:asciiTheme="majorHAnsi" w:hAnsiTheme="majorHAnsi" w:cstheme="majorHAnsi"/>
          <w:color w:val="000000"/>
          <w:sz w:val="24"/>
          <w:szCs w:val="24"/>
        </w:rPr>
        <w:t xml:space="preserve"> și anume</w:t>
      </w:r>
      <w:r w:rsidR="004F0940">
        <w:rPr>
          <w:rFonts w:asciiTheme="majorHAnsi" w:hAnsiTheme="majorHAnsi" w:cstheme="majorHAnsi"/>
          <w:color w:val="000000"/>
          <w:sz w:val="24"/>
          <w:szCs w:val="24"/>
        </w:rPr>
        <w:t xml:space="preserve"> - </w:t>
      </w:r>
      <w:r w:rsidR="007D40A7" w:rsidRPr="00CB5F81">
        <w:rPr>
          <w:rFonts w:asciiTheme="majorHAnsi" w:hAnsiTheme="majorHAnsi" w:cstheme="majorHAnsi"/>
          <w:color w:val="000000"/>
          <w:sz w:val="24"/>
          <w:szCs w:val="24"/>
        </w:rPr>
        <w:t xml:space="preserve"> de un impozit unic</w:t>
      </w:r>
      <w:r w:rsidR="004F0940">
        <w:rPr>
          <w:rFonts w:asciiTheme="majorHAnsi" w:hAnsiTheme="majorHAnsi" w:cstheme="majorHAnsi"/>
          <w:color w:val="000000"/>
          <w:sz w:val="24"/>
          <w:szCs w:val="24"/>
        </w:rPr>
        <w:t>,</w:t>
      </w:r>
      <w:r w:rsidR="007D40A7" w:rsidRPr="00CB5F81">
        <w:rPr>
          <w:rFonts w:asciiTheme="majorHAnsi" w:hAnsiTheme="majorHAnsi" w:cstheme="majorHAnsi"/>
          <w:color w:val="000000"/>
          <w:sz w:val="24"/>
          <w:szCs w:val="24"/>
        </w:rPr>
        <w:t xml:space="preserve"> care include</w:t>
      </w:r>
      <w:r w:rsidR="004A2302" w:rsidRPr="00CB5F81">
        <w:rPr>
          <w:rFonts w:asciiTheme="majorHAnsi" w:hAnsiTheme="majorHAnsi" w:cstheme="majorHAnsi"/>
          <w:color w:val="000000"/>
          <w:sz w:val="24"/>
          <w:szCs w:val="24"/>
        </w:rPr>
        <w:t xml:space="preserve"> șapte impozite și taxe</w:t>
      </w:r>
      <w:r w:rsidR="004A2302" w:rsidRPr="00CB5F81">
        <w:rPr>
          <w:rStyle w:val="FootnoteReference"/>
          <w:rFonts w:asciiTheme="majorHAnsi" w:hAnsiTheme="majorHAnsi" w:cstheme="majorHAnsi"/>
          <w:color w:val="000000"/>
          <w:sz w:val="24"/>
          <w:szCs w:val="24"/>
        </w:rPr>
        <w:footnoteReference w:id="30"/>
      </w:r>
      <w:r w:rsidR="009A0C34" w:rsidRPr="00CB5F81">
        <w:rPr>
          <w:rFonts w:asciiTheme="majorHAnsi" w:hAnsiTheme="majorHAnsi" w:cstheme="majorHAnsi"/>
          <w:color w:val="000000"/>
          <w:sz w:val="24"/>
          <w:szCs w:val="24"/>
        </w:rPr>
        <w:t>, fiind statuat ca un regim de impozitare facilitat.</w:t>
      </w:r>
      <w:r w:rsidR="004A2302" w:rsidRPr="00CB5F81">
        <w:rPr>
          <w:rFonts w:asciiTheme="majorHAnsi" w:hAnsiTheme="majorHAnsi" w:cstheme="majorHAnsi"/>
          <w:color w:val="000000"/>
          <w:sz w:val="24"/>
          <w:szCs w:val="24"/>
        </w:rPr>
        <w:t xml:space="preserve"> </w:t>
      </w:r>
    </w:p>
    <w:p w:rsidR="00FC4BB7" w:rsidRPr="00CB5F81" w:rsidRDefault="00FC4BB7" w:rsidP="001D231C">
      <w:pPr>
        <w:spacing w:after="120" w:line="312" w:lineRule="exact"/>
        <w:jc w:val="both"/>
        <w:rPr>
          <w:rFonts w:asciiTheme="majorHAnsi" w:hAnsiTheme="majorHAnsi" w:cstheme="majorHAnsi"/>
          <w:bCs/>
          <w:color w:val="000000"/>
          <w:sz w:val="24"/>
          <w:szCs w:val="24"/>
        </w:rPr>
      </w:pPr>
      <w:r w:rsidRPr="00CB5F81">
        <w:rPr>
          <w:rFonts w:asciiTheme="majorHAnsi" w:hAnsiTheme="majorHAnsi" w:cstheme="majorHAnsi"/>
          <w:color w:val="000000"/>
          <w:sz w:val="24"/>
          <w:szCs w:val="24"/>
        </w:rPr>
        <w:t>Consecvent, art.370</w:t>
      </w:r>
      <w:r w:rsidR="00EC1EAF">
        <w:rPr>
          <w:rFonts w:asciiTheme="majorHAnsi" w:hAnsiTheme="majorHAnsi" w:cstheme="majorHAnsi"/>
          <w:color w:val="000000"/>
          <w:sz w:val="24"/>
          <w:szCs w:val="24"/>
        </w:rPr>
        <w:t xml:space="preserve"> </w:t>
      </w:r>
      <w:r w:rsidRPr="00CB5F81">
        <w:rPr>
          <w:rFonts w:asciiTheme="majorHAnsi" w:hAnsiTheme="majorHAnsi" w:cstheme="majorHAnsi"/>
          <w:color w:val="000000"/>
          <w:sz w:val="24"/>
          <w:szCs w:val="24"/>
        </w:rPr>
        <w:t>din Codul fiscal statuează că pentru rezidenții parcului c</w:t>
      </w:r>
      <w:r w:rsidRPr="00CB5F81">
        <w:rPr>
          <w:rFonts w:asciiTheme="majorHAnsi" w:hAnsiTheme="majorHAnsi" w:cstheme="majorHAnsi"/>
          <w:bCs/>
          <w:color w:val="000000"/>
          <w:sz w:val="24"/>
          <w:szCs w:val="24"/>
        </w:rPr>
        <w:t xml:space="preserve">ota impozitului unic constituie 7% din obiectul impunerii, dar nu mai puțin decât suma minimă stabilită </w:t>
      </w:r>
      <w:r w:rsidR="004F0940">
        <w:rPr>
          <w:rFonts w:asciiTheme="majorHAnsi" w:hAnsiTheme="majorHAnsi" w:cstheme="majorHAnsi"/>
          <w:bCs/>
          <w:color w:val="000000"/>
          <w:sz w:val="24"/>
          <w:szCs w:val="24"/>
        </w:rPr>
        <w:t>în</w:t>
      </w:r>
      <w:r w:rsidRPr="00CB5F81">
        <w:rPr>
          <w:rFonts w:asciiTheme="majorHAnsi" w:hAnsiTheme="majorHAnsi" w:cstheme="majorHAnsi"/>
          <w:bCs/>
          <w:color w:val="000000"/>
          <w:sz w:val="24"/>
          <w:szCs w:val="24"/>
        </w:rPr>
        <w:t xml:space="preserve"> alin.(2), cu condiția că suma minimă a impozitului unic se va determina lunar pentru fiecare angajat şi va constitui 30% din cuantumul salariului mediu lunar pe economie, prognozat pentru anul la care se referă perioada fiscală. </w:t>
      </w:r>
    </w:p>
    <w:p w:rsidR="001D231C" w:rsidRPr="00CB5F81" w:rsidRDefault="00FC4BB7" w:rsidP="001D231C">
      <w:pPr>
        <w:spacing w:after="120" w:line="312" w:lineRule="exact"/>
        <w:jc w:val="both"/>
        <w:rPr>
          <w:rFonts w:asciiTheme="majorHAnsi" w:hAnsiTheme="majorHAnsi" w:cstheme="majorHAnsi"/>
          <w:bCs/>
          <w:color w:val="000000"/>
          <w:sz w:val="24"/>
          <w:szCs w:val="24"/>
        </w:rPr>
      </w:pPr>
      <w:r w:rsidRPr="00CB5F81">
        <w:rPr>
          <w:rFonts w:asciiTheme="majorHAnsi" w:hAnsiTheme="majorHAnsi" w:cstheme="majorHAnsi"/>
          <w:bCs/>
          <w:color w:val="000000"/>
          <w:sz w:val="24"/>
          <w:szCs w:val="24"/>
        </w:rPr>
        <w:lastRenderedPageBreak/>
        <w:t>Acest regim special a fost catalogat de M</w:t>
      </w:r>
      <w:r w:rsidR="00DC66D0">
        <w:rPr>
          <w:rFonts w:asciiTheme="majorHAnsi" w:hAnsiTheme="majorHAnsi" w:cstheme="majorHAnsi"/>
          <w:bCs/>
          <w:color w:val="000000"/>
          <w:sz w:val="24"/>
          <w:szCs w:val="24"/>
        </w:rPr>
        <w:t>F</w:t>
      </w:r>
      <w:r w:rsidRPr="00CB5F81">
        <w:rPr>
          <w:rFonts w:asciiTheme="majorHAnsi" w:hAnsiTheme="majorHAnsi" w:cstheme="majorHAnsi"/>
          <w:bCs/>
          <w:color w:val="000000"/>
          <w:sz w:val="24"/>
          <w:szCs w:val="24"/>
        </w:rPr>
        <w:t xml:space="preserve"> ca facilitate fiscală, inclusă </w:t>
      </w:r>
      <w:r w:rsidRPr="00526D44">
        <w:rPr>
          <w:rFonts w:asciiTheme="majorHAnsi" w:hAnsiTheme="majorHAnsi" w:cstheme="majorHAnsi"/>
          <w:bCs/>
          <w:color w:val="000000"/>
          <w:sz w:val="24"/>
          <w:szCs w:val="24"/>
        </w:rPr>
        <w:t xml:space="preserve">în Registrul unic </w:t>
      </w:r>
      <w:r w:rsidR="006749A3" w:rsidRPr="00526D44">
        <w:rPr>
          <w:rFonts w:asciiTheme="majorHAnsi" w:hAnsiTheme="majorHAnsi" w:cstheme="majorHAnsi"/>
          <w:bCs/>
          <w:color w:val="000000"/>
          <w:sz w:val="24"/>
          <w:szCs w:val="24"/>
        </w:rPr>
        <w:t xml:space="preserve">al </w:t>
      </w:r>
      <w:r w:rsidR="006749A3" w:rsidRPr="00526D44">
        <w:rPr>
          <w:rFonts w:asciiTheme="majorHAnsi" w:hAnsiTheme="majorHAnsi" w:cstheme="majorHAnsi"/>
          <w:bCs/>
          <w:sz w:val="24"/>
          <w:szCs w:val="24"/>
        </w:rPr>
        <w:t>facilităților</w:t>
      </w:r>
      <w:r w:rsidR="006D7C36" w:rsidRPr="00526D44">
        <w:rPr>
          <w:rFonts w:asciiTheme="majorHAnsi" w:hAnsiTheme="majorHAnsi" w:cstheme="majorHAnsi"/>
          <w:bCs/>
          <w:sz w:val="24"/>
          <w:szCs w:val="24"/>
        </w:rPr>
        <w:t xml:space="preserve"> fiscale</w:t>
      </w:r>
      <w:r w:rsidR="00D95700" w:rsidRPr="00526D44">
        <w:rPr>
          <w:rFonts w:asciiTheme="majorHAnsi" w:hAnsiTheme="majorHAnsi" w:cstheme="majorHAnsi"/>
          <w:bCs/>
          <w:sz w:val="24"/>
          <w:szCs w:val="24"/>
        </w:rPr>
        <w:t>.</w:t>
      </w:r>
      <w:r w:rsidR="006749A3" w:rsidRPr="00526D44">
        <w:rPr>
          <w:rFonts w:asciiTheme="majorHAnsi" w:hAnsiTheme="majorHAnsi" w:cstheme="majorHAnsi"/>
          <w:bCs/>
          <w:sz w:val="24"/>
          <w:szCs w:val="24"/>
        </w:rPr>
        <w:t xml:space="preserve"> </w:t>
      </w:r>
      <w:r w:rsidR="004C4C80" w:rsidRPr="00526D44">
        <w:rPr>
          <w:rFonts w:asciiTheme="majorHAnsi" w:hAnsiTheme="majorHAnsi" w:cstheme="majorHAnsi"/>
          <w:bCs/>
          <w:color w:val="000000"/>
          <w:sz w:val="24"/>
          <w:szCs w:val="24"/>
        </w:rPr>
        <w:t xml:space="preserve">Totodată, </w:t>
      </w:r>
      <w:r w:rsidR="006749A3" w:rsidRPr="00526D44">
        <w:rPr>
          <w:rFonts w:asciiTheme="majorHAnsi" w:hAnsiTheme="majorHAnsi" w:cstheme="majorHAnsi"/>
          <w:bCs/>
          <w:color w:val="000000"/>
          <w:sz w:val="24"/>
          <w:szCs w:val="24"/>
        </w:rPr>
        <w:t>SFS are o altă viziune</w:t>
      </w:r>
      <w:r w:rsidR="00A908E1" w:rsidRPr="00526D44">
        <w:rPr>
          <w:rFonts w:asciiTheme="majorHAnsi" w:hAnsiTheme="majorHAnsi" w:cstheme="majorHAnsi"/>
          <w:bCs/>
          <w:color w:val="000000"/>
          <w:sz w:val="24"/>
          <w:szCs w:val="24"/>
        </w:rPr>
        <w:t>,</w:t>
      </w:r>
      <w:r w:rsidR="006749A3" w:rsidRPr="00526D44">
        <w:rPr>
          <w:rFonts w:asciiTheme="majorHAnsi" w:hAnsiTheme="majorHAnsi" w:cstheme="majorHAnsi"/>
          <w:bCs/>
          <w:color w:val="000000"/>
          <w:sz w:val="24"/>
          <w:szCs w:val="24"/>
        </w:rPr>
        <w:t xml:space="preserve"> explicând că nu a estimat și ra</w:t>
      </w:r>
      <w:r w:rsidR="006749A3" w:rsidRPr="00CB5F81">
        <w:rPr>
          <w:rFonts w:asciiTheme="majorHAnsi" w:hAnsiTheme="majorHAnsi" w:cstheme="majorHAnsi"/>
          <w:bCs/>
          <w:color w:val="000000"/>
          <w:sz w:val="24"/>
          <w:szCs w:val="24"/>
        </w:rPr>
        <w:t>portat în Registru</w:t>
      </w:r>
      <w:r w:rsidR="004F0940">
        <w:rPr>
          <w:rFonts w:asciiTheme="majorHAnsi" w:hAnsiTheme="majorHAnsi" w:cstheme="majorHAnsi"/>
          <w:bCs/>
          <w:color w:val="000000"/>
          <w:sz w:val="24"/>
          <w:szCs w:val="24"/>
        </w:rPr>
        <w:t xml:space="preserve"> </w:t>
      </w:r>
      <w:r w:rsidR="00EC1EAF">
        <w:rPr>
          <w:rFonts w:asciiTheme="majorHAnsi" w:hAnsiTheme="majorHAnsi" w:cstheme="majorHAnsi"/>
          <w:bCs/>
          <w:color w:val="000000"/>
          <w:sz w:val="24"/>
          <w:szCs w:val="24"/>
        </w:rPr>
        <w:t xml:space="preserve"> </w:t>
      </w:r>
      <w:r w:rsidR="001D231C" w:rsidRPr="00CB5F81">
        <w:rPr>
          <w:rFonts w:asciiTheme="majorHAnsi" w:hAnsiTheme="majorHAnsi" w:cstheme="majorHAnsi"/>
          <w:bCs/>
          <w:color w:val="000000"/>
          <w:sz w:val="24"/>
          <w:szCs w:val="24"/>
        </w:rPr>
        <w:t>această</w:t>
      </w:r>
      <w:r w:rsidR="00EC1EAF">
        <w:rPr>
          <w:rFonts w:asciiTheme="majorHAnsi" w:hAnsiTheme="majorHAnsi" w:cstheme="majorHAnsi"/>
          <w:bCs/>
          <w:color w:val="000000"/>
          <w:sz w:val="24"/>
          <w:szCs w:val="24"/>
        </w:rPr>
        <w:t xml:space="preserve"> </w:t>
      </w:r>
      <w:r w:rsidR="001D231C" w:rsidRPr="00CB5F81">
        <w:rPr>
          <w:rFonts w:asciiTheme="majorHAnsi" w:hAnsiTheme="majorHAnsi" w:cstheme="majorHAnsi"/>
          <w:bCs/>
          <w:color w:val="000000"/>
          <w:sz w:val="24"/>
          <w:szCs w:val="24"/>
        </w:rPr>
        <w:t>înlesnire</w:t>
      </w:r>
      <w:r w:rsidR="004F0940">
        <w:rPr>
          <w:rFonts w:asciiTheme="majorHAnsi" w:hAnsiTheme="majorHAnsi" w:cstheme="majorHAnsi"/>
          <w:bCs/>
          <w:color w:val="000000"/>
          <w:sz w:val="24"/>
          <w:szCs w:val="24"/>
        </w:rPr>
        <w:t>,</w:t>
      </w:r>
      <w:r w:rsidR="001D231C" w:rsidRPr="00CB5F81">
        <w:rPr>
          <w:rFonts w:asciiTheme="majorHAnsi" w:hAnsiTheme="majorHAnsi" w:cstheme="majorHAnsi"/>
          <w:bCs/>
          <w:color w:val="000000"/>
          <w:sz w:val="24"/>
          <w:szCs w:val="24"/>
        </w:rPr>
        <w:t xml:space="preserve"> „</w:t>
      </w:r>
      <w:r w:rsidR="006749A3" w:rsidRPr="00CB5F81">
        <w:t xml:space="preserve"> </w:t>
      </w:r>
      <w:r w:rsidR="006749A3" w:rsidRPr="00CB5F81">
        <w:rPr>
          <w:rFonts w:asciiTheme="majorHAnsi" w:hAnsiTheme="majorHAnsi" w:cstheme="majorHAnsi"/>
          <w:bCs/>
          <w:color w:val="000000"/>
          <w:sz w:val="24"/>
          <w:szCs w:val="24"/>
        </w:rPr>
        <w:t xml:space="preserve">dat fiind faptul că regimul special de impozitare nu reprezintă facilitate fiscală de care urmează a se </w:t>
      </w:r>
      <w:r w:rsidR="00FD6E4A">
        <w:rPr>
          <w:rFonts w:asciiTheme="majorHAnsi" w:hAnsiTheme="majorHAnsi" w:cstheme="majorHAnsi"/>
          <w:bCs/>
          <w:color w:val="000000"/>
          <w:sz w:val="24"/>
          <w:szCs w:val="24"/>
        </w:rPr>
        <w:t>ț</w:t>
      </w:r>
      <w:r w:rsidR="00FD6E4A" w:rsidRPr="00CB5F81">
        <w:rPr>
          <w:rFonts w:asciiTheme="majorHAnsi" w:hAnsiTheme="majorHAnsi" w:cstheme="majorHAnsi"/>
          <w:bCs/>
          <w:color w:val="000000"/>
          <w:sz w:val="24"/>
          <w:szCs w:val="24"/>
        </w:rPr>
        <w:t>ine</w:t>
      </w:r>
      <w:r w:rsidR="006749A3" w:rsidRPr="00CB5F81">
        <w:rPr>
          <w:rFonts w:asciiTheme="majorHAnsi" w:hAnsiTheme="majorHAnsi" w:cstheme="majorHAnsi"/>
          <w:bCs/>
          <w:color w:val="000000"/>
          <w:sz w:val="24"/>
          <w:szCs w:val="24"/>
        </w:rPr>
        <w:t xml:space="preserve"> cont la estimarea venitului impozabil”. </w:t>
      </w:r>
    </w:p>
    <w:p w:rsidR="00296824" w:rsidRPr="00CB5F81" w:rsidRDefault="001D231C" w:rsidP="005F3812">
      <w:pPr>
        <w:tabs>
          <w:tab w:val="left" w:pos="270"/>
          <w:tab w:val="left" w:pos="450"/>
          <w:tab w:val="left" w:pos="540"/>
        </w:tabs>
        <w:spacing w:line="312" w:lineRule="exact"/>
        <w:jc w:val="both"/>
        <w:rPr>
          <w:rFonts w:asciiTheme="majorHAnsi" w:hAnsiTheme="majorHAnsi" w:cstheme="majorHAnsi"/>
          <w:color w:val="000000"/>
          <w:sz w:val="24"/>
          <w:szCs w:val="24"/>
          <w:lang w:eastAsia="ro-RO" w:bidi="ro-RO"/>
        </w:rPr>
      </w:pPr>
      <w:r w:rsidRPr="00CB5F81">
        <w:rPr>
          <w:rFonts w:asciiTheme="majorHAnsi" w:hAnsiTheme="majorHAnsi" w:cstheme="majorHAnsi"/>
          <w:sz w:val="24"/>
          <w:szCs w:val="24"/>
        </w:rPr>
        <w:t>A</w:t>
      </w:r>
      <w:r w:rsidR="005B5BEA" w:rsidRPr="00CB5F81">
        <w:rPr>
          <w:rFonts w:asciiTheme="majorHAnsi" w:hAnsiTheme="majorHAnsi" w:cstheme="majorHAnsi"/>
          <w:sz w:val="24"/>
          <w:szCs w:val="24"/>
        </w:rPr>
        <w:t xml:space="preserve">uditul </w:t>
      </w:r>
      <w:r w:rsidR="008A229A" w:rsidRPr="003B791A">
        <w:rPr>
          <w:rFonts w:asciiTheme="majorHAnsi" w:hAnsiTheme="majorHAnsi" w:cstheme="majorHAnsi"/>
          <w:sz w:val="24"/>
          <w:szCs w:val="24"/>
        </w:rPr>
        <w:t xml:space="preserve">public extern </w:t>
      </w:r>
      <w:r w:rsidR="005B5BEA" w:rsidRPr="003B791A">
        <w:rPr>
          <w:rFonts w:asciiTheme="majorHAnsi" w:hAnsiTheme="majorHAnsi" w:cstheme="majorHAnsi"/>
          <w:sz w:val="24"/>
          <w:szCs w:val="24"/>
        </w:rPr>
        <w:t>a constat</w:t>
      </w:r>
      <w:r w:rsidR="00E0054C" w:rsidRPr="003B791A">
        <w:rPr>
          <w:rFonts w:asciiTheme="majorHAnsi" w:hAnsiTheme="majorHAnsi" w:cstheme="majorHAnsi"/>
          <w:sz w:val="24"/>
          <w:szCs w:val="24"/>
        </w:rPr>
        <w:t>at</w:t>
      </w:r>
      <w:r w:rsidR="005B5BEA" w:rsidRPr="003B791A">
        <w:rPr>
          <w:rFonts w:asciiTheme="majorHAnsi" w:hAnsiTheme="majorHAnsi" w:cstheme="majorHAnsi"/>
          <w:sz w:val="24"/>
          <w:szCs w:val="24"/>
        </w:rPr>
        <w:t xml:space="preserve"> că</w:t>
      </w:r>
      <w:r w:rsidR="004F0940">
        <w:rPr>
          <w:rFonts w:asciiTheme="majorHAnsi" w:hAnsiTheme="majorHAnsi" w:cstheme="majorHAnsi"/>
          <w:sz w:val="24"/>
          <w:szCs w:val="24"/>
        </w:rPr>
        <w:t>,</w:t>
      </w:r>
      <w:r w:rsidR="00AE63D0" w:rsidRPr="003B791A">
        <w:rPr>
          <w:rFonts w:asciiTheme="majorHAnsi" w:hAnsiTheme="majorHAnsi" w:cstheme="majorHAnsi"/>
          <w:sz w:val="24"/>
          <w:szCs w:val="24"/>
        </w:rPr>
        <w:t xml:space="preserve"> urmare</w:t>
      </w:r>
      <w:r w:rsidR="00AE63D0" w:rsidRPr="00CB5F81">
        <w:rPr>
          <w:rFonts w:asciiTheme="majorHAnsi" w:hAnsiTheme="majorHAnsi" w:cstheme="majorHAnsi"/>
          <w:sz w:val="24"/>
          <w:szCs w:val="24"/>
        </w:rPr>
        <w:t xml:space="preserve"> </w:t>
      </w:r>
      <w:r w:rsidR="00AE63D0" w:rsidRPr="00CB5F81">
        <w:rPr>
          <w:rFonts w:asciiTheme="majorHAnsi" w:hAnsiTheme="majorHAnsi" w:cstheme="majorHAnsi"/>
          <w:color w:val="000000"/>
          <w:sz w:val="24"/>
          <w:szCs w:val="24"/>
          <w:lang w:eastAsia="ro-RO" w:bidi="ro-RO"/>
        </w:rPr>
        <w:t>notificării</w:t>
      </w:r>
      <w:r w:rsidR="005F3812" w:rsidRPr="00CB5F81">
        <w:rPr>
          <w:rFonts w:asciiTheme="majorHAnsi" w:hAnsiTheme="majorHAnsi" w:cstheme="majorHAnsi"/>
          <w:color w:val="000000"/>
          <w:sz w:val="24"/>
          <w:szCs w:val="24"/>
          <w:lang w:eastAsia="ro-RO" w:bidi="ro-RO"/>
        </w:rPr>
        <w:t xml:space="preserve"> Consiliului Concurenței</w:t>
      </w:r>
      <w:r w:rsidR="00AE63D0" w:rsidRPr="00CB5F81">
        <w:rPr>
          <w:rFonts w:asciiTheme="majorHAnsi" w:hAnsiTheme="majorHAnsi" w:cstheme="majorHAnsi"/>
          <w:color w:val="000000"/>
          <w:sz w:val="24"/>
          <w:szCs w:val="24"/>
          <w:lang w:eastAsia="ro-RO" w:bidi="ro-RO"/>
        </w:rPr>
        <w:t xml:space="preserve"> de </w:t>
      </w:r>
      <w:r w:rsidR="00AE63D0" w:rsidRPr="007B162D">
        <w:rPr>
          <w:rFonts w:asciiTheme="majorHAnsi" w:hAnsiTheme="majorHAnsi" w:cstheme="majorHAnsi"/>
          <w:color w:val="000000"/>
          <w:sz w:val="24"/>
          <w:szCs w:val="24"/>
          <w:lang w:eastAsia="ro-RO" w:bidi="ro-RO"/>
        </w:rPr>
        <w:t>către M</w:t>
      </w:r>
      <w:r w:rsidR="007B162D">
        <w:rPr>
          <w:rFonts w:asciiTheme="majorHAnsi" w:hAnsiTheme="majorHAnsi" w:cstheme="majorHAnsi"/>
          <w:color w:val="000000"/>
          <w:sz w:val="24"/>
          <w:szCs w:val="24"/>
          <w:lang w:eastAsia="ro-RO" w:bidi="ro-RO"/>
        </w:rPr>
        <w:t xml:space="preserve">inisterul </w:t>
      </w:r>
      <w:r w:rsidR="00DC66D0" w:rsidRPr="007B162D">
        <w:rPr>
          <w:rFonts w:asciiTheme="majorHAnsi" w:hAnsiTheme="majorHAnsi" w:cstheme="majorHAnsi"/>
          <w:color w:val="000000"/>
          <w:sz w:val="24"/>
          <w:szCs w:val="24"/>
          <w:lang w:eastAsia="ro-RO" w:bidi="ro-RO"/>
        </w:rPr>
        <w:t>E</w:t>
      </w:r>
      <w:r w:rsidR="007B162D">
        <w:rPr>
          <w:rFonts w:asciiTheme="majorHAnsi" w:hAnsiTheme="majorHAnsi" w:cstheme="majorHAnsi"/>
          <w:color w:val="000000"/>
          <w:sz w:val="24"/>
          <w:szCs w:val="24"/>
          <w:lang w:eastAsia="ro-RO" w:bidi="ro-RO"/>
        </w:rPr>
        <w:t>conomiei</w:t>
      </w:r>
      <w:r w:rsidR="00AE63D0" w:rsidRPr="007B162D">
        <w:rPr>
          <w:rFonts w:asciiTheme="majorHAnsi" w:hAnsiTheme="majorHAnsi" w:cstheme="majorHAnsi"/>
          <w:color w:val="000000"/>
          <w:sz w:val="24"/>
          <w:szCs w:val="24"/>
          <w:lang w:eastAsia="ro-RO" w:bidi="ro-RO"/>
        </w:rPr>
        <w:t xml:space="preserve"> și Infrastructurii </w:t>
      </w:r>
      <w:r w:rsidR="00062B7C" w:rsidRPr="007B162D">
        <w:rPr>
          <w:rFonts w:asciiTheme="majorHAnsi" w:hAnsiTheme="majorHAnsi" w:cstheme="majorHAnsi"/>
          <w:color w:val="000000"/>
          <w:sz w:val="24"/>
          <w:szCs w:val="24"/>
          <w:lang w:eastAsia="ro-RO" w:bidi="ro-RO"/>
        </w:rPr>
        <w:t>despre</w:t>
      </w:r>
      <w:r w:rsidR="00AE63D0" w:rsidRPr="007B162D">
        <w:rPr>
          <w:rFonts w:asciiTheme="majorHAnsi" w:hAnsiTheme="majorHAnsi" w:cstheme="majorHAnsi"/>
          <w:color w:val="000000"/>
          <w:sz w:val="24"/>
          <w:szCs w:val="24"/>
          <w:lang w:eastAsia="ro-RO" w:bidi="ro-RO"/>
        </w:rPr>
        <w:t xml:space="preserve"> măsur</w:t>
      </w:r>
      <w:r w:rsidR="00062B7C" w:rsidRPr="007B162D">
        <w:rPr>
          <w:rFonts w:asciiTheme="majorHAnsi" w:hAnsiTheme="majorHAnsi" w:cstheme="majorHAnsi"/>
          <w:color w:val="000000"/>
          <w:sz w:val="24"/>
          <w:szCs w:val="24"/>
          <w:lang w:eastAsia="ro-RO" w:bidi="ro-RO"/>
        </w:rPr>
        <w:t>a</w:t>
      </w:r>
      <w:r w:rsidR="00AE63D0" w:rsidRPr="007B162D">
        <w:rPr>
          <w:rFonts w:asciiTheme="majorHAnsi" w:hAnsiTheme="majorHAnsi" w:cstheme="majorHAnsi"/>
          <w:color w:val="000000"/>
          <w:sz w:val="24"/>
          <w:szCs w:val="24"/>
          <w:lang w:eastAsia="ro-RO" w:bidi="ro-RO"/>
        </w:rPr>
        <w:t xml:space="preserve"> de sprijin acordată rezidenților parcului din domeniul tehnologiei informației „Moldova IT Park”, </w:t>
      </w:r>
      <w:r w:rsidRPr="007B162D">
        <w:rPr>
          <w:rFonts w:asciiTheme="majorHAnsi" w:hAnsiTheme="majorHAnsi" w:cstheme="majorHAnsi"/>
          <w:color w:val="000000"/>
          <w:sz w:val="24"/>
          <w:szCs w:val="24"/>
          <w:lang w:eastAsia="ro-RO" w:bidi="ro-RO"/>
        </w:rPr>
        <w:t xml:space="preserve">subiectul dat a fost analizat de către </w:t>
      </w:r>
      <w:r w:rsidRPr="007B162D">
        <w:rPr>
          <w:rFonts w:asciiTheme="majorHAnsi" w:hAnsiTheme="majorHAnsi" w:cstheme="majorHAnsi"/>
          <w:sz w:val="24"/>
          <w:szCs w:val="24"/>
        </w:rPr>
        <w:t>Plenu</w:t>
      </w:r>
      <w:r w:rsidR="003B791A" w:rsidRPr="007B162D">
        <w:rPr>
          <w:rFonts w:asciiTheme="majorHAnsi" w:hAnsiTheme="majorHAnsi" w:cstheme="majorHAnsi"/>
          <w:sz w:val="24"/>
          <w:szCs w:val="24"/>
        </w:rPr>
        <w:t>l Consiliului Concurenței</w:t>
      </w:r>
      <w:r w:rsidR="003B791A">
        <w:rPr>
          <w:rFonts w:asciiTheme="majorHAnsi" w:hAnsiTheme="majorHAnsi" w:cstheme="majorHAnsi"/>
          <w:sz w:val="24"/>
          <w:szCs w:val="24"/>
        </w:rPr>
        <w:t>, care</w:t>
      </w:r>
      <w:r w:rsidRPr="00CB5F81">
        <w:rPr>
          <w:rFonts w:asciiTheme="majorHAnsi" w:hAnsiTheme="majorHAnsi" w:cstheme="majorHAnsi"/>
          <w:sz w:val="24"/>
          <w:szCs w:val="24"/>
        </w:rPr>
        <w:t xml:space="preserve"> </w:t>
      </w:r>
      <w:r w:rsidR="008A229A" w:rsidRPr="003B791A">
        <w:rPr>
          <w:rFonts w:asciiTheme="majorHAnsi" w:hAnsiTheme="majorHAnsi" w:cstheme="majorHAnsi"/>
          <w:sz w:val="24"/>
          <w:szCs w:val="24"/>
        </w:rPr>
        <w:t xml:space="preserve">a notat </w:t>
      </w:r>
      <w:r w:rsidR="00AE63D0" w:rsidRPr="003B791A">
        <w:rPr>
          <w:rFonts w:asciiTheme="majorHAnsi" w:hAnsiTheme="majorHAnsi" w:cstheme="majorHAnsi"/>
          <w:color w:val="000000"/>
          <w:sz w:val="24"/>
          <w:szCs w:val="24"/>
          <w:lang w:eastAsia="ro-RO" w:bidi="ro-RO"/>
        </w:rPr>
        <w:t>că rezidenții</w:t>
      </w:r>
      <w:r w:rsidR="00AE63D0" w:rsidRPr="00CB5F81">
        <w:rPr>
          <w:rFonts w:asciiTheme="majorHAnsi" w:hAnsiTheme="majorHAnsi" w:cstheme="majorHAnsi"/>
          <w:color w:val="000000"/>
          <w:sz w:val="24"/>
          <w:szCs w:val="24"/>
          <w:lang w:eastAsia="ro-RO" w:bidi="ro-RO"/>
        </w:rPr>
        <w:t xml:space="preserve"> beneficiază de o reducere a </w:t>
      </w:r>
      <w:r w:rsidR="00AE63D0" w:rsidRPr="00CB5F81">
        <w:rPr>
          <w:rFonts w:asciiTheme="majorHAnsi" w:hAnsiTheme="majorHAnsi" w:cstheme="majorHAnsi"/>
          <w:i/>
          <w:color w:val="000000"/>
          <w:sz w:val="24"/>
          <w:szCs w:val="24"/>
          <w:lang w:eastAsia="ro-RO" w:bidi="ro-RO"/>
        </w:rPr>
        <w:t>poverii fiscale</w:t>
      </w:r>
      <w:r w:rsidR="00AE63D0" w:rsidRPr="00CB5F81">
        <w:rPr>
          <w:rFonts w:asciiTheme="majorHAnsi" w:hAnsiTheme="majorHAnsi" w:cstheme="majorHAnsi"/>
          <w:color w:val="000000"/>
          <w:sz w:val="24"/>
          <w:szCs w:val="24"/>
          <w:lang w:eastAsia="ro-RO" w:bidi="ro-RO"/>
        </w:rPr>
        <w:t xml:space="preserve">, iar măsura de susținere </w:t>
      </w:r>
      <w:r w:rsidR="00062B7C">
        <w:rPr>
          <w:rFonts w:asciiTheme="majorHAnsi" w:hAnsiTheme="majorHAnsi" w:cstheme="majorHAnsi"/>
          <w:color w:val="000000"/>
          <w:sz w:val="24"/>
          <w:szCs w:val="24"/>
          <w:lang w:eastAsia="ro-RO" w:bidi="ro-RO"/>
        </w:rPr>
        <w:t xml:space="preserve">este </w:t>
      </w:r>
      <w:r w:rsidR="00AE63D0" w:rsidRPr="00CB5F81">
        <w:rPr>
          <w:rFonts w:asciiTheme="majorHAnsi" w:hAnsiTheme="majorHAnsi" w:cstheme="majorHAnsi"/>
          <w:color w:val="000000"/>
          <w:sz w:val="24"/>
          <w:szCs w:val="24"/>
          <w:lang w:eastAsia="ro-RO" w:bidi="ro-RO"/>
        </w:rPr>
        <w:t xml:space="preserve"> atribuită la ajutor de stat</w:t>
      </w:r>
      <w:r w:rsidR="00AE63D0" w:rsidRPr="00CB5F81">
        <w:rPr>
          <w:rStyle w:val="FootnoteReference"/>
          <w:rFonts w:asciiTheme="majorHAnsi" w:hAnsiTheme="majorHAnsi" w:cstheme="majorHAnsi"/>
          <w:color w:val="000000"/>
          <w:sz w:val="24"/>
          <w:szCs w:val="24"/>
          <w:lang w:eastAsia="ro-RO" w:bidi="ro-RO"/>
        </w:rPr>
        <w:footnoteReference w:id="31"/>
      </w:r>
      <w:r w:rsidR="00AE63D0" w:rsidRPr="00CB5F81">
        <w:rPr>
          <w:rFonts w:asciiTheme="majorHAnsi" w:hAnsiTheme="majorHAnsi" w:cstheme="majorHAnsi"/>
          <w:color w:val="000000"/>
          <w:sz w:val="24"/>
          <w:szCs w:val="24"/>
          <w:lang w:eastAsia="ro-RO" w:bidi="ro-RO"/>
        </w:rPr>
        <w:t>.</w:t>
      </w:r>
      <w:r w:rsidR="00EC1EAF">
        <w:rPr>
          <w:rFonts w:asciiTheme="majorHAnsi" w:hAnsiTheme="majorHAnsi" w:cstheme="majorHAnsi"/>
          <w:color w:val="000000"/>
          <w:sz w:val="24"/>
          <w:szCs w:val="24"/>
          <w:lang w:eastAsia="ro-RO" w:bidi="ro-RO"/>
        </w:rPr>
        <w:t xml:space="preserve"> </w:t>
      </w:r>
      <w:r w:rsidR="00E87B85" w:rsidRPr="00CB5F81">
        <w:rPr>
          <w:rFonts w:asciiTheme="majorHAnsi" w:hAnsiTheme="majorHAnsi" w:cstheme="majorHAnsi"/>
          <w:color w:val="000000"/>
          <w:sz w:val="24"/>
          <w:szCs w:val="24"/>
          <w:lang w:eastAsia="ro-RO" w:bidi="ro-RO"/>
        </w:rPr>
        <w:t>Conform datelor prezentate Consiliului Concurenței</w:t>
      </w:r>
      <w:r w:rsidR="00E87B85" w:rsidRPr="00CB5F81">
        <w:rPr>
          <w:rStyle w:val="FootnoteReference"/>
          <w:rFonts w:asciiTheme="majorHAnsi" w:hAnsiTheme="majorHAnsi" w:cstheme="majorHAnsi"/>
          <w:color w:val="000000"/>
          <w:sz w:val="24"/>
          <w:szCs w:val="24"/>
          <w:lang w:eastAsia="ro-RO" w:bidi="ro-RO"/>
        </w:rPr>
        <w:footnoteReference w:id="32"/>
      </w:r>
      <w:r w:rsidR="00E87B85" w:rsidRPr="00CB5F81">
        <w:rPr>
          <w:rFonts w:asciiTheme="majorHAnsi" w:hAnsiTheme="majorHAnsi" w:cstheme="majorHAnsi"/>
          <w:color w:val="000000"/>
          <w:sz w:val="24"/>
          <w:szCs w:val="24"/>
          <w:lang w:eastAsia="ro-RO" w:bidi="ro-RO"/>
        </w:rPr>
        <w:t xml:space="preserve"> de către SFS</w:t>
      </w:r>
      <w:r w:rsidR="00062B7C">
        <w:rPr>
          <w:rFonts w:asciiTheme="majorHAnsi" w:hAnsiTheme="majorHAnsi" w:cstheme="majorHAnsi"/>
          <w:color w:val="000000"/>
          <w:sz w:val="24"/>
          <w:szCs w:val="24"/>
          <w:lang w:eastAsia="ro-RO" w:bidi="ro-RO"/>
        </w:rPr>
        <w:t>,</w:t>
      </w:r>
      <w:r w:rsidR="005B1D53" w:rsidRPr="00CB5F81">
        <w:rPr>
          <w:rFonts w:asciiTheme="majorHAnsi" w:hAnsiTheme="majorHAnsi" w:cstheme="majorHAnsi"/>
          <w:color w:val="000000"/>
          <w:sz w:val="24"/>
          <w:szCs w:val="24"/>
          <w:lang w:eastAsia="ro-RO" w:bidi="ro-RO"/>
        </w:rPr>
        <w:t xml:space="preserve"> în anul 2020 a fost raportată ca ajutor de stat</w:t>
      </w:r>
      <w:r w:rsidR="00EC1EAF">
        <w:rPr>
          <w:rFonts w:asciiTheme="majorHAnsi" w:hAnsiTheme="majorHAnsi" w:cstheme="majorHAnsi"/>
          <w:color w:val="000000"/>
          <w:sz w:val="24"/>
          <w:szCs w:val="24"/>
          <w:lang w:eastAsia="ro-RO" w:bidi="ro-RO"/>
        </w:rPr>
        <w:t xml:space="preserve"> </w:t>
      </w:r>
      <w:r w:rsidR="005B1D53" w:rsidRPr="00CB5F81">
        <w:rPr>
          <w:rFonts w:asciiTheme="majorHAnsi" w:hAnsiTheme="majorHAnsi" w:cstheme="majorHAnsi"/>
          <w:color w:val="000000"/>
          <w:sz w:val="24"/>
          <w:szCs w:val="24"/>
          <w:lang w:eastAsia="ro-RO" w:bidi="ro-RO"/>
        </w:rPr>
        <w:t xml:space="preserve">suma impozitului unic  de 33,8 </w:t>
      </w:r>
      <w:r w:rsidR="00726434" w:rsidRPr="00CB5F81">
        <w:rPr>
          <w:rFonts w:asciiTheme="majorHAnsi" w:hAnsiTheme="majorHAnsi" w:cstheme="majorHAnsi"/>
          <w:color w:val="000000"/>
          <w:sz w:val="24"/>
          <w:szCs w:val="24"/>
          <w:lang w:eastAsia="ro-RO" w:bidi="ro-RO"/>
        </w:rPr>
        <w:t>mil.</w:t>
      </w:r>
      <w:r w:rsidR="005B1D53" w:rsidRPr="00CB5F81">
        <w:rPr>
          <w:rFonts w:asciiTheme="majorHAnsi" w:hAnsiTheme="majorHAnsi" w:cstheme="majorHAnsi"/>
          <w:color w:val="000000"/>
          <w:sz w:val="24"/>
          <w:szCs w:val="24"/>
          <w:lang w:eastAsia="ro-RO" w:bidi="ro-RO"/>
        </w:rPr>
        <w:t>lei</w:t>
      </w:r>
      <w:r w:rsidR="00342344" w:rsidRPr="00CB5F81">
        <w:rPr>
          <w:rFonts w:asciiTheme="majorHAnsi" w:hAnsiTheme="majorHAnsi" w:cstheme="majorHAnsi"/>
          <w:color w:val="000000"/>
          <w:sz w:val="24"/>
          <w:szCs w:val="24"/>
          <w:lang w:eastAsia="ro-RO" w:bidi="ro-RO"/>
        </w:rPr>
        <w:t>, nefiind calculat</w:t>
      </w:r>
      <w:r w:rsidR="00B4498A" w:rsidRPr="00CB5F81">
        <w:rPr>
          <w:rFonts w:asciiTheme="majorHAnsi" w:hAnsiTheme="majorHAnsi" w:cstheme="majorHAnsi"/>
          <w:color w:val="000000"/>
          <w:sz w:val="24"/>
          <w:szCs w:val="24"/>
          <w:lang w:eastAsia="ro-RO" w:bidi="ro-RO"/>
        </w:rPr>
        <w:t xml:space="preserve">ă facilitatea </w:t>
      </w:r>
      <w:r w:rsidR="00342344" w:rsidRPr="00CB5F81">
        <w:rPr>
          <w:rFonts w:asciiTheme="majorHAnsi" w:hAnsiTheme="majorHAnsi" w:cstheme="majorHAnsi"/>
          <w:color w:val="000000"/>
          <w:sz w:val="24"/>
          <w:szCs w:val="24"/>
          <w:lang w:eastAsia="ro-RO" w:bidi="ro-RO"/>
        </w:rPr>
        <w:t>efectivă a beneficiarilor</w:t>
      </w:r>
      <w:r w:rsidR="00296824" w:rsidRPr="00CB5F81">
        <w:rPr>
          <w:rFonts w:asciiTheme="majorHAnsi" w:hAnsiTheme="majorHAnsi" w:cstheme="majorHAnsi"/>
          <w:color w:val="000000"/>
          <w:sz w:val="24"/>
          <w:szCs w:val="24"/>
          <w:lang w:eastAsia="ro-RO" w:bidi="ro-RO"/>
        </w:rPr>
        <w:t xml:space="preserve">. Astfel, </w:t>
      </w:r>
      <w:r w:rsidR="00844B18" w:rsidRPr="00CB5F81">
        <w:rPr>
          <w:rFonts w:asciiTheme="majorHAnsi" w:hAnsiTheme="majorHAnsi" w:cstheme="majorHAnsi"/>
          <w:color w:val="000000"/>
          <w:sz w:val="24"/>
          <w:szCs w:val="24"/>
          <w:lang w:eastAsia="ro-RO" w:bidi="ro-RO"/>
        </w:rPr>
        <w:t>conform „Analizei modelului impozitului unic și a facilităților la import pentru rezidenții parcurilor din industria tehnologiei”</w:t>
      </w:r>
      <w:r w:rsidR="00062B7C">
        <w:rPr>
          <w:rFonts w:asciiTheme="majorHAnsi" w:hAnsiTheme="majorHAnsi" w:cstheme="majorHAnsi"/>
          <w:color w:val="000000"/>
          <w:sz w:val="24"/>
          <w:szCs w:val="24"/>
          <w:lang w:eastAsia="ro-RO" w:bidi="ro-RO"/>
        </w:rPr>
        <w:t>,</w:t>
      </w:r>
      <w:r w:rsidR="00296824" w:rsidRPr="00CB5F81">
        <w:rPr>
          <w:rFonts w:asciiTheme="majorHAnsi" w:hAnsiTheme="majorHAnsi" w:cstheme="majorHAnsi"/>
          <w:color w:val="000000"/>
          <w:sz w:val="24"/>
          <w:szCs w:val="24"/>
          <w:lang w:eastAsia="ro-RO" w:bidi="ro-RO"/>
        </w:rPr>
        <w:t xml:space="preserve"> acesta</w:t>
      </w:r>
      <w:r w:rsidR="00EC1EAF">
        <w:rPr>
          <w:rFonts w:asciiTheme="majorHAnsi" w:hAnsiTheme="majorHAnsi" w:cstheme="majorHAnsi"/>
          <w:color w:val="000000"/>
          <w:sz w:val="24"/>
          <w:szCs w:val="24"/>
          <w:lang w:eastAsia="ro-RO" w:bidi="ro-RO"/>
        </w:rPr>
        <w:t xml:space="preserve"> </w:t>
      </w:r>
      <w:r w:rsidR="00844B18" w:rsidRPr="00CB5F81">
        <w:rPr>
          <w:rFonts w:asciiTheme="majorHAnsi" w:hAnsiTheme="majorHAnsi" w:cstheme="majorHAnsi"/>
          <w:color w:val="000000"/>
          <w:sz w:val="24"/>
          <w:szCs w:val="24"/>
          <w:lang w:eastAsia="ro-RO" w:bidi="ro-RO"/>
        </w:rPr>
        <w:t xml:space="preserve">constituie 5,7 puncte procentuale raportate la venitul din </w:t>
      </w:r>
      <w:r w:rsidR="00FD6E4A" w:rsidRPr="00CB5F81">
        <w:rPr>
          <w:rFonts w:asciiTheme="majorHAnsi" w:hAnsiTheme="majorHAnsi" w:cstheme="majorHAnsi"/>
          <w:color w:val="000000"/>
          <w:sz w:val="24"/>
          <w:szCs w:val="24"/>
          <w:lang w:eastAsia="ro-RO" w:bidi="ro-RO"/>
        </w:rPr>
        <w:t>vânzări</w:t>
      </w:r>
      <w:r w:rsidR="00844B18" w:rsidRPr="00CB5F81">
        <w:rPr>
          <w:rFonts w:asciiTheme="majorHAnsi" w:hAnsiTheme="majorHAnsi" w:cstheme="majorHAnsi"/>
          <w:color w:val="000000"/>
          <w:sz w:val="24"/>
          <w:szCs w:val="24"/>
          <w:lang w:eastAsia="ro-RO" w:bidi="ro-RO"/>
        </w:rPr>
        <w:t xml:space="preserve">. </w:t>
      </w:r>
    </w:p>
    <w:p w:rsidR="00941024" w:rsidRPr="00CB5F81" w:rsidRDefault="00844B18" w:rsidP="005F3812">
      <w:pPr>
        <w:tabs>
          <w:tab w:val="left" w:pos="270"/>
          <w:tab w:val="left" w:pos="450"/>
          <w:tab w:val="left" w:pos="540"/>
        </w:tabs>
        <w:spacing w:line="312" w:lineRule="exact"/>
        <w:jc w:val="both"/>
        <w:rPr>
          <w:rFonts w:asciiTheme="majorHAnsi" w:hAnsiTheme="majorHAnsi" w:cstheme="majorHAnsi"/>
          <w:sz w:val="28"/>
          <w:szCs w:val="28"/>
        </w:rPr>
      </w:pPr>
      <w:r w:rsidRPr="003B791A">
        <w:rPr>
          <w:rFonts w:asciiTheme="majorHAnsi" w:hAnsiTheme="majorHAnsi" w:cstheme="majorHAnsi"/>
          <w:i/>
          <w:color w:val="000000"/>
          <w:sz w:val="24"/>
          <w:szCs w:val="24"/>
          <w:lang w:eastAsia="ro-RO" w:bidi="ro-RO"/>
        </w:rPr>
        <w:t>Cele</w:t>
      </w:r>
      <w:r w:rsidR="005B1D53" w:rsidRPr="003B791A">
        <w:rPr>
          <w:rFonts w:asciiTheme="majorHAnsi" w:hAnsiTheme="majorHAnsi" w:cstheme="majorHAnsi"/>
          <w:i/>
          <w:color w:val="000000"/>
          <w:sz w:val="24"/>
          <w:szCs w:val="24"/>
          <w:lang w:eastAsia="ro-RO" w:bidi="ro-RO"/>
        </w:rPr>
        <w:t xml:space="preserve"> </w:t>
      </w:r>
      <w:r w:rsidR="008A229A" w:rsidRPr="003B791A">
        <w:rPr>
          <w:rFonts w:asciiTheme="majorHAnsi" w:hAnsiTheme="majorHAnsi" w:cstheme="majorHAnsi"/>
          <w:i/>
          <w:color w:val="000000"/>
          <w:sz w:val="24"/>
          <w:szCs w:val="24"/>
          <w:lang w:eastAsia="ro-RO" w:bidi="ro-RO"/>
        </w:rPr>
        <w:t>relatate</w:t>
      </w:r>
      <w:r w:rsidR="008A229A">
        <w:rPr>
          <w:rFonts w:asciiTheme="majorHAnsi" w:hAnsiTheme="majorHAnsi" w:cstheme="majorHAnsi"/>
          <w:color w:val="000000"/>
          <w:sz w:val="24"/>
          <w:szCs w:val="24"/>
          <w:lang w:eastAsia="ro-RO" w:bidi="ro-RO"/>
        </w:rPr>
        <w:t xml:space="preserve"> </w:t>
      </w:r>
      <w:r w:rsidR="005B1D53" w:rsidRPr="00CB5F81">
        <w:rPr>
          <w:rFonts w:asciiTheme="majorHAnsi" w:hAnsiTheme="majorHAnsi" w:cstheme="majorHAnsi"/>
          <w:i/>
          <w:color w:val="000000"/>
          <w:sz w:val="24"/>
          <w:szCs w:val="24"/>
          <w:lang w:eastAsia="ro-RO" w:bidi="ro-RO"/>
        </w:rPr>
        <w:t xml:space="preserve">denotă că autoritățile statului </w:t>
      </w:r>
      <w:r w:rsidR="00342344" w:rsidRPr="00CB5F81">
        <w:rPr>
          <w:rFonts w:asciiTheme="majorHAnsi" w:hAnsiTheme="majorHAnsi" w:cstheme="majorHAnsi"/>
          <w:i/>
          <w:color w:val="000000"/>
          <w:sz w:val="24"/>
          <w:szCs w:val="24"/>
          <w:lang w:eastAsia="ro-RO" w:bidi="ro-RO"/>
        </w:rPr>
        <w:t xml:space="preserve">nu </w:t>
      </w:r>
      <w:r w:rsidR="005B1D53" w:rsidRPr="00CB5F81">
        <w:rPr>
          <w:rFonts w:asciiTheme="majorHAnsi" w:hAnsiTheme="majorHAnsi" w:cstheme="majorHAnsi"/>
          <w:i/>
          <w:color w:val="000000"/>
          <w:sz w:val="24"/>
          <w:szCs w:val="24"/>
          <w:lang w:eastAsia="ro-RO" w:bidi="ro-RO"/>
        </w:rPr>
        <w:t xml:space="preserve">au </w:t>
      </w:r>
      <w:r w:rsidR="00342344" w:rsidRPr="00CB5F81">
        <w:rPr>
          <w:rFonts w:asciiTheme="majorHAnsi" w:hAnsiTheme="majorHAnsi" w:cstheme="majorHAnsi"/>
          <w:i/>
          <w:color w:val="000000"/>
          <w:sz w:val="24"/>
          <w:szCs w:val="24"/>
          <w:lang w:eastAsia="ro-RO" w:bidi="ro-RO"/>
        </w:rPr>
        <w:t xml:space="preserve">o poziție unică </w:t>
      </w:r>
      <w:r w:rsidR="00062B7C">
        <w:rPr>
          <w:rFonts w:asciiTheme="majorHAnsi" w:hAnsiTheme="majorHAnsi" w:cstheme="majorHAnsi"/>
          <w:i/>
          <w:color w:val="000000"/>
          <w:sz w:val="24"/>
          <w:szCs w:val="24"/>
          <w:lang w:eastAsia="ro-RO" w:bidi="ro-RO"/>
        </w:rPr>
        <w:t>privind</w:t>
      </w:r>
      <w:r w:rsidR="00342344" w:rsidRPr="00CB5F81">
        <w:rPr>
          <w:rFonts w:asciiTheme="majorHAnsi" w:hAnsiTheme="majorHAnsi" w:cstheme="majorHAnsi"/>
          <w:i/>
          <w:color w:val="000000"/>
          <w:sz w:val="24"/>
          <w:szCs w:val="24"/>
          <w:lang w:eastAsia="ro-RO" w:bidi="ro-RO"/>
        </w:rPr>
        <w:t xml:space="preserve"> </w:t>
      </w:r>
      <w:r w:rsidRPr="00CB5F81">
        <w:rPr>
          <w:rFonts w:asciiTheme="majorHAnsi" w:hAnsiTheme="majorHAnsi" w:cstheme="majorHAnsi"/>
          <w:i/>
          <w:color w:val="000000"/>
          <w:sz w:val="24"/>
          <w:szCs w:val="24"/>
          <w:lang w:eastAsia="ro-RO" w:bidi="ro-RO"/>
        </w:rPr>
        <w:t>atribuir</w:t>
      </w:r>
      <w:r w:rsidR="00062B7C">
        <w:rPr>
          <w:rFonts w:asciiTheme="majorHAnsi" w:hAnsiTheme="majorHAnsi" w:cstheme="majorHAnsi"/>
          <w:i/>
          <w:color w:val="000000"/>
          <w:sz w:val="24"/>
          <w:szCs w:val="24"/>
          <w:lang w:eastAsia="ro-RO" w:bidi="ro-RO"/>
        </w:rPr>
        <w:t>ea</w:t>
      </w:r>
      <w:r w:rsidRPr="00CB5F81">
        <w:rPr>
          <w:rFonts w:asciiTheme="majorHAnsi" w:hAnsiTheme="majorHAnsi" w:cstheme="majorHAnsi"/>
          <w:i/>
          <w:color w:val="000000"/>
          <w:sz w:val="24"/>
          <w:szCs w:val="24"/>
          <w:lang w:eastAsia="ro-RO" w:bidi="ro-RO"/>
        </w:rPr>
        <w:t xml:space="preserve"> ca facilitate a regimului </w:t>
      </w:r>
      <w:r w:rsidRPr="008A229A">
        <w:rPr>
          <w:rFonts w:asciiTheme="majorHAnsi" w:hAnsiTheme="majorHAnsi" w:cstheme="majorHAnsi"/>
          <w:i/>
          <w:color w:val="000000"/>
          <w:sz w:val="24"/>
          <w:szCs w:val="24"/>
          <w:lang w:eastAsia="ro-RO" w:bidi="ro-RO"/>
        </w:rPr>
        <w:t>special de impozitare</w:t>
      </w:r>
      <w:r w:rsidRPr="008A229A">
        <w:rPr>
          <w:rFonts w:asciiTheme="majorHAnsi" w:hAnsiTheme="majorHAnsi" w:cstheme="majorHAnsi"/>
          <w:i/>
          <w:sz w:val="24"/>
          <w:szCs w:val="24"/>
        </w:rPr>
        <w:t xml:space="preserve"> rezidenților parcurilor pentru tehnologia informației și angajaților acestora.</w:t>
      </w:r>
      <w:r w:rsidRPr="00CB5F81">
        <w:rPr>
          <w:rFonts w:asciiTheme="majorHAnsi" w:hAnsiTheme="majorHAnsi" w:cstheme="majorHAnsi"/>
          <w:sz w:val="24"/>
          <w:szCs w:val="24"/>
        </w:rPr>
        <w:t xml:space="preserve"> În viziunea echipei de audit,</w:t>
      </w:r>
      <w:r w:rsidR="00062B7C">
        <w:rPr>
          <w:rFonts w:asciiTheme="majorHAnsi" w:hAnsiTheme="majorHAnsi" w:cstheme="majorHAnsi"/>
          <w:sz w:val="24"/>
          <w:szCs w:val="24"/>
        </w:rPr>
        <w:t xml:space="preserve"> constatările</w:t>
      </w:r>
      <w:r w:rsidRPr="00CB5F81">
        <w:rPr>
          <w:rFonts w:asciiTheme="majorHAnsi" w:hAnsiTheme="majorHAnsi" w:cstheme="majorHAnsi"/>
          <w:sz w:val="24"/>
          <w:szCs w:val="24"/>
        </w:rPr>
        <w:t xml:space="preserve"> menționate </w:t>
      </w:r>
      <w:r w:rsidR="00CA50E5" w:rsidRPr="00CB5F81">
        <w:rPr>
          <w:rFonts w:asciiTheme="majorHAnsi" w:hAnsiTheme="majorHAnsi" w:cstheme="majorHAnsi"/>
          <w:sz w:val="24"/>
          <w:szCs w:val="24"/>
        </w:rPr>
        <w:t xml:space="preserve">sunt cauzate de reglementările depășite ale Codului fiscal, referitor la </w:t>
      </w:r>
      <w:r w:rsidR="008A229A" w:rsidRPr="003B791A">
        <w:rPr>
          <w:rFonts w:asciiTheme="majorHAnsi" w:hAnsiTheme="majorHAnsi" w:cstheme="majorHAnsi"/>
          <w:sz w:val="24"/>
          <w:szCs w:val="24"/>
        </w:rPr>
        <w:t>semnificația</w:t>
      </w:r>
      <w:r w:rsidR="008A229A">
        <w:rPr>
          <w:rFonts w:asciiTheme="majorHAnsi" w:hAnsiTheme="majorHAnsi" w:cstheme="majorHAnsi"/>
          <w:sz w:val="24"/>
          <w:szCs w:val="24"/>
        </w:rPr>
        <w:t xml:space="preserve"> </w:t>
      </w:r>
      <w:r w:rsidR="00CA50E5" w:rsidRPr="00CB5F81">
        <w:rPr>
          <w:rFonts w:asciiTheme="majorHAnsi" w:hAnsiTheme="majorHAnsi" w:cstheme="majorHAnsi"/>
          <w:sz w:val="24"/>
          <w:szCs w:val="24"/>
        </w:rPr>
        <w:t>noțiunii de facilitate, care urmează a fi modernizată și actualizată conform practicilor internaționale.</w:t>
      </w:r>
      <w:r w:rsidR="00EC1EAF">
        <w:rPr>
          <w:rFonts w:asciiTheme="majorHAnsi" w:hAnsiTheme="majorHAnsi" w:cstheme="majorHAnsi"/>
          <w:sz w:val="24"/>
          <w:szCs w:val="24"/>
        </w:rPr>
        <w:t xml:space="preserve"> </w:t>
      </w:r>
    </w:p>
    <w:p w:rsidR="00725BCA" w:rsidRPr="00CB5F81" w:rsidRDefault="00397667" w:rsidP="00D04386">
      <w:pPr>
        <w:pStyle w:val="Heading3"/>
        <w:numPr>
          <w:ilvl w:val="2"/>
          <w:numId w:val="21"/>
        </w:numPr>
        <w:tabs>
          <w:tab w:val="left" w:pos="360"/>
          <w:tab w:val="left" w:pos="540"/>
          <w:tab w:val="left" w:pos="630"/>
        </w:tabs>
        <w:spacing w:before="200" w:after="120" w:line="240" w:lineRule="auto"/>
        <w:ind w:left="0" w:firstLine="0"/>
        <w:jc w:val="both"/>
        <w:rPr>
          <w:rFonts w:eastAsiaTheme="minorEastAsia" w:cstheme="majorHAnsi"/>
          <w:b/>
          <w:color w:val="2E74B5" w:themeColor="accent1" w:themeShade="BF"/>
        </w:rPr>
      </w:pPr>
      <w:bookmarkStart w:id="28" w:name="_Toc111467872"/>
      <w:r w:rsidRPr="00CB5F81">
        <w:rPr>
          <w:rFonts w:eastAsiaTheme="minorEastAsia" w:cstheme="majorHAnsi"/>
          <w:b/>
          <w:iCs/>
          <w:color w:val="2E74B5" w:themeColor="accent1" w:themeShade="BF"/>
        </w:rPr>
        <w:t>SFS</w:t>
      </w:r>
      <w:r w:rsidR="00087EF9">
        <w:rPr>
          <w:rFonts w:eastAsiaTheme="minorEastAsia" w:cstheme="majorHAnsi"/>
          <w:b/>
          <w:iCs/>
          <w:color w:val="2E74B5" w:themeColor="accent1" w:themeShade="BF"/>
        </w:rPr>
        <w:t xml:space="preserve"> nu </w:t>
      </w:r>
      <w:r w:rsidR="003B3D3D" w:rsidRPr="00CB5F81">
        <w:rPr>
          <w:rFonts w:eastAsiaTheme="minorEastAsia" w:cstheme="majorHAnsi"/>
          <w:b/>
          <w:iCs/>
          <w:color w:val="2E74B5" w:themeColor="accent1" w:themeShade="BF"/>
        </w:rPr>
        <w:t>a identificat riscuri</w:t>
      </w:r>
      <w:r w:rsidR="00EC1EAF">
        <w:rPr>
          <w:rFonts w:eastAsiaTheme="minorEastAsia" w:cstheme="majorHAnsi"/>
          <w:b/>
          <w:iCs/>
          <w:color w:val="2E74B5" w:themeColor="accent1" w:themeShade="BF"/>
        </w:rPr>
        <w:t xml:space="preserve"> </w:t>
      </w:r>
      <w:r w:rsidR="003B3D3D" w:rsidRPr="00CB5F81">
        <w:rPr>
          <w:rFonts w:eastAsiaTheme="minorEastAsia" w:cstheme="majorHAnsi"/>
          <w:b/>
          <w:iCs/>
          <w:color w:val="2E74B5" w:themeColor="accent1" w:themeShade="BF"/>
        </w:rPr>
        <w:t>aferente</w:t>
      </w:r>
      <w:r w:rsidR="00EC1EAF">
        <w:rPr>
          <w:rFonts w:eastAsiaTheme="minorEastAsia" w:cstheme="majorHAnsi"/>
          <w:b/>
          <w:iCs/>
          <w:color w:val="2E74B5" w:themeColor="accent1" w:themeShade="BF"/>
        </w:rPr>
        <w:t xml:space="preserve"> </w:t>
      </w:r>
      <w:r w:rsidR="00087EF9">
        <w:rPr>
          <w:rFonts w:eastAsiaTheme="minorEastAsia" w:cstheme="majorHAnsi"/>
          <w:b/>
          <w:iCs/>
          <w:color w:val="2E74B5" w:themeColor="accent1" w:themeShade="BF"/>
        </w:rPr>
        <w:t xml:space="preserve">controlului </w:t>
      </w:r>
      <w:r w:rsidR="00AC7B42" w:rsidRPr="00CB5F81">
        <w:rPr>
          <w:rFonts w:eastAsiaTheme="minorEastAsia" w:cstheme="majorHAnsi"/>
          <w:b/>
          <w:iCs/>
          <w:color w:val="2E74B5" w:themeColor="accent1" w:themeShade="BF"/>
        </w:rPr>
        <w:t>corectitudin</w:t>
      </w:r>
      <w:r w:rsidR="003B3D3D" w:rsidRPr="00CB5F81">
        <w:rPr>
          <w:rFonts w:eastAsiaTheme="minorEastAsia" w:cstheme="majorHAnsi"/>
          <w:b/>
          <w:iCs/>
          <w:color w:val="2E74B5" w:themeColor="accent1" w:themeShade="BF"/>
        </w:rPr>
        <w:t>ii</w:t>
      </w:r>
      <w:r w:rsidR="00DE110B" w:rsidRPr="00CB5F81">
        <w:rPr>
          <w:rFonts w:eastAsiaTheme="minorEastAsia" w:cstheme="majorHAnsi"/>
          <w:b/>
          <w:iCs/>
          <w:color w:val="2E74B5" w:themeColor="accent1" w:themeShade="BF"/>
        </w:rPr>
        <w:t xml:space="preserve"> </w:t>
      </w:r>
      <w:r w:rsidR="003B3D3D" w:rsidRPr="00CB5F81">
        <w:rPr>
          <w:rFonts w:eastAsiaTheme="minorEastAsia" w:cstheme="majorHAnsi"/>
          <w:b/>
          <w:iCs/>
          <w:color w:val="2E74B5" w:themeColor="accent1" w:themeShade="BF"/>
        </w:rPr>
        <w:t xml:space="preserve">valorificării </w:t>
      </w:r>
      <w:r w:rsidR="00AC7B42" w:rsidRPr="00CB5F81">
        <w:rPr>
          <w:rFonts w:eastAsiaTheme="minorEastAsia" w:cstheme="majorHAnsi"/>
          <w:b/>
          <w:iCs/>
          <w:color w:val="2E74B5" w:themeColor="accent1" w:themeShade="BF"/>
        </w:rPr>
        <w:t>facilităților fiscale</w:t>
      </w:r>
      <w:bookmarkEnd w:id="28"/>
    </w:p>
    <w:p w:rsidR="00B845C4" w:rsidRPr="00CB5F81" w:rsidRDefault="00C72D9E" w:rsidP="008A7B7A">
      <w:pPr>
        <w:spacing w:after="120" w:line="240" w:lineRule="auto"/>
        <w:jc w:val="both"/>
        <w:rPr>
          <w:rFonts w:asciiTheme="majorHAnsi" w:eastAsiaTheme="minorEastAsia" w:hAnsiTheme="majorHAnsi" w:cstheme="majorHAnsi"/>
          <w:color w:val="000000" w:themeColor="text1"/>
          <w:sz w:val="24"/>
          <w:szCs w:val="24"/>
        </w:rPr>
      </w:pPr>
      <w:r w:rsidRPr="00CB5F81">
        <w:rPr>
          <w:rFonts w:asciiTheme="majorHAnsi" w:eastAsiaTheme="minorEastAsia" w:hAnsiTheme="majorHAnsi" w:cstheme="majorHAnsi"/>
          <w:sz w:val="24"/>
          <w:szCs w:val="24"/>
        </w:rPr>
        <w:t xml:space="preserve">Verificările </w:t>
      </w:r>
      <w:r w:rsidR="00221823">
        <w:rPr>
          <w:rFonts w:asciiTheme="majorHAnsi" w:eastAsiaTheme="minorEastAsia" w:hAnsiTheme="majorHAnsi" w:cstheme="majorHAnsi"/>
          <w:sz w:val="24"/>
          <w:szCs w:val="24"/>
        </w:rPr>
        <w:t xml:space="preserve">efectuate de </w:t>
      </w:r>
      <w:r w:rsidRPr="00CB5F81">
        <w:rPr>
          <w:rFonts w:asciiTheme="majorHAnsi" w:eastAsiaTheme="minorEastAsia" w:hAnsiTheme="majorHAnsi" w:cstheme="majorHAnsi"/>
          <w:sz w:val="24"/>
          <w:szCs w:val="24"/>
        </w:rPr>
        <w:t xml:space="preserve">audit denotă că </w:t>
      </w:r>
      <w:r w:rsidR="003B3D3D" w:rsidRPr="00CB5F81">
        <w:rPr>
          <w:rFonts w:asciiTheme="majorHAnsi" w:eastAsiaTheme="minorEastAsia" w:hAnsiTheme="majorHAnsi" w:cstheme="majorHAnsi"/>
          <w:sz w:val="24"/>
          <w:szCs w:val="24"/>
        </w:rPr>
        <w:t xml:space="preserve">SFS nu are identificate careva riscuri de conformare a contribuabililor aferente beneficierii de scutiri și înlesniri fiscale, care ar </w:t>
      </w:r>
      <w:r w:rsidR="00221823">
        <w:rPr>
          <w:rFonts w:asciiTheme="majorHAnsi" w:eastAsiaTheme="minorEastAsia" w:hAnsiTheme="majorHAnsi" w:cstheme="majorHAnsi"/>
          <w:sz w:val="24"/>
          <w:szCs w:val="24"/>
        </w:rPr>
        <w:t xml:space="preserve">putea </w:t>
      </w:r>
      <w:r w:rsidR="003B3D3D" w:rsidRPr="00CB5F81">
        <w:rPr>
          <w:rFonts w:asciiTheme="majorHAnsi" w:eastAsiaTheme="minorEastAsia" w:hAnsiTheme="majorHAnsi" w:cstheme="majorHAnsi"/>
          <w:sz w:val="24"/>
          <w:szCs w:val="24"/>
        </w:rPr>
        <w:t>fi luate în considerație la planificarea controalelor fiscale tematice și/sau</w:t>
      </w:r>
      <w:r w:rsidR="00EC1EAF">
        <w:rPr>
          <w:rFonts w:asciiTheme="majorHAnsi" w:eastAsiaTheme="minorEastAsia" w:hAnsiTheme="majorHAnsi" w:cstheme="majorHAnsi"/>
          <w:sz w:val="24"/>
          <w:szCs w:val="24"/>
        </w:rPr>
        <w:t xml:space="preserve"> </w:t>
      </w:r>
      <w:r w:rsidR="003B3D3D" w:rsidRPr="00CB5F81">
        <w:rPr>
          <w:rFonts w:asciiTheme="majorHAnsi" w:eastAsiaTheme="minorEastAsia" w:hAnsiTheme="majorHAnsi" w:cstheme="majorHAnsi"/>
          <w:sz w:val="24"/>
          <w:szCs w:val="24"/>
        </w:rPr>
        <w:t xml:space="preserve">totale. În anul 2020, organul fiscal nu a realizat </w:t>
      </w:r>
      <w:r w:rsidRPr="00CB5F81">
        <w:rPr>
          <w:rFonts w:asciiTheme="majorHAnsi" w:eastAsiaTheme="minorEastAsia" w:hAnsiTheme="majorHAnsi" w:cstheme="majorHAnsi"/>
          <w:sz w:val="24"/>
          <w:szCs w:val="24"/>
        </w:rPr>
        <w:t xml:space="preserve">verificări tematice privind facilitățile fiscale acordate prin </w:t>
      </w:r>
      <w:r w:rsidR="00B55180" w:rsidRPr="00CB5F81">
        <w:rPr>
          <w:rFonts w:asciiTheme="majorHAnsi" w:eastAsiaTheme="minorEastAsia" w:hAnsiTheme="majorHAnsi" w:cstheme="majorHAnsi"/>
          <w:sz w:val="24"/>
          <w:szCs w:val="24"/>
        </w:rPr>
        <w:t>Codul f</w:t>
      </w:r>
      <w:r w:rsidR="00B4498A" w:rsidRPr="00CB5F81">
        <w:rPr>
          <w:rFonts w:asciiTheme="majorHAnsi" w:eastAsiaTheme="minorEastAsia" w:hAnsiTheme="majorHAnsi" w:cstheme="majorHAnsi"/>
          <w:sz w:val="24"/>
          <w:szCs w:val="24"/>
        </w:rPr>
        <w:t>iscal</w:t>
      </w:r>
      <w:r w:rsidR="003B3D3D" w:rsidRPr="00CB5F81">
        <w:rPr>
          <w:rFonts w:asciiTheme="majorHAnsi" w:eastAsiaTheme="minorEastAsia" w:hAnsiTheme="majorHAnsi" w:cstheme="majorHAnsi"/>
          <w:sz w:val="24"/>
          <w:szCs w:val="24"/>
        </w:rPr>
        <w:t>, acest aspect fiind tangențial verificat în cadrul altor tipuri de controale fiscale</w:t>
      </w:r>
      <w:r w:rsidR="00221823">
        <w:rPr>
          <w:rFonts w:asciiTheme="majorHAnsi" w:eastAsiaTheme="minorEastAsia" w:hAnsiTheme="majorHAnsi" w:cstheme="majorHAnsi"/>
          <w:sz w:val="24"/>
          <w:szCs w:val="24"/>
        </w:rPr>
        <w:t>,</w:t>
      </w:r>
      <w:r w:rsidR="000C060A" w:rsidRPr="00CB5F81">
        <w:rPr>
          <w:rFonts w:asciiTheme="majorHAnsi" w:eastAsiaTheme="minorEastAsia" w:hAnsiTheme="majorHAnsi" w:cstheme="majorHAnsi"/>
          <w:sz w:val="24"/>
          <w:szCs w:val="24"/>
        </w:rPr>
        <w:t xml:space="preserve"> efectuate la 650 </w:t>
      </w:r>
      <w:r w:rsidR="00221823">
        <w:rPr>
          <w:rFonts w:asciiTheme="majorHAnsi" w:eastAsiaTheme="minorEastAsia" w:hAnsiTheme="majorHAnsi" w:cstheme="majorHAnsi"/>
          <w:sz w:val="24"/>
          <w:szCs w:val="24"/>
        </w:rPr>
        <w:t xml:space="preserve">de </w:t>
      </w:r>
      <w:r w:rsidR="000C060A" w:rsidRPr="00CB5F81">
        <w:rPr>
          <w:rFonts w:asciiTheme="majorHAnsi" w:eastAsiaTheme="minorEastAsia" w:hAnsiTheme="majorHAnsi" w:cstheme="majorHAnsi"/>
          <w:sz w:val="24"/>
          <w:szCs w:val="24"/>
        </w:rPr>
        <w:t>contribuabili</w:t>
      </w:r>
      <w:r w:rsidR="00D254E3" w:rsidRPr="00CB5F81">
        <w:rPr>
          <w:rFonts w:asciiTheme="majorHAnsi" w:eastAsiaTheme="minorEastAsia" w:hAnsiTheme="majorHAnsi" w:cstheme="majorHAnsi"/>
          <w:sz w:val="24"/>
          <w:szCs w:val="24"/>
        </w:rPr>
        <w:t xml:space="preserve">. </w:t>
      </w:r>
      <w:r w:rsidR="000C060A" w:rsidRPr="00CB5F81">
        <w:rPr>
          <w:rFonts w:asciiTheme="majorHAnsi" w:eastAsiaTheme="minorEastAsia" w:hAnsiTheme="majorHAnsi" w:cstheme="majorHAnsi"/>
          <w:sz w:val="24"/>
          <w:szCs w:val="24"/>
        </w:rPr>
        <w:t>În cadrul acestor controale</w:t>
      </w:r>
      <w:r w:rsidR="00221823">
        <w:rPr>
          <w:rFonts w:asciiTheme="majorHAnsi" w:eastAsiaTheme="minorEastAsia" w:hAnsiTheme="majorHAnsi" w:cstheme="majorHAnsi"/>
          <w:sz w:val="24"/>
          <w:szCs w:val="24"/>
        </w:rPr>
        <w:t>,</w:t>
      </w:r>
      <w:r w:rsidR="000C060A" w:rsidRPr="00CB5F81">
        <w:rPr>
          <w:rFonts w:asciiTheme="majorHAnsi" w:eastAsiaTheme="minorEastAsia" w:hAnsiTheme="majorHAnsi" w:cstheme="majorHAnsi"/>
          <w:sz w:val="24"/>
          <w:szCs w:val="24"/>
        </w:rPr>
        <w:t xml:space="preserve"> </w:t>
      </w:r>
      <w:r w:rsidR="00B845C4" w:rsidRPr="00CB5F81">
        <w:rPr>
          <w:rFonts w:asciiTheme="majorHAnsi" w:eastAsiaTheme="minorEastAsia" w:hAnsiTheme="majorHAnsi" w:cstheme="majorHAnsi"/>
          <w:sz w:val="24"/>
          <w:szCs w:val="24"/>
        </w:rPr>
        <w:t xml:space="preserve">cele mai frecvente încălcări s-au constatat </w:t>
      </w:r>
      <w:r w:rsidR="008F6BDC" w:rsidRPr="00CB5F81">
        <w:rPr>
          <w:rFonts w:asciiTheme="majorHAnsi" w:eastAsiaTheme="minorEastAsia" w:hAnsiTheme="majorHAnsi" w:cstheme="majorHAnsi"/>
          <w:sz w:val="24"/>
          <w:szCs w:val="24"/>
        </w:rPr>
        <w:t xml:space="preserve">la beneficierea </w:t>
      </w:r>
      <w:r w:rsidR="00221823">
        <w:rPr>
          <w:rFonts w:asciiTheme="majorHAnsi" w:eastAsiaTheme="minorEastAsia" w:hAnsiTheme="majorHAnsi" w:cstheme="majorHAnsi"/>
          <w:sz w:val="24"/>
          <w:szCs w:val="24"/>
        </w:rPr>
        <w:t xml:space="preserve">de </w:t>
      </w:r>
      <w:r w:rsidR="008F6BDC" w:rsidRPr="00CB5F81">
        <w:rPr>
          <w:rFonts w:asciiTheme="majorHAnsi" w:eastAsiaTheme="minorEastAsia" w:hAnsiTheme="majorHAnsi" w:cstheme="majorHAnsi"/>
          <w:sz w:val="24"/>
          <w:szCs w:val="24"/>
        </w:rPr>
        <w:t>înlesniri</w:t>
      </w:r>
      <w:r w:rsidR="00221823">
        <w:rPr>
          <w:rFonts w:asciiTheme="majorHAnsi" w:eastAsiaTheme="minorEastAsia" w:hAnsiTheme="majorHAnsi" w:cstheme="majorHAnsi"/>
          <w:sz w:val="24"/>
          <w:szCs w:val="24"/>
        </w:rPr>
        <w:t xml:space="preserve"> </w:t>
      </w:r>
      <w:r w:rsidR="008F6BDC" w:rsidRPr="00CB5F81">
        <w:rPr>
          <w:rFonts w:asciiTheme="majorHAnsi" w:eastAsiaTheme="minorEastAsia" w:hAnsiTheme="majorHAnsi" w:cstheme="majorHAnsi"/>
          <w:sz w:val="24"/>
          <w:szCs w:val="24"/>
        </w:rPr>
        <w:t xml:space="preserve"> aferente impozitului pe bunurile imobiliare,</w:t>
      </w:r>
      <w:r w:rsidR="00EC1EAF">
        <w:rPr>
          <w:rFonts w:asciiTheme="majorHAnsi" w:eastAsiaTheme="minorEastAsia" w:hAnsiTheme="majorHAnsi" w:cstheme="majorHAnsi"/>
          <w:sz w:val="24"/>
          <w:szCs w:val="24"/>
        </w:rPr>
        <w:t xml:space="preserve"> </w:t>
      </w:r>
      <w:r w:rsidR="008F6BDC" w:rsidRPr="00CB5F81">
        <w:rPr>
          <w:rFonts w:asciiTheme="majorHAnsi" w:eastAsiaTheme="minorEastAsia" w:hAnsiTheme="majorHAnsi" w:cstheme="majorHAnsi"/>
          <w:sz w:val="24"/>
          <w:szCs w:val="24"/>
        </w:rPr>
        <w:t>acestea fiind admise de</w:t>
      </w:r>
      <w:r w:rsidR="00EC1EAF">
        <w:rPr>
          <w:rFonts w:asciiTheme="majorHAnsi" w:eastAsiaTheme="minorEastAsia" w:hAnsiTheme="majorHAnsi" w:cstheme="majorHAnsi"/>
          <w:sz w:val="24"/>
          <w:szCs w:val="24"/>
        </w:rPr>
        <w:t xml:space="preserve"> </w:t>
      </w:r>
      <w:r w:rsidR="008F6BDC" w:rsidRPr="00CB5F81">
        <w:rPr>
          <w:rFonts w:asciiTheme="majorHAnsi" w:eastAsiaTheme="minorEastAsia" w:hAnsiTheme="majorHAnsi" w:cstheme="majorHAnsi"/>
          <w:sz w:val="24"/>
          <w:szCs w:val="24"/>
        </w:rPr>
        <w:t xml:space="preserve">65 </w:t>
      </w:r>
      <w:r w:rsidR="00221823">
        <w:rPr>
          <w:rFonts w:asciiTheme="majorHAnsi" w:eastAsiaTheme="minorEastAsia" w:hAnsiTheme="majorHAnsi" w:cstheme="majorHAnsi"/>
          <w:sz w:val="24"/>
          <w:szCs w:val="24"/>
        </w:rPr>
        <w:t xml:space="preserve">de </w:t>
      </w:r>
      <w:r w:rsidR="000C060A" w:rsidRPr="00CB5F81">
        <w:rPr>
          <w:rFonts w:asciiTheme="majorHAnsi" w:eastAsiaTheme="minorEastAsia" w:hAnsiTheme="majorHAnsi" w:cstheme="majorHAnsi"/>
          <w:sz w:val="24"/>
          <w:szCs w:val="24"/>
        </w:rPr>
        <w:t>agenți economici</w:t>
      </w:r>
      <w:r w:rsidR="00221823">
        <w:rPr>
          <w:rFonts w:asciiTheme="majorHAnsi" w:eastAsiaTheme="minorEastAsia" w:hAnsiTheme="majorHAnsi" w:cstheme="majorHAnsi"/>
          <w:sz w:val="24"/>
          <w:szCs w:val="24"/>
        </w:rPr>
        <w:t>,</w:t>
      </w:r>
      <w:r w:rsidR="000C060A" w:rsidRPr="00CB5F81">
        <w:rPr>
          <w:rFonts w:asciiTheme="majorHAnsi" w:eastAsiaTheme="minorEastAsia" w:hAnsiTheme="majorHAnsi" w:cstheme="majorHAnsi"/>
          <w:sz w:val="24"/>
          <w:szCs w:val="24"/>
        </w:rPr>
        <w:t xml:space="preserve"> </w:t>
      </w:r>
      <w:r w:rsidR="008F6BDC" w:rsidRPr="00CB5F81">
        <w:rPr>
          <w:rFonts w:asciiTheme="majorHAnsi" w:eastAsiaTheme="minorEastAsia" w:hAnsiTheme="majorHAnsi" w:cstheme="majorHAnsi"/>
          <w:sz w:val="24"/>
          <w:szCs w:val="24"/>
        </w:rPr>
        <w:t>în sumă de</w:t>
      </w:r>
      <w:r w:rsidR="00EC1EAF">
        <w:rPr>
          <w:rFonts w:asciiTheme="majorHAnsi" w:eastAsiaTheme="minorEastAsia" w:hAnsiTheme="majorHAnsi" w:cstheme="majorHAnsi"/>
          <w:sz w:val="24"/>
          <w:szCs w:val="24"/>
        </w:rPr>
        <w:t xml:space="preserve"> </w:t>
      </w:r>
      <w:r w:rsidR="008F6BDC" w:rsidRPr="00CB5F81">
        <w:rPr>
          <w:rFonts w:asciiTheme="majorHAnsi" w:eastAsiaTheme="minorEastAsia" w:hAnsiTheme="majorHAnsi" w:cstheme="majorHAnsi"/>
          <w:sz w:val="24"/>
          <w:szCs w:val="24"/>
        </w:rPr>
        <w:t xml:space="preserve">616,3 mii lei. În rest, la trei </w:t>
      </w:r>
      <w:r w:rsidR="00B845C4" w:rsidRPr="00CB5F81">
        <w:rPr>
          <w:rFonts w:asciiTheme="majorHAnsi" w:eastAsiaTheme="minorEastAsia" w:hAnsiTheme="majorHAnsi" w:cstheme="majorHAnsi"/>
          <w:sz w:val="24"/>
          <w:szCs w:val="24"/>
        </w:rPr>
        <w:t>contribuabili</w:t>
      </w:r>
      <w:r w:rsidR="00144115">
        <w:rPr>
          <w:rFonts w:asciiTheme="majorHAnsi" w:eastAsiaTheme="minorEastAsia" w:hAnsiTheme="majorHAnsi" w:cstheme="majorHAnsi"/>
          <w:sz w:val="24"/>
          <w:szCs w:val="24"/>
        </w:rPr>
        <w:t xml:space="preserve"> </w:t>
      </w:r>
      <w:r w:rsidR="00B845C4" w:rsidRPr="00CB5F81">
        <w:rPr>
          <w:rFonts w:asciiTheme="majorHAnsi" w:eastAsiaTheme="minorEastAsia" w:hAnsiTheme="majorHAnsi" w:cstheme="majorHAnsi"/>
          <w:sz w:val="24"/>
          <w:szCs w:val="24"/>
        </w:rPr>
        <w:t>s-</w:t>
      </w:r>
      <w:r w:rsidR="00B845C4" w:rsidRPr="003B791A">
        <w:rPr>
          <w:rFonts w:asciiTheme="majorHAnsi" w:eastAsiaTheme="minorEastAsia" w:hAnsiTheme="majorHAnsi" w:cstheme="majorHAnsi"/>
          <w:sz w:val="24"/>
          <w:szCs w:val="24"/>
        </w:rPr>
        <w:t>a</w:t>
      </w:r>
      <w:r w:rsidR="008F6BDC" w:rsidRPr="003B791A">
        <w:rPr>
          <w:rFonts w:asciiTheme="majorHAnsi" w:eastAsiaTheme="minorEastAsia" w:hAnsiTheme="majorHAnsi" w:cstheme="majorHAnsi"/>
          <w:sz w:val="24"/>
          <w:szCs w:val="24"/>
        </w:rPr>
        <w:t>u</w:t>
      </w:r>
      <w:r w:rsidR="00B845C4" w:rsidRPr="003B791A">
        <w:rPr>
          <w:rFonts w:asciiTheme="majorHAnsi" w:eastAsiaTheme="minorEastAsia" w:hAnsiTheme="majorHAnsi" w:cstheme="majorHAnsi"/>
          <w:sz w:val="24"/>
          <w:szCs w:val="24"/>
        </w:rPr>
        <w:t xml:space="preserve"> </w:t>
      </w:r>
      <w:r w:rsidR="008A229A" w:rsidRPr="003B791A">
        <w:rPr>
          <w:rFonts w:asciiTheme="majorHAnsi" w:eastAsiaTheme="minorEastAsia" w:hAnsiTheme="majorHAnsi" w:cstheme="majorHAnsi"/>
          <w:sz w:val="24"/>
          <w:szCs w:val="24"/>
        </w:rPr>
        <w:t>identificat</w:t>
      </w:r>
      <w:r w:rsidR="00B845C4" w:rsidRPr="00CB5F81">
        <w:rPr>
          <w:rFonts w:asciiTheme="majorHAnsi" w:eastAsiaTheme="minorEastAsia" w:hAnsiTheme="majorHAnsi" w:cstheme="majorHAnsi"/>
          <w:sz w:val="24"/>
          <w:szCs w:val="24"/>
        </w:rPr>
        <w:t xml:space="preserve"> încălcări în sumă totală de 174,0 mii lei</w:t>
      </w:r>
      <w:r w:rsidR="00221823">
        <w:rPr>
          <w:rFonts w:asciiTheme="majorHAnsi" w:eastAsiaTheme="minorEastAsia" w:hAnsiTheme="majorHAnsi" w:cstheme="majorHAnsi"/>
          <w:sz w:val="24"/>
          <w:szCs w:val="24"/>
        </w:rPr>
        <w:t>,</w:t>
      </w:r>
      <w:r w:rsidR="00B845C4" w:rsidRPr="00CB5F81">
        <w:rPr>
          <w:rFonts w:asciiTheme="majorHAnsi" w:eastAsiaTheme="minorEastAsia" w:hAnsiTheme="majorHAnsi" w:cstheme="majorHAnsi"/>
          <w:sz w:val="24"/>
          <w:szCs w:val="24"/>
        </w:rPr>
        <w:t xml:space="preserve"> aferent</w:t>
      </w:r>
      <w:r w:rsidR="00221823">
        <w:rPr>
          <w:rFonts w:asciiTheme="majorHAnsi" w:eastAsiaTheme="minorEastAsia" w:hAnsiTheme="majorHAnsi" w:cstheme="majorHAnsi"/>
          <w:sz w:val="24"/>
          <w:szCs w:val="24"/>
        </w:rPr>
        <w:t>e</w:t>
      </w:r>
      <w:r w:rsidR="00B845C4" w:rsidRPr="00CB5F81">
        <w:rPr>
          <w:rFonts w:asciiTheme="majorHAnsi" w:eastAsiaTheme="minorEastAsia" w:hAnsiTheme="majorHAnsi" w:cstheme="majorHAnsi"/>
          <w:sz w:val="24"/>
          <w:szCs w:val="24"/>
        </w:rPr>
        <w:t xml:space="preserve"> facilităților </w:t>
      </w:r>
      <w:r w:rsidR="00144115">
        <w:rPr>
          <w:rFonts w:asciiTheme="majorHAnsi" w:eastAsiaTheme="minorEastAsia" w:hAnsiTheme="majorHAnsi" w:cstheme="majorHAnsi"/>
          <w:sz w:val="24"/>
          <w:szCs w:val="24"/>
        </w:rPr>
        <w:t xml:space="preserve">la </w:t>
      </w:r>
      <w:r w:rsidR="00B845C4" w:rsidRPr="00CB5F81">
        <w:rPr>
          <w:rFonts w:asciiTheme="majorHAnsi" w:eastAsiaTheme="minorEastAsia" w:hAnsiTheme="majorHAnsi" w:cstheme="majorHAnsi"/>
          <w:sz w:val="24"/>
          <w:szCs w:val="24"/>
        </w:rPr>
        <w:t>impozitul pe venit</w:t>
      </w:r>
      <w:r w:rsidR="00221823">
        <w:rPr>
          <w:rFonts w:asciiTheme="majorHAnsi" w:eastAsiaTheme="minorEastAsia" w:hAnsiTheme="majorHAnsi" w:cstheme="majorHAnsi"/>
          <w:sz w:val="24"/>
          <w:szCs w:val="24"/>
        </w:rPr>
        <w:t>,</w:t>
      </w:r>
      <w:r w:rsidR="008F6BDC" w:rsidRPr="00CB5F81">
        <w:rPr>
          <w:rFonts w:asciiTheme="majorHAnsi" w:eastAsiaTheme="minorEastAsia" w:hAnsiTheme="majorHAnsi" w:cstheme="majorHAnsi"/>
          <w:sz w:val="24"/>
          <w:szCs w:val="24"/>
        </w:rPr>
        <w:t xml:space="preserve"> și la un</w:t>
      </w:r>
      <w:r w:rsidR="00EC1EAF">
        <w:rPr>
          <w:rFonts w:asciiTheme="majorHAnsi" w:eastAsiaTheme="minorEastAsia" w:hAnsiTheme="majorHAnsi" w:cstheme="majorHAnsi"/>
          <w:sz w:val="24"/>
          <w:szCs w:val="24"/>
        </w:rPr>
        <w:t xml:space="preserve"> </w:t>
      </w:r>
      <w:r w:rsidR="00B845C4" w:rsidRPr="00CB5F81">
        <w:rPr>
          <w:rFonts w:asciiTheme="majorHAnsi" w:eastAsiaTheme="minorEastAsia" w:hAnsiTheme="majorHAnsi" w:cstheme="majorHAnsi"/>
          <w:sz w:val="24"/>
          <w:szCs w:val="24"/>
        </w:rPr>
        <w:t xml:space="preserve">contribuabil au fost </w:t>
      </w:r>
      <w:r w:rsidR="00B845C4" w:rsidRPr="00CB5F81">
        <w:rPr>
          <w:rFonts w:asciiTheme="majorHAnsi" w:eastAsiaTheme="minorEastAsia" w:hAnsiTheme="majorHAnsi" w:cstheme="majorHAnsi"/>
          <w:color w:val="000000" w:themeColor="text1"/>
          <w:sz w:val="24"/>
          <w:szCs w:val="24"/>
        </w:rPr>
        <w:t>depistate abateri aferente TVA</w:t>
      </w:r>
      <w:r w:rsidR="00144115">
        <w:rPr>
          <w:rFonts w:asciiTheme="majorHAnsi" w:eastAsiaTheme="minorEastAsia" w:hAnsiTheme="majorHAnsi" w:cstheme="majorHAnsi"/>
          <w:color w:val="000000" w:themeColor="text1"/>
          <w:sz w:val="24"/>
          <w:szCs w:val="24"/>
        </w:rPr>
        <w:t>,</w:t>
      </w:r>
      <w:r w:rsidR="00B845C4" w:rsidRPr="00CB5F81">
        <w:rPr>
          <w:rFonts w:asciiTheme="majorHAnsi" w:eastAsiaTheme="minorEastAsia" w:hAnsiTheme="majorHAnsi" w:cstheme="majorHAnsi"/>
          <w:color w:val="000000" w:themeColor="text1"/>
          <w:sz w:val="24"/>
          <w:szCs w:val="24"/>
        </w:rPr>
        <w:t xml:space="preserve"> în sumă totală de 36,2 mii lei</w:t>
      </w:r>
      <w:r w:rsidR="008F6BDC" w:rsidRPr="00CB5F81">
        <w:rPr>
          <w:rFonts w:asciiTheme="majorHAnsi" w:eastAsiaTheme="minorEastAsia" w:hAnsiTheme="majorHAnsi" w:cstheme="majorHAnsi"/>
          <w:color w:val="000000" w:themeColor="text1"/>
          <w:sz w:val="24"/>
          <w:szCs w:val="24"/>
        </w:rPr>
        <w:t xml:space="preserve">. </w:t>
      </w:r>
    </w:p>
    <w:p w:rsidR="00941024" w:rsidRDefault="00144115" w:rsidP="00277724">
      <w:pPr>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În baza celor relatate, a</w:t>
      </w:r>
      <w:r w:rsidR="008F6BDC" w:rsidRPr="00CB5F81">
        <w:rPr>
          <w:rFonts w:asciiTheme="majorHAnsi" w:hAnsiTheme="majorHAnsi" w:cstheme="majorHAnsi"/>
          <w:color w:val="000000" w:themeColor="text1"/>
          <w:sz w:val="24"/>
          <w:szCs w:val="24"/>
        </w:rPr>
        <w:t xml:space="preserve">uditul </w:t>
      </w:r>
      <w:r>
        <w:rPr>
          <w:rFonts w:asciiTheme="majorHAnsi" w:hAnsiTheme="majorHAnsi" w:cstheme="majorHAnsi"/>
          <w:color w:val="000000" w:themeColor="text1"/>
          <w:sz w:val="24"/>
          <w:szCs w:val="24"/>
        </w:rPr>
        <w:t>concluzionează</w:t>
      </w:r>
      <w:r w:rsidR="008F6BDC" w:rsidRPr="00CB5F81">
        <w:rPr>
          <w:rFonts w:asciiTheme="majorHAnsi" w:hAnsiTheme="majorHAnsi" w:cstheme="majorHAnsi"/>
          <w:color w:val="000000" w:themeColor="text1"/>
          <w:sz w:val="24"/>
          <w:szCs w:val="24"/>
        </w:rPr>
        <w:t xml:space="preserve"> că</w:t>
      </w:r>
      <w:r w:rsidR="00EC1EAF">
        <w:rPr>
          <w:rFonts w:asciiTheme="majorHAnsi" w:hAnsiTheme="majorHAnsi" w:cstheme="majorHAnsi"/>
          <w:color w:val="000000" w:themeColor="text1"/>
          <w:sz w:val="24"/>
          <w:szCs w:val="24"/>
        </w:rPr>
        <w:t xml:space="preserve"> </w:t>
      </w:r>
      <w:r w:rsidR="00270E99" w:rsidRPr="00CB5F81">
        <w:rPr>
          <w:rFonts w:asciiTheme="majorHAnsi" w:hAnsiTheme="majorHAnsi" w:cstheme="majorHAnsi"/>
          <w:color w:val="000000" w:themeColor="text1"/>
          <w:sz w:val="24"/>
          <w:szCs w:val="24"/>
        </w:rPr>
        <w:t>cont</w:t>
      </w:r>
      <w:r>
        <w:rPr>
          <w:rFonts w:asciiTheme="majorHAnsi" w:hAnsiTheme="majorHAnsi" w:cstheme="majorHAnsi"/>
          <w:color w:val="000000" w:themeColor="text1"/>
          <w:sz w:val="24"/>
          <w:szCs w:val="24"/>
        </w:rPr>
        <w:t>r</w:t>
      </w:r>
      <w:r w:rsidR="00270E99" w:rsidRPr="00CB5F81">
        <w:rPr>
          <w:rFonts w:asciiTheme="majorHAnsi" w:hAnsiTheme="majorHAnsi" w:cstheme="majorHAnsi"/>
          <w:color w:val="000000" w:themeColor="text1"/>
          <w:sz w:val="24"/>
          <w:szCs w:val="24"/>
        </w:rPr>
        <w:t>o</w:t>
      </w:r>
      <w:r>
        <w:rPr>
          <w:rFonts w:asciiTheme="majorHAnsi" w:hAnsiTheme="majorHAnsi" w:cstheme="majorHAnsi"/>
          <w:color w:val="000000" w:themeColor="text1"/>
          <w:sz w:val="24"/>
          <w:szCs w:val="24"/>
        </w:rPr>
        <w:t>l</w:t>
      </w:r>
      <w:r w:rsidR="00270E99" w:rsidRPr="00CB5F81">
        <w:rPr>
          <w:rFonts w:asciiTheme="majorHAnsi" w:hAnsiTheme="majorHAnsi" w:cstheme="majorHAnsi"/>
          <w:color w:val="000000" w:themeColor="text1"/>
          <w:sz w:val="24"/>
          <w:szCs w:val="24"/>
        </w:rPr>
        <w:t>ul fiscal al</w:t>
      </w:r>
      <w:r w:rsidR="00EC1EAF">
        <w:rPr>
          <w:rFonts w:asciiTheme="majorHAnsi" w:hAnsiTheme="majorHAnsi" w:cstheme="majorHAnsi"/>
          <w:color w:val="000000" w:themeColor="text1"/>
          <w:sz w:val="24"/>
          <w:szCs w:val="24"/>
        </w:rPr>
        <w:t xml:space="preserve"> </w:t>
      </w:r>
      <w:r w:rsidR="00270E99" w:rsidRPr="00CB5F81">
        <w:rPr>
          <w:rFonts w:asciiTheme="majorHAnsi" w:hAnsiTheme="majorHAnsi" w:cstheme="majorHAnsi"/>
          <w:color w:val="000000" w:themeColor="text1"/>
          <w:sz w:val="24"/>
          <w:szCs w:val="24"/>
        </w:rPr>
        <w:t xml:space="preserve">spectrului de facilități se efectuează fragmentat, </w:t>
      </w:r>
      <w:r>
        <w:rPr>
          <w:rFonts w:asciiTheme="majorHAnsi" w:hAnsiTheme="majorHAnsi" w:cstheme="majorHAnsi"/>
          <w:color w:val="000000" w:themeColor="text1"/>
          <w:sz w:val="24"/>
          <w:szCs w:val="24"/>
        </w:rPr>
        <w:t xml:space="preserve">ale cărui </w:t>
      </w:r>
      <w:r w:rsidR="00270E99" w:rsidRPr="00CB5F81">
        <w:rPr>
          <w:rFonts w:asciiTheme="majorHAnsi" w:hAnsiTheme="majorHAnsi" w:cstheme="majorHAnsi"/>
          <w:color w:val="000000" w:themeColor="text1"/>
          <w:sz w:val="24"/>
          <w:szCs w:val="24"/>
        </w:rPr>
        <w:t>rezultate</w:t>
      </w:r>
      <w:r w:rsidR="00EC1EAF">
        <w:rPr>
          <w:rFonts w:asciiTheme="majorHAnsi" w:hAnsiTheme="majorHAnsi" w:cstheme="majorHAnsi"/>
          <w:color w:val="000000" w:themeColor="text1"/>
          <w:sz w:val="24"/>
          <w:szCs w:val="24"/>
        </w:rPr>
        <w:t xml:space="preserve"> </w:t>
      </w:r>
      <w:r w:rsidR="00270E99" w:rsidRPr="00CB5F81">
        <w:rPr>
          <w:rFonts w:asciiTheme="majorHAnsi" w:hAnsiTheme="majorHAnsi" w:cstheme="majorHAnsi"/>
          <w:color w:val="000000" w:themeColor="text1"/>
          <w:sz w:val="24"/>
          <w:szCs w:val="24"/>
        </w:rPr>
        <w:t>nu oferă un tablou general coerent și integru despre faptul că mijloacele statului acordate în formă de înlesniri fiscale sunt utilizate legal și</w:t>
      </w:r>
      <w:r w:rsidR="00EC1EAF">
        <w:rPr>
          <w:rFonts w:asciiTheme="majorHAnsi" w:hAnsiTheme="majorHAnsi" w:cstheme="majorHAnsi"/>
          <w:color w:val="000000" w:themeColor="text1"/>
          <w:sz w:val="24"/>
          <w:szCs w:val="24"/>
        </w:rPr>
        <w:t xml:space="preserve"> </w:t>
      </w:r>
      <w:r w:rsidR="00270E99" w:rsidRPr="00CB5F81">
        <w:rPr>
          <w:rFonts w:asciiTheme="majorHAnsi" w:hAnsiTheme="majorHAnsi" w:cstheme="majorHAnsi"/>
          <w:color w:val="000000" w:themeColor="text1"/>
          <w:sz w:val="24"/>
          <w:szCs w:val="24"/>
        </w:rPr>
        <w:t xml:space="preserve">conform </w:t>
      </w:r>
      <w:r w:rsidR="00366B76" w:rsidRPr="00CB5F81">
        <w:rPr>
          <w:rFonts w:asciiTheme="majorHAnsi" w:hAnsiTheme="majorHAnsi" w:cstheme="majorHAnsi"/>
          <w:color w:val="000000" w:themeColor="text1"/>
          <w:sz w:val="24"/>
          <w:szCs w:val="24"/>
        </w:rPr>
        <w:t>destinației</w:t>
      </w:r>
      <w:r w:rsidR="003B791A" w:rsidRPr="003B791A">
        <w:rPr>
          <w:rFonts w:asciiTheme="majorHAnsi" w:hAnsiTheme="majorHAnsi" w:cstheme="majorHAnsi"/>
          <w:color w:val="000000" w:themeColor="text1"/>
          <w:sz w:val="24"/>
          <w:szCs w:val="24"/>
        </w:rPr>
        <w:t>.</w:t>
      </w:r>
    </w:p>
    <w:p w:rsidR="00040BCB" w:rsidRDefault="00040BCB" w:rsidP="00277724">
      <w:pPr>
        <w:spacing w:line="240" w:lineRule="auto"/>
        <w:jc w:val="both"/>
        <w:rPr>
          <w:rFonts w:asciiTheme="majorHAnsi" w:hAnsiTheme="majorHAnsi" w:cstheme="majorHAnsi"/>
          <w:color w:val="000000" w:themeColor="text1"/>
          <w:sz w:val="24"/>
          <w:szCs w:val="24"/>
        </w:rPr>
      </w:pPr>
    </w:p>
    <w:p w:rsidR="00040BCB" w:rsidRDefault="00040BCB" w:rsidP="00277724">
      <w:pPr>
        <w:spacing w:line="240" w:lineRule="auto"/>
        <w:jc w:val="both"/>
        <w:rPr>
          <w:rFonts w:asciiTheme="majorHAnsi" w:hAnsiTheme="majorHAnsi" w:cstheme="majorHAnsi"/>
          <w:color w:val="000000" w:themeColor="text1"/>
          <w:sz w:val="24"/>
          <w:szCs w:val="24"/>
        </w:rPr>
      </w:pPr>
    </w:p>
    <w:p w:rsidR="00040BCB" w:rsidRPr="00CB5F81" w:rsidRDefault="00040BCB" w:rsidP="00277724">
      <w:pPr>
        <w:spacing w:line="240" w:lineRule="auto"/>
        <w:jc w:val="both"/>
        <w:rPr>
          <w:rFonts w:asciiTheme="majorHAnsi" w:hAnsiTheme="majorHAnsi" w:cstheme="majorHAnsi"/>
          <w:b/>
          <w:color w:val="000000" w:themeColor="text1"/>
          <w:sz w:val="24"/>
          <w:szCs w:val="24"/>
        </w:rPr>
      </w:pPr>
    </w:p>
    <w:p w:rsidR="00527D11" w:rsidRPr="00CB5F81" w:rsidRDefault="00621CB4" w:rsidP="008C1845">
      <w:pPr>
        <w:pStyle w:val="Heading2"/>
        <w:spacing w:after="120"/>
        <w:jc w:val="both"/>
        <w:rPr>
          <w:rFonts w:eastAsia="Times New Roman" w:cstheme="majorHAnsi"/>
          <w:b/>
          <w:i/>
          <w:sz w:val="28"/>
          <w:szCs w:val="28"/>
        </w:rPr>
      </w:pPr>
      <w:bookmarkStart w:id="29" w:name="_Toc111467873"/>
      <w:r>
        <w:rPr>
          <w:rFonts w:eastAsia="Times New Roman"/>
          <w:b/>
          <w:color w:val="2F5496" w:themeColor="accent5" w:themeShade="BF"/>
          <w:sz w:val="28"/>
          <w:szCs w:val="28"/>
        </w:rPr>
        <w:lastRenderedPageBreak/>
        <w:t xml:space="preserve">4.2. </w:t>
      </w:r>
      <w:r w:rsidR="006B020E" w:rsidRPr="00CB5F81">
        <w:rPr>
          <w:rFonts w:eastAsia="Times New Roman"/>
          <w:b/>
          <w:color w:val="2F5496" w:themeColor="accent5" w:themeShade="BF"/>
          <w:sz w:val="28"/>
          <w:szCs w:val="28"/>
        </w:rPr>
        <w:t>O</w:t>
      </w:r>
      <w:r w:rsidR="008C1845" w:rsidRPr="00CB5F81">
        <w:rPr>
          <w:rFonts w:eastAsia="Times New Roman"/>
          <w:b/>
          <w:color w:val="2F5496" w:themeColor="accent5" w:themeShade="BF"/>
          <w:sz w:val="28"/>
          <w:szCs w:val="28"/>
        </w:rPr>
        <w:t>BIECTIVUL</w:t>
      </w:r>
      <w:r w:rsidR="006B020E" w:rsidRPr="00CB5F81">
        <w:rPr>
          <w:rFonts w:eastAsia="Times New Roman"/>
          <w:b/>
          <w:color w:val="2F5496" w:themeColor="accent5" w:themeShade="BF"/>
          <w:sz w:val="28"/>
          <w:szCs w:val="28"/>
        </w:rPr>
        <w:t xml:space="preserve"> nr.2: Autoritățile statului au reexaminat sistemul existent de</w:t>
      </w:r>
      <w:r w:rsidR="00EC1EAF">
        <w:rPr>
          <w:rFonts w:eastAsia="Times New Roman"/>
          <w:b/>
          <w:color w:val="2F5496" w:themeColor="accent5" w:themeShade="BF"/>
          <w:sz w:val="28"/>
          <w:szCs w:val="28"/>
        </w:rPr>
        <w:t xml:space="preserve"> </w:t>
      </w:r>
      <w:r w:rsidR="006B020E" w:rsidRPr="00CB5F81">
        <w:rPr>
          <w:rFonts w:eastAsia="Times New Roman"/>
          <w:b/>
          <w:color w:val="2F5496" w:themeColor="accent5" w:themeShade="BF"/>
          <w:sz w:val="28"/>
          <w:szCs w:val="28"/>
        </w:rPr>
        <w:t>facilități, fiind</w:t>
      </w:r>
      <w:r w:rsidR="00EC1EAF">
        <w:rPr>
          <w:rFonts w:eastAsia="Times New Roman"/>
          <w:b/>
          <w:color w:val="2F5496" w:themeColor="accent5" w:themeShade="BF"/>
          <w:sz w:val="28"/>
          <w:szCs w:val="28"/>
        </w:rPr>
        <w:t xml:space="preserve"> </w:t>
      </w:r>
      <w:r w:rsidR="006B020E" w:rsidRPr="00CB5F81">
        <w:rPr>
          <w:rFonts w:eastAsia="Times New Roman"/>
          <w:b/>
          <w:color w:val="2F5496" w:themeColor="accent5" w:themeShade="BF"/>
          <w:sz w:val="28"/>
          <w:szCs w:val="28"/>
        </w:rPr>
        <w:t>aplicate</w:t>
      </w:r>
      <w:r w:rsidR="00EC1EAF">
        <w:rPr>
          <w:rFonts w:eastAsia="Times New Roman"/>
          <w:b/>
          <w:color w:val="2F5496" w:themeColor="accent5" w:themeShade="BF"/>
          <w:sz w:val="28"/>
          <w:szCs w:val="28"/>
        </w:rPr>
        <w:t xml:space="preserve"> </w:t>
      </w:r>
      <w:r w:rsidR="00D47076">
        <w:rPr>
          <w:rFonts w:eastAsia="Times New Roman"/>
          <w:b/>
          <w:color w:val="2F5496" w:themeColor="accent5" w:themeShade="BF"/>
          <w:sz w:val="28"/>
          <w:szCs w:val="28"/>
        </w:rPr>
        <w:t xml:space="preserve">conform </w:t>
      </w:r>
      <w:r w:rsidR="00D47076" w:rsidRPr="00526D44">
        <w:rPr>
          <w:rFonts w:eastAsia="Times New Roman"/>
          <w:b/>
          <w:color w:val="2F5496" w:themeColor="accent5" w:themeShade="BF"/>
          <w:sz w:val="28"/>
          <w:szCs w:val="28"/>
        </w:rPr>
        <w:t>principiil</w:t>
      </w:r>
      <w:r w:rsidR="00CD748B" w:rsidRPr="000B0D94">
        <w:rPr>
          <w:rFonts w:eastAsia="Times New Roman"/>
          <w:b/>
          <w:color w:val="2F5496" w:themeColor="accent5" w:themeShade="BF"/>
          <w:sz w:val="28"/>
          <w:szCs w:val="28"/>
        </w:rPr>
        <w:t>e</w:t>
      </w:r>
      <w:r w:rsidR="00D47076" w:rsidRPr="00526D44">
        <w:rPr>
          <w:rFonts w:eastAsia="Times New Roman"/>
          <w:b/>
          <w:color w:val="2F5496" w:themeColor="accent5" w:themeShade="BF"/>
          <w:sz w:val="28"/>
          <w:szCs w:val="28"/>
        </w:rPr>
        <w:t xml:space="preserve"> b</w:t>
      </w:r>
      <w:r w:rsidR="00D47076">
        <w:rPr>
          <w:rFonts w:eastAsia="Times New Roman"/>
          <w:b/>
          <w:color w:val="2F5496" w:themeColor="accent5" w:themeShade="BF"/>
          <w:sz w:val="28"/>
          <w:szCs w:val="28"/>
        </w:rPr>
        <w:t xml:space="preserve">unei </w:t>
      </w:r>
      <w:r w:rsidR="006B020E" w:rsidRPr="00CB5F81">
        <w:rPr>
          <w:rFonts w:eastAsia="Times New Roman"/>
          <w:b/>
          <w:color w:val="2F5496" w:themeColor="accent5" w:themeShade="BF"/>
          <w:sz w:val="28"/>
          <w:szCs w:val="28"/>
        </w:rPr>
        <w:t>guvern</w:t>
      </w:r>
      <w:r w:rsidR="00D47076">
        <w:rPr>
          <w:rFonts w:eastAsia="Times New Roman"/>
          <w:b/>
          <w:color w:val="2F5496" w:themeColor="accent5" w:themeShade="BF"/>
          <w:sz w:val="28"/>
          <w:szCs w:val="28"/>
        </w:rPr>
        <w:t>ări</w:t>
      </w:r>
      <w:r w:rsidR="006B020E" w:rsidRPr="00CB5F81">
        <w:rPr>
          <w:rFonts w:eastAsia="Times New Roman"/>
          <w:b/>
          <w:color w:val="2F5496" w:themeColor="accent5" w:themeShade="BF"/>
          <w:sz w:val="28"/>
          <w:szCs w:val="28"/>
        </w:rPr>
        <w:t>?</w:t>
      </w:r>
      <w:bookmarkEnd w:id="29"/>
      <w:r w:rsidR="006B020E" w:rsidRPr="00CB5F81">
        <w:rPr>
          <w:rFonts w:eastAsia="Times New Roman"/>
          <w:b/>
          <w:color w:val="2F5496" w:themeColor="accent5" w:themeShade="BF"/>
          <w:sz w:val="28"/>
          <w:szCs w:val="28"/>
        </w:rPr>
        <w:t xml:space="preserve"> </w:t>
      </w:r>
    </w:p>
    <w:p w:rsidR="006060D4" w:rsidRPr="00CB5F81" w:rsidRDefault="00361860" w:rsidP="00E571F2">
      <w:pPr>
        <w:shd w:val="clear" w:color="auto" w:fill="F2F2F2" w:themeFill="background1" w:themeFillShade="F2"/>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Existența numeroaselor  complexități  aferente  reformării sistemului  de facilități, </w:t>
      </w:r>
      <w:r w:rsidR="00B938FA">
        <w:rPr>
          <w:rFonts w:asciiTheme="majorHAnsi" w:eastAsia="Times New Roman" w:hAnsiTheme="majorHAnsi" w:cstheme="majorHAnsi"/>
          <w:sz w:val="24"/>
          <w:szCs w:val="24"/>
        </w:rPr>
        <w:t>precum</w:t>
      </w:r>
      <w:r>
        <w:rPr>
          <w:rFonts w:asciiTheme="majorHAnsi" w:eastAsia="Times New Roman" w:hAnsiTheme="majorHAnsi" w:cstheme="majorHAnsi"/>
          <w:sz w:val="24"/>
          <w:szCs w:val="24"/>
        </w:rPr>
        <w:t xml:space="preserve"> și faptul că a</w:t>
      </w:r>
      <w:r w:rsidR="00A53272" w:rsidRPr="00CB5F81">
        <w:rPr>
          <w:rFonts w:asciiTheme="majorHAnsi" w:eastAsia="Times New Roman" w:hAnsiTheme="majorHAnsi" w:cstheme="majorHAnsi"/>
          <w:sz w:val="24"/>
          <w:szCs w:val="24"/>
        </w:rPr>
        <w:t xml:space="preserve">utoritățile statului nu au fost suficient de responsabile </w:t>
      </w:r>
      <w:r w:rsidR="00FE3CCC" w:rsidRPr="00CB5F81">
        <w:rPr>
          <w:rFonts w:asciiTheme="majorHAnsi" w:eastAsia="Times New Roman" w:hAnsiTheme="majorHAnsi" w:cstheme="majorHAnsi"/>
          <w:sz w:val="24"/>
          <w:szCs w:val="24"/>
        </w:rPr>
        <w:t>în</w:t>
      </w:r>
      <w:r w:rsidR="00046E52" w:rsidRPr="00CB5F81">
        <w:rPr>
          <w:rFonts w:asciiTheme="majorHAnsi" w:eastAsia="Times New Roman" w:hAnsiTheme="majorHAnsi" w:cstheme="majorHAnsi"/>
          <w:sz w:val="24"/>
          <w:szCs w:val="24"/>
        </w:rPr>
        <w:t xml:space="preserve"> procesul de </w:t>
      </w:r>
      <w:r w:rsidR="006060D4" w:rsidRPr="00CB5F81">
        <w:rPr>
          <w:rFonts w:asciiTheme="majorHAnsi" w:eastAsia="Times New Roman" w:hAnsiTheme="majorHAnsi" w:cstheme="majorHAnsi"/>
          <w:sz w:val="24"/>
          <w:szCs w:val="24"/>
        </w:rPr>
        <w:t>gestiune a</w:t>
      </w:r>
      <w:r>
        <w:rPr>
          <w:rFonts w:asciiTheme="majorHAnsi" w:eastAsia="Times New Roman" w:hAnsiTheme="majorHAnsi" w:cstheme="majorHAnsi"/>
          <w:sz w:val="24"/>
          <w:szCs w:val="24"/>
        </w:rPr>
        <w:t xml:space="preserve"> acestuia</w:t>
      </w:r>
      <w:r w:rsidR="006060D4" w:rsidRPr="00CB5F81">
        <w:rPr>
          <w:rFonts w:asciiTheme="majorHAnsi" w:eastAsia="Times New Roman" w:hAnsiTheme="majorHAnsi" w:cstheme="majorHAnsi"/>
          <w:sz w:val="24"/>
          <w:szCs w:val="24"/>
        </w:rPr>
        <w:t>,</w:t>
      </w:r>
      <w:r w:rsidR="006060D4" w:rsidRPr="00CB5F81">
        <w:rPr>
          <w:rFonts w:asciiTheme="majorHAnsi" w:hAnsiTheme="majorHAnsi"/>
          <w:sz w:val="24"/>
          <w:szCs w:val="24"/>
        </w:rPr>
        <w:t xml:space="preserve"> or, neasigura</w:t>
      </w:r>
      <w:r w:rsidR="00B938FA">
        <w:rPr>
          <w:rFonts w:asciiTheme="majorHAnsi" w:hAnsiTheme="majorHAnsi"/>
          <w:sz w:val="24"/>
          <w:szCs w:val="24"/>
        </w:rPr>
        <w:t>rea</w:t>
      </w:r>
      <w:r w:rsidR="006060D4" w:rsidRPr="00CB5F81">
        <w:rPr>
          <w:rFonts w:asciiTheme="majorHAnsi" w:hAnsiTheme="majorHAnsi"/>
          <w:sz w:val="24"/>
          <w:szCs w:val="24"/>
        </w:rPr>
        <w:t xml:space="preserve"> în toate cazurile </w:t>
      </w:r>
      <w:r w:rsidR="00B938FA">
        <w:rPr>
          <w:rFonts w:asciiTheme="majorHAnsi" w:hAnsiTheme="majorHAnsi"/>
          <w:sz w:val="24"/>
          <w:szCs w:val="24"/>
        </w:rPr>
        <w:t xml:space="preserve">a </w:t>
      </w:r>
      <w:r w:rsidR="006060D4" w:rsidRPr="00CB5F81">
        <w:rPr>
          <w:rFonts w:asciiTheme="majorHAnsi" w:hAnsiTheme="majorHAnsi"/>
          <w:sz w:val="24"/>
          <w:szCs w:val="24"/>
        </w:rPr>
        <w:t>respect</w:t>
      </w:r>
      <w:r w:rsidR="00B938FA">
        <w:rPr>
          <w:rFonts w:asciiTheme="majorHAnsi" w:hAnsiTheme="majorHAnsi"/>
          <w:sz w:val="24"/>
          <w:szCs w:val="24"/>
        </w:rPr>
        <w:t>ării</w:t>
      </w:r>
      <w:r w:rsidR="006060D4" w:rsidRPr="00CB5F81">
        <w:rPr>
          <w:rFonts w:asciiTheme="majorHAnsi" w:hAnsiTheme="majorHAnsi"/>
          <w:sz w:val="24"/>
          <w:szCs w:val="24"/>
        </w:rPr>
        <w:t xml:space="preserve"> principiil</w:t>
      </w:r>
      <w:r w:rsidR="00B938FA">
        <w:rPr>
          <w:rFonts w:asciiTheme="majorHAnsi" w:hAnsiTheme="majorHAnsi"/>
          <w:sz w:val="24"/>
          <w:szCs w:val="24"/>
        </w:rPr>
        <w:t>or</w:t>
      </w:r>
      <w:r w:rsidR="006060D4" w:rsidRPr="00CB5F81">
        <w:rPr>
          <w:rFonts w:asciiTheme="majorHAnsi" w:hAnsiTheme="majorHAnsi"/>
          <w:sz w:val="24"/>
          <w:szCs w:val="24"/>
        </w:rPr>
        <w:t xml:space="preserve"> bunei guvernări </w:t>
      </w:r>
      <w:r w:rsidR="00E571F2" w:rsidRPr="00CB5F81">
        <w:rPr>
          <w:rFonts w:asciiTheme="majorHAnsi" w:hAnsiTheme="majorHAnsi"/>
          <w:sz w:val="24"/>
          <w:szCs w:val="24"/>
        </w:rPr>
        <w:t xml:space="preserve">în acordarea </w:t>
      </w:r>
      <w:r w:rsidR="00BF2523">
        <w:rPr>
          <w:rFonts w:asciiTheme="majorHAnsi" w:hAnsiTheme="majorHAnsi"/>
          <w:sz w:val="24"/>
          <w:szCs w:val="24"/>
        </w:rPr>
        <w:t>înlesnirilor</w:t>
      </w:r>
      <w:r w:rsidR="00B938FA">
        <w:rPr>
          <w:rFonts w:asciiTheme="majorHAnsi" w:hAnsiTheme="majorHAnsi"/>
          <w:sz w:val="24"/>
          <w:szCs w:val="24"/>
        </w:rPr>
        <w:t>,</w:t>
      </w:r>
      <w:r w:rsidR="00BF2523">
        <w:rPr>
          <w:rFonts w:asciiTheme="majorHAnsi" w:hAnsiTheme="majorHAnsi"/>
          <w:sz w:val="24"/>
          <w:szCs w:val="24"/>
        </w:rPr>
        <w:t xml:space="preserve"> </w:t>
      </w:r>
      <w:r>
        <w:rPr>
          <w:rFonts w:asciiTheme="majorHAnsi" w:hAnsiTheme="majorHAnsi"/>
          <w:sz w:val="24"/>
          <w:szCs w:val="24"/>
        </w:rPr>
        <w:t xml:space="preserve"> au condiționat următoarele deficiențe:</w:t>
      </w:r>
    </w:p>
    <w:p w:rsidR="00D05E06" w:rsidRDefault="00EC1EAF" w:rsidP="00E571F2">
      <w:pPr>
        <w:shd w:val="clear" w:color="auto" w:fill="F2F2F2" w:themeFill="background1" w:themeFillShade="F2"/>
        <w:jc w:val="both"/>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 </w:t>
      </w:r>
      <w:r w:rsidR="0081758F" w:rsidRPr="00CB5F81">
        <w:rPr>
          <w:rFonts w:asciiTheme="majorHAnsi" w:eastAsia="Times New Roman" w:hAnsiTheme="majorHAnsi" w:cs="Arial"/>
          <w:b/>
          <w:sz w:val="24"/>
          <w:szCs w:val="24"/>
        </w:rPr>
        <w:t xml:space="preserve">i) </w:t>
      </w:r>
      <w:r w:rsidR="001A6F78" w:rsidRPr="00CB5F81">
        <w:rPr>
          <w:rFonts w:asciiTheme="majorHAnsi" w:eastAsia="Times New Roman" w:hAnsiTheme="majorHAnsi" w:cs="Arial"/>
          <w:sz w:val="24"/>
          <w:szCs w:val="24"/>
        </w:rPr>
        <w:t xml:space="preserve">Un număr </w:t>
      </w:r>
      <w:r w:rsidR="000169A7" w:rsidRPr="00CB5F81">
        <w:rPr>
          <w:rFonts w:asciiTheme="majorHAnsi" w:eastAsia="Times New Roman" w:hAnsiTheme="majorHAnsi" w:cstheme="majorHAnsi"/>
          <w:sz w:val="24"/>
          <w:szCs w:val="24"/>
        </w:rPr>
        <w:t xml:space="preserve">preponderent </w:t>
      </w:r>
      <w:r w:rsidR="001A6F78" w:rsidRPr="00CB5F81">
        <w:rPr>
          <w:rFonts w:asciiTheme="majorHAnsi" w:eastAsia="Times New Roman" w:hAnsiTheme="majorHAnsi" w:cstheme="majorHAnsi"/>
          <w:sz w:val="24"/>
          <w:szCs w:val="24"/>
        </w:rPr>
        <w:t xml:space="preserve">de </w:t>
      </w:r>
      <w:r w:rsidR="000169A7" w:rsidRPr="00CB5F81">
        <w:rPr>
          <w:rFonts w:asciiTheme="majorHAnsi" w:eastAsia="Times New Roman" w:hAnsiTheme="majorHAnsi" w:cstheme="majorHAnsi"/>
          <w:sz w:val="24"/>
          <w:szCs w:val="24"/>
        </w:rPr>
        <w:t>facilități</w:t>
      </w:r>
      <w:r w:rsidR="001A6F78" w:rsidRPr="00CB5F81">
        <w:rPr>
          <w:rFonts w:asciiTheme="majorHAnsi" w:eastAsia="Times New Roman" w:hAnsiTheme="majorHAnsi" w:cstheme="majorHAnsi"/>
          <w:sz w:val="24"/>
          <w:szCs w:val="24"/>
        </w:rPr>
        <w:t xml:space="preserve"> </w:t>
      </w:r>
      <w:r w:rsidR="000169A7" w:rsidRPr="00CB5F81">
        <w:rPr>
          <w:rFonts w:asciiTheme="majorHAnsi" w:eastAsia="Times New Roman" w:hAnsiTheme="majorHAnsi" w:cstheme="majorHAnsi"/>
          <w:sz w:val="24"/>
          <w:szCs w:val="24"/>
        </w:rPr>
        <w:t>fiscale</w:t>
      </w:r>
      <w:r w:rsidR="001A6F78" w:rsidRPr="00CB5F81">
        <w:rPr>
          <w:rFonts w:asciiTheme="majorHAnsi" w:eastAsia="Times New Roman" w:hAnsiTheme="majorHAnsi" w:cstheme="majorHAnsi"/>
          <w:sz w:val="24"/>
          <w:szCs w:val="24"/>
        </w:rPr>
        <w:t xml:space="preserve"> se </w:t>
      </w:r>
      <w:r w:rsidR="000169A7" w:rsidRPr="00CB5F81">
        <w:rPr>
          <w:rFonts w:asciiTheme="majorHAnsi" w:eastAsia="Times New Roman" w:hAnsiTheme="majorHAnsi" w:cstheme="majorHAnsi"/>
          <w:sz w:val="24"/>
          <w:szCs w:val="24"/>
          <w:shd w:val="clear" w:color="auto" w:fill="F2F2F2" w:themeFill="background1" w:themeFillShade="F2"/>
        </w:rPr>
        <w:t>aplic</w:t>
      </w:r>
      <w:r w:rsidR="001A6F78" w:rsidRPr="00CB5F81">
        <w:rPr>
          <w:rFonts w:asciiTheme="majorHAnsi" w:eastAsia="Times New Roman" w:hAnsiTheme="majorHAnsi" w:cstheme="majorHAnsi"/>
          <w:sz w:val="24"/>
          <w:szCs w:val="24"/>
          <w:shd w:val="clear" w:color="auto" w:fill="F2F2F2" w:themeFill="background1" w:themeFillShade="F2"/>
        </w:rPr>
        <w:t xml:space="preserve">ă </w:t>
      </w:r>
      <w:r w:rsidR="001A6F78" w:rsidRPr="00CB5F81">
        <w:rPr>
          <w:rStyle w:val="Emphasis"/>
          <w:rFonts w:asciiTheme="majorHAnsi" w:hAnsiTheme="majorHAnsi" w:cstheme="majorHAnsi"/>
          <w:bCs/>
          <w:i w:val="0"/>
          <w:iCs w:val="0"/>
          <w:sz w:val="24"/>
          <w:szCs w:val="24"/>
          <w:shd w:val="clear" w:color="auto" w:fill="F2F2F2" w:themeFill="background1" w:themeFillShade="F2"/>
        </w:rPr>
        <w:t>timp îndelungat</w:t>
      </w:r>
      <w:r w:rsidR="00107B0B" w:rsidRPr="00CB5F81">
        <w:rPr>
          <w:rStyle w:val="Emphasis"/>
          <w:rFonts w:asciiTheme="majorHAnsi" w:hAnsiTheme="majorHAnsi" w:cstheme="majorHAnsi"/>
          <w:bCs/>
          <w:i w:val="0"/>
          <w:iCs w:val="0"/>
          <w:sz w:val="24"/>
          <w:szCs w:val="24"/>
          <w:shd w:val="clear" w:color="auto" w:fill="F2F2F2" w:themeFill="background1" w:themeFillShade="F2"/>
        </w:rPr>
        <w:t>,</w:t>
      </w:r>
      <w:r w:rsidR="00A90864" w:rsidRPr="00CB5F81">
        <w:rPr>
          <w:rFonts w:asciiTheme="majorHAnsi" w:hAnsiTheme="majorHAnsi" w:cstheme="majorHAnsi"/>
          <w:sz w:val="24"/>
          <w:szCs w:val="24"/>
          <w:shd w:val="clear" w:color="auto" w:fill="F2F2F2" w:themeFill="background1" w:themeFillShade="F2"/>
        </w:rPr>
        <w:t xml:space="preserve"> neexistând </w:t>
      </w:r>
      <w:r w:rsidR="00276890" w:rsidRPr="00CB5F81">
        <w:rPr>
          <w:rFonts w:asciiTheme="majorHAnsi" w:hAnsiTheme="majorHAnsi" w:cstheme="majorHAnsi"/>
          <w:sz w:val="24"/>
          <w:szCs w:val="24"/>
          <w:shd w:val="clear" w:color="auto" w:fill="F2F2F2" w:themeFill="background1" w:themeFillShade="F2"/>
        </w:rPr>
        <w:t>s</w:t>
      </w:r>
      <w:r w:rsidR="00E672C4" w:rsidRPr="00CB5F81">
        <w:rPr>
          <w:rFonts w:asciiTheme="majorHAnsi" w:hAnsiTheme="majorHAnsi" w:cstheme="majorHAnsi"/>
          <w:sz w:val="24"/>
          <w:szCs w:val="24"/>
          <w:shd w:val="clear" w:color="auto" w:fill="F2F2F2" w:themeFill="background1" w:themeFillShade="F2"/>
        </w:rPr>
        <w:t>tudii</w:t>
      </w:r>
      <w:r w:rsidR="002E15C5" w:rsidRPr="00CB5F81">
        <w:rPr>
          <w:rFonts w:asciiTheme="majorHAnsi" w:hAnsiTheme="majorHAnsi" w:cstheme="majorHAnsi"/>
          <w:sz w:val="24"/>
          <w:szCs w:val="24"/>
        </w:rPr>
        <w:t xml:space="preserve"> de impact </w:t>
      </w:r>
      <w:r w:rsidR="001A6F78" w:rsidRPr="00CB5F81">
        <w:rPr>
          <w:rFonts w:asciiTheme="majorHAnsi" w:hAnsiTheme="majorHAnsi" w:cstheme="majorHAnsi"/>
          <w:sz w:val="24"/>
          <w:szCs w:val="24"/>
        </w:rPr>
        <w:t>a</w:t>
      </w:r>
      <w:r w:rsidR="00B938FA">
        <w:rPr>
          <w:rFonts w:asciiTheme="majorHAnsi" w:hAnsiTheme="majorHAnsi" w:cstheme="majorHAnsi"/>
          <w:sz w:val="24"/>
          <w:szCs w:val="24"/>
        </w:rPr>
        <w:t>l</w:t>
      </w:r>
      <w:r w:rsidR="001A6F78" w:rsidRPr="00CB5F81">
        <w:rPr>
          <w:rFonts w:asciiTheme="majorHAnsi" w:hAnsiTheme="majorHAnsi" w:cstheme="majorHAnsi"/>
          <w:sz w:val="24"/>
          <w:szCs w:val="24"/>
        </w:rPr>
        <w:t xml:space="preserve"> </w:t>
      </w:r>
      <w:r w:rsidR="00A90864" w:rsidRPr="00CB5F81">
        <w:rPr>
          <w:rFonts w:asciiTheme="majorHAnsi" w:hAnsiTheme="majorHAnsi" w:cstheme="majorHAnsi"/>
          <w:sz w:val="24"/>
          <w:szCs w:val="24"/>
        </w:rPr>
        <w:t>acestora,</w:t>
      </w:r>
      <w:r w:rsidR="00276890" w:rsidRPr="00CB5F81">
        <w:rPr>
          <w:rFonts w:asciiTheme="majorHAnsi" w:hAnsiTheme="majorHAnsi" w:cstheme="majorHAnsi"/>
          <w:sz w:val="24"/>
          <w:szCs w:val="24"/>
        </w:rPr>
        <w:t xml:space="preserve"> inclus</w:t>
      </w:r>
      <w:r w:rsidR="00E571F2" w:rsidRPr="00CB5F81">
        <w:rPr>
          <w:rFonts w:asciiTheme="majorHAnsi" w:hAnsiTheme="majorHAnsi" w:cstheme="majorHAnsi"/>
          <w:sz w:val="24"/>
          <w:szCs w:val="24"/>
        </w:rPr>
        <w:t>iv</w:t>
      </w:r>
      <w:r w:rsidR="00A90864" w:rsidRPr="00CB5F81">
        <w:rPr>
          <w:rFonts w:asciiTheme="majorHAnsi" w:hAnsiTheme="majorHAnsi" w:cstheme="majorHAnsi"/>
          <w:sz w:val="24"/>
          <w:szCs w:val="24"/>
        </w:rPr>
        <w:t xml:space="preserve"> </w:t>
      </w:r>
      <w:r w:rsidR="00107B0B" w:rsidRPr="00CB5F81">
        <w:rPr>
          <w:rFonts w:asciiTheme="majorHAnsi" w:hAnsiTheme="majorHAnsi" w:cstheme="majorHAnsi"/>
          <w:sz w:val="24"/>
          <w:szCs w:val="24"/>
        </w:rPr>
        <w:t xml:space="preserve">nefiind </w:t>
      </w:r>
      <w:r w:rsidR="00045481" w:rsidRPr="00CB5F81">
        <w:rPr>
          <w:rFonts w:asciiTheme="majorHAnsi" w:eastAsia="Times New Roman" w:hAnsiTheme="majorHAnsi" w:cstheme="majorHAnsi"/>
          <w:sz w:val="24"/>
          <w:szCs w:val="24"/>
        </w:rPr>
        <w:t>evaluată eficacit</w:t>
      </w:r>
      <w:r w:rsidR="00276890" w:rsidRPr="00CB5F81">
        <w:rPr>
          <w:rFonts w:asciiTheme="majorHAnsi" w:eastAsia="Times New Roman" w:hAnsiTheme="majorHAnsi" w:cstheme="majorHAnsi"/>
          <w:sz w:val="24"/>
          <w:szCs w:val="24"/>
        </w:rPr>
        <w:t xml:space="preserve">atea </w:t>
      </w:r>
      <w:r w:rsidR="00045481" w:rsidRPr="00CB5F81">
        <w:rPr>
          <w:rFonts w:asciiTheme="majorHAnsi" w:eastAsia="Times New Roman" w:hAnsiTheme="majorHAnsi" w:cstheme="majorHAnsi"/>
          <w:sz w:val="24"/>
          <w:szCs w:val="24"/>
        </w:rPr>
        <w:t>și eficienț</w:t>
      </w:r>
      <w:r w:rsidR="00276890" w:rsidRPr="00CB5F81">
        <w:rPr>
          <w:rFonts w:asciiTheme="majorHAnsi" w:eastAsia="Times New Roman" w:hAnsiTheme="majorHAnsi" w:cstheme="majorHAnsi"/>
          <w:sz w:val="24"/>
          <w:szCs w:val="24"/>
        </w:rPr>
        <w:t xml:space="preserve">a acordării </w:t>
      </w:r>
      <w:r w:rsidR="00E540FA">
        <w:rPr>
          <w:rFonts w:asciiTheme="majorHAnsi" w:eastAsia="Times New Roman" w:hAnsiTheme="majorHAnsi" w:cstheme="majorHAnsi"/>
          <w:sz w:val="24"/>
          <w:szCs w:val="24"/>
        </w:rPr>
        <w:t>lor</w:t>
      </w:r>
      <w:r w:rsidR="001A6F78" w:rsidRPr="00CB5F81">
        <w:rPr>
          <w:rFonts w:asciiTheme="majorHAnsi" w:eastAsia="Times New Roman" w:hAnsiTheme="majorHAnsi" w:cstheme="majorHAnsi"/>
          <w:sz w:val="24"/>
          <w:szCs w:val="24"/>
        </w:rPr>
        <w:t>,</w:t>
      </w:r>
      <w:r w:rsidR="00045481" w:rsidRPr="00CB5F81">
        <w:rPr>
          <w:rFonts w:asciiTheme="majorHAnsi" w:eastAsia="Times New Roman" w:hAnsiTheme="majorHAnsi" w:cstheme="majorHAnsi"/>
          <w:sz w:val="24"/>
          <w:szCs w:val="24"/>
        </w:rPr>
        <w:t xml:space="preserve"> </w:t>
      </w:r>
      <w:r w:rsidR="007310E4" w:rsidRPr="00CB5F81">
        <w:rPr>
          <w:rFonts w:asciiTheme="majorHAnsi" w:eastAsia="Times New Roman" w:hAnsiTheme="majorHAnsi" w:cstheme="majorHAnsi"/>
          <w:sz w:val="24"/>
          <w:szCs w:val="24"/>
        </w:rPr>
        <w:t xml:space="preserve">prin </w:t>
      </w:r>
      <w:r w:rsidR="00A90864" w:rsidRPr="00CB5F81">
        <w:rPr>
          <w:rFonts w:asciiTheme="majorHAnsi" w:eastAsia="Times New Roman" w:hAnsiTheme="majorHAnsi" w:cstheme="majorHAnsi"/>
          <w:sz w:val="24"/>
          <w:szCs w:val="24"/>
        </w:rPr>
        <w:t xml:space="preserve">ce nu s-a </w:t>
      </w:r>
      <w:r w:rsidR="000169A7" w:rsidRPr="00CB5F81">
        <w:rPr>
          <w:rFonts w:asciiTheme="majorHAnsi" w:eastAsia="Times New Roman" w:hAnsiTheme="majorHAnsi" w:cstheme="majorHAnsi"/>
          <w:sz w:val="24"/>
          <w:szCs w:val="24"/>
        </w:rPr>
        <w:t xml:space="preserve">realizat pe deplin </w:t>
      </w:r>
      <w:r w:rsidR="00C922F4" w:rsidRPr="00CB5F81">
        <w:rPr>
          <w:rFonts w:asciiTheme="majorHAnsi" w:eastAsia="Times New Roman" w:hAnsiTheme="majorHAnsi" w:cstheme="majorHAnsi"/>
          <w:sz w:val="24"/>
          <w:szCs w:val="24"/>
        </w:rPr>
        <w:t xml:space="preserve">și </w:t>
      </w:r>
      <w:r w:rsidR="000169A7" w:rsidRPr="00CB5F81">
        <w:rPr>
          <w:rFonts w:asciiTheme="majorHAnsi" w:eastAsia="Times New Roman" w:hAnsiTheme="majorHAnsi" w:cstheme="majorHAnsi"/>
          <w:sz w:val="24"/>
          <w:szCs w:val="24"/>
        </w:rPr>
        <w:t>obiectivul stabilit în Planul de acțiuni al Guvernului pentru anii 2020-2023</w:t>
      </w:r>
      <w:r w:rsidR="0081758F" w:rsidRPr="00CB5F81">
        <w:rPr>
          <w:rFonts w:asciiTheme="majorHAnsi" w:eastAsia="Times New Roman" w:hAnsiTheme="majorHAnsi" w:cstheme="majorHAnsi"/>
          <w:sz w:val="24"/>
          <w:szCs w:val="24"/>
        </w:rPr>
        <w:t xml:space="preserve"> privind </w:t>
      </w:r>
      <w:r w:rsidR="00107B0B" w:rsidRPr="00CB5F81">
        <w:rPr>
          <w:rFonts w:asciiTheme="majorHAnsi" w:eastAsia="Times New Roman" w:hAnsiTheme="majorHAnsi" w:cstheme="majorHAnsi"/>
          <w:i/>
          <w:sz w:val="24"/>
          <w:szCs w:val="24"/>
        </w:rPr>
        <w:t>„</w:t>
      </w:r>
      <w:r w:rsidR="0081758F" w:rsidRPr="00CB5F81">
        <w:rPr>
          <w:rFonts w:asciiTheme="majorHAnsi" w:eastAsia="Times New Roman" w:hAnsiTheme="majorHAnsi" w:cstheme="majorHAnsi"/>
          <w:i/>
          <w:sz w:val="24"/>
          <w:szCs w:val="24"/>
        </w:rPr>
        <w:t>e</w:t>
      </w:r>
      <w:r w:rsidR="000169A7" w:rsidRPr="00CB5F81">
        <w:rPr>
          <w:rFonts w:asciiTheme="majorHAnsi" w:eastAsia="Times New Roman" w:hAnsiTheme="majorHAnsi" w:cstheme="majorHAnsi"/>
          <w:i/>
          <w:sz w:val="24"/>
          <w:szCs w:val="24"/>
        </w:rPr>
        <w:t>valua</w:t>
      </w:r>
      <w:r w:rsidR="0081758F" w:rsidRPr="00CB5F81">
        <w:rPr>
          <w:rFonts w:asciiTheme="majorHAnsi" w:eastAsia="Times New Roman" w:hAnsiTheme="majorHAnsi" w:cstheme="majorHAnsi"/>
          <w:i/>
          <w:sz w:val="24"/>
          <w:szCs w:val="24"/>
        </w:rPr>
        <w:t xml:space="preserve">rea </w:t>
      </w:r>
      <w:r w:rsidR="000169A7" w:rsidRPr="00CB5F81">
        <w:rPr>
          <w:rFonts w:asciiTheme="majorHAnsi" w:eastAsia="Times New Roman" w:hAnsiTheme="majorHAnsi" w:cstheme="majorHAnsi"/>
          <w:i/>
          <w:sz w:val="24"/>
          <w:szCs w:val="24"/>
        </w:rPr>
        <w:t>eficacit</w:t>
      </w:r>
      <w:r w:rsidR="0081758F" w:rsidRPr="00CB5F81">
        <w:rPr>
          <w:rFonts w:asciiTheme="majorHAnsi" w:eastAsia="Times New Roman" w:hAnsiTheme="majorHAnsi" w:cstheme="majorHAnsi"/>
          <w:i/>
          <w:sz w:val="24"/>
          <w:szCs w:val="24"/>
        </w:rPr>
        <w:t xml:space="preserve">ății </w:t>
      </w:r>
      <w:r w:rsidR="000169A7" w:rsidRPr="00CB5F81">
        <w:rPr>
          <w:rFonts w:asciiTheme="majorHAnsi" w:eastAsia="Times New Roman" w:hAnsiTheme="majorHAnsi" w:cstheme="majorHAnsi"/>
          <w:i/>
          <w:sz w:val="24"/>
          <w:szCs w:val="24"/>
        </w:rPr>
        <w:t xml:space="preserve">facilităților existente și introducerea noilor tipuri de subvenții pentru stimularea dezvoltării sustenabile a economiei și creșterea veniturilor la </w:t>
      </w:r>
      <w:r w:rsidR="000169A7" w:rsidRPr="00D05E06">
        <w:rPr>
          <w:rFonts w:asciiTheme="majorHAnsi" w:eastAsia="Times New Roman" w:hAnsiTheme="majorHAnsi" w:cstheme="majorHAnsi"/>
          <w:i/>
          <w:sz w:val="24"/>
          <w:szCs w:val="24"/>
        </w:rPr>
        <w:t>buget</w:t>
      </w:r>
      <w:r w:rsidR="00361860" w:rsidRPr="00D05E06">
        <w:rPr>
          <w:rFonts w:asciiTheme="majorHAnsi" w:eastAsia="Times New Roman" w:hAnsiTheme="majorHAnsi" w:cstheme="majorHAnsi"/>
          <w:sz w:val="24"/>
          <w:szCs w:val="24"/>
        </w:rPr>
        <w:t xml:space="preserve">”.  </w:t>
      </w:r>
    </w:p>
    <w:p w:rsidR="00FE3CCC" w:rsidRPr="00CB5F81" w:rsidRDefault="0081758F" w:rsidP="00E571F2">
      <w:pPr>
        <w:shd w:val="clear" w:color="auto" w:fill="F2F2F2" w:themeFill="background1" w:themeFillShade="F2"/>
        <w:jc w:val="both"/>
        <w:rPr>
          <w:rFonts w:asciiTheme="majorHAnsi" w:eastAsia="Times New Roman" w:hAnsiTheme="majorHAnsi" w:cs="Arial"/>
          <w:sz w:val="24"/>
          <w:szCs w:val="24"/>
        </w:rPr>
      </w:pPr>
      <w:r w:rsidRPr="00FD6E4A">
        <w:rPr>
          <w:rFonts w:asciiTheme="majorHAnsi" w:eastAsia="Times New Roman" w:hAnsiTheme="majorHAnsi" w:cstheme="majorHAnsi"/>
          <w:b/>
          <w:sz w:val="24"/>
          <w:szCs w:val="24"/>
        </w:rPr>
        <w:t>ii</w:t>
      </w:r>
      <w:r w:rsidR="00B76716" w:rsidRPr="00FD6E4A">
        <w:rPr>
          <w:rFonts w:asciiTheme="majorHAnsi" w:eastAsia="Times New Roman" w:hAnsiTheme="majorHAnsi" w:cstheme="majorHAnsi"/>
          <w:b/>
          <w:sz w:val="24"/>
          <w:szCs w:val="24"/>
        </w:rPr>
        <w:t>)</w:t>
      </w:r>
      <w:r w:rsidR="00B76716" w:rsidRPr="00CB5F81">
        <w:rPr>
          <w:rFonts w:asciiTheme="majorHAnsi" w:eastAsia="Times New Roman" w:hAnsiTheme="majorHAnsi" w:cstheme="majorHAnsi"/>
          <w:sz w:val="24"/>
          <w:szCs w:val="24"/>
        </w:rPr>
        <w:t xml:space="preserve"> </w:t>
      </w:r>
      <w:r w:rsidR="00A90864" w:rsidRPr="00CB5F81">
        <w:rPr>
          <w:rFonts w:asciiTheme="majorHAnsi" w:eastAsia="Times New Roman" w:hAnsiTheme="majorHAnsi" w:cstheme="majorHAnsi"/>
          <w:sz w:val="24"/>
          <w:szCs w:val="24"/>
        </w:rPr>
        <w:t>Acordare</w:t>
      </w:r>
      <w:r w:rsidR="000B6ACD" w:rsidRPr="00CB5F81">
        <w:rPr>
          <w:rFonts w:asciiTheme="majorHAnsi" w:eastAsia="Times New Roman" w:hAnsiTheme="majorHAnsi" w:cstheme="majorHAnsi"/>
          <w:sz w:val="24"/>
          <w:szCs w:val="24"/>
        </w:rPr>
        <w:t>a</w:t>
      </w:r>
      <w:r w:rsidR="00A90864" w:rsidRPr="00CB5F81">
        <w:rPr>
          <w:rFonts w:asciiTheme="majorHAnsi" w:eastAsia="Times New Roman" w:hAnsiTheme="majorHAnsi" w:cstheme="majorHAnsi"/>
          <w:sz w:val="24"/>
          <w:szCs w:val="24"/>
        </w:rPr>
        <w:t xml:space="preserve"> </w:t>
      </w:r>
      <w:r w:rsidR="00B76716" w:rsidRPr="00CB5F81">
        <w:rPr>
          <w:rFonts w:asciiTheme="majorHAnsi" w:eastAsia="Times New Roman" w:hAnsiTheme="majorHAnsi" w:cstheme="majorHAnsi"/>
          <w:sz w:val="24"/>
          <w:szCs w:val="24"/>
        </w:rPr>
        <w:t>facilităților</w:t>
      </w:r>
      <w:r w:rsidR="000B6ACD" w:rsidRPr="00CB5F81">
        <w:rPr>
          <w:rFonts w:asciiTheme="majorHAnsi" w:eastAsia="Times New Roman" w:hAnsiTheme="majorHAnsi" w:cstheme="majorHAnsi"/>
          <w:sz w:val="24"/>
          <w:szCs w:val="24"/>
        </w:rPr>
        <w:t xml:space="preserve"> s-a efectuat în lipsa unor programe </w:t>
      </w:r>
      <w:r w:rsidR="00C922F4" w:rsidRPr="00CB5F81">
        <w:rPr>
          <w:rFonts w:asciiTheme="majorHAnsi" w:eastAsia="Times New Roman" w:hAnsiTheme="majorHAnsi" w:cs="Arial"/>
          <w:sz w:val="24"/>
          <w:szCs w:val="24"/>
        </w:rPr>
        <w:t>sau strategii de dezvoltare economică a unor ramuri sau sectoare ale economiei naționale, care să conțină indicatori de impact/rezultat</w:t>
      </w:r>
      <w:r w:rsidR="00107B0B" w:rsidRPr="00CB5F81">
        <w:rPr>
          <w:rFonts w:asciiTheme="majorHAnsi" w:eastAsia="Times New Roman" w:hAnsiTheme="majorHAnsi" w:cs="Arial"/>
          <w:sz w:val="24"/>
          <w:szCs w:val="24"/>
        </w:rPr>
        <w:t xml:space="preserve"> și să</w:t>
      </w:r>
      <w:r w:rsidR="00EC1EAF">
        <w:rPr>
          <w:rFonts w:asciiTheme="majorHAnsi" w:eastAsia="Times New Roman" w:hAnsiTheme="majorHAnsi" w:cs="Arial"/>
          <w:sz w:val="24"/>
          <w:szCs w:val="24"/>
        </w:rPr>
        <w:t xml:space="preserve"> </w:t>
      </w:r>
      <w:r w:rsidR="00B76716" w:rsidRPr="00CB5F81">
        <w:rPr>
          <w:rFonts w:asciiTheme="majorHAnsi" w:eastAsia="Times New Roman" w:hAnsiTheme="majorHAnsi" w:cs="Arial"/>
          <w:sz w:val="24"/>
          <w:szCs w:val="24"/>
        </w:rPr>
        <w:t>permită</w:t>
      </w:r>
      <w:r w:rsidR="00C922F4" w:rsidRPr="00CB5F81">
        <w:rPr>
          <w:rFonts w:asciiTheme="majorHAnsi" w:eastAsia="Times New Roman" w:hAnsiTheme="majorHAnsi" w:cs="Arial"/>
          <w:sz w:val="24"/>
          <w:szCs w:val="24"/>
        </w:rPr>
        <w:t xml:space="preserve"> evaluarea beneficiilor rezultate din acordarea acestora</w:t>
      </w:r>
      <w:r w:rsidR="00B76716" w:rsidRPr="00CB5F81">
        <w:rPr>
          <w:rFonts w:asciiTheme="majorHAnsi" w:eastAsia="Times New Roman" w:hAnsiTheme="majorHAnsi" w:cs="Arial"/>
          <w:sz w:val="24"/>
          <w:szCs w:val="24"/>
        </w:rPr>
        <w:t>;</w:t>
      </w:r>
    </w:p>
    <w:p w:rsidR="005116BF" w:rsidRPr="00CB5F81" w:rsidRDefault="00165B53" w:rsidP="00E571F2">
      <w:pPr>
        <w:shd w:val="clear" w:color="auto" w:fill="F2F2F2" w:themeFill="background1" w:themeFillShade="F2"/>
        <w:jc w:val="both"/>
        <w:rPr>
          <w:rFonts w:asciiTheme="majorHAnsi" w:eastAsia="Times New Roman" w:hAnsiTheme="majorHAnsi" w:cstheme="majorHAnsi"/>
          <w:sz w:val="24"/>
          <w:szCs w:val="24"/>
        </w:rPr>
      </w:pPr>
      <w:r w:rsidRPr="00CB5F81">
        <w:rPr>
          <w:rFonts w:asciiTheme="majorHAnsi" w:eastAsia="Times New Roman" w:hAnsiTheme="majorHAnsi" w:cstheme="majorHAnsi"/>
          <w:b/>
          <w:sz w:val="24"/>
          <w:szCs w:val="24"/>
        </w:rPr>
        <w:t xml:space="preserve"> </w:t>
      </w:r>
      <w:r w:rsidRPr="00FD6E4A">
        <w:rPr>
          <w:rFonts w:asciiTheme="majorHAnsi" w:eastAsia="Times New Roman" w:hAnsiTheme="majorHAnsi" w:cstheme="majorHAnsi"/>
          <w:b/>
          <w:sz w:val="24"/>
          <w:szCs w:val="24"/>
        </w:rPr>
        <w:t>iii)</w:t>
      </w:r>
      <w:r w:rsidR="00EC1EAF">
        <w:rPr>
          <w:rFonts w:asciiTheme="majorHAnsi" w:eastAsia="Times New Roman" w:hAnsiTheme="majorHAnsi" w:cstheme="majorHAnsi"/>
          <w:sz w:val="24"/>
          <w:szCs w:val="24"/>
        </w:rPr>
        <w:t xml:space="preserve"> </w:t>
      </w:r>
      <w:r w:rsidR="000B6ACD" w:rsidRPr="00CB5F81">
        <w:rPr>
          <w:rFonts w:asciiTheme="majorHAnsi" w:eastAsia="Times New Roman" w:hAnsiTheme="majorHAnsi" w:cstheme="majorHAnsi"/>
          <w:sz w:val="24"/>
          <w:szCs w:val="24"/>
        </w:rPr>
        <w:t>Deși MF a fost informat de către MAIA despre ineficiența scutirii de plata accizelor la alcoolul etilic nedenaturat</w:t>
      </w:r>
      <w:r w:rsidR="00E540FA">
        <w:rPr>
          <w:rFonts w:asciiTheme="majorHAnsi" w:eastAsia="Times New Roman" w:hAnsiTheme="majorHAnsi" w:cstheme="majorHAnsi"/>
          <w:sz w:val="24"/>
          <w:szCs w:val="24"/>
        </w:rPr>
        <w:t>,</w:t>
      </w:r>
      <w:r w:rsidR="000B6ACD" w:rsidRPr="00CB5F81">
        <w:rPr>
          <w:rFonts w:asciiTheme="majorHAnsi" w:eastAsia="Times New Roman" w:hAnsiTheme="majorHAnsi" w:cstheme="majorHAnsi"/>
          <w:sz w:val="24"/>
          <w:szCs w:val="24"/>
        </w:rPr>
        <w:t xml:space="preserve"> utilizat </w:t>
      </w:r>
      <w:r w:rsidR="00E672C4" w:rsidRPr="00CB5F81">
        <w:rPr>
          <w:rFonts w:asciiTheme="majorHAnsi" w:eastAsia="Times New Roman" w:hAnsiTheme="majorHAnsi" w:cstheme="majorHAnsi"/>
          <w:sz w:val="24"/>
          <w:szCs w:val="24"/>
        </w:rPr>
        <w:t xml:space="preserve">de agenții economici </w:t>
      </w:r>
      <w:r w:rsidR="000B6ACD" w:rsidRPr="00CB5F81">
        <w:rPr>
          <w:rFonts w:asciiTheme="majorHAnsi" w:eastAsia="Times New Roman" w:hAnsiTheme="majorHAnsi" w:cstheme="majorHAnsi"/>
          <w:sz w:val="24"/>
          <w:szCs w:val="24"/>
        </w:rPr>
        <w:t xml:space="preserve">la fabricarea </w:t>
      </w:r>
      <w:r w:rsidR="000B6ACD" w:rsidRPr="00CB5F81">
        <w:rPr>
          <w:rStyle w:val="Bodytext20"/>
          <w:rFonts w:asciiTheme="majorHAnsi" w:eastAsiaTheme="minorHAnsi" w:hAnsiTheme="majorHAnsi" w:cstheme="majorHAnsi"/>
          <w:color w:val="auto"/>
          <w:sz w:val="24"/>
          <w:szCs w:val="24"/>
          <w:lang w:val="ro-MD"/>
        </w:rPr>
        <w:t>produselor de parfumerie și cosmetică</w:t>
      </w:r>
      <w:r w:rsidR="000B6ACD" w:rsidRPr="00CB5F81">
        <w:rPr>
          <w:rFonts w:asciiTheme="majorHAnsi" w:eastAsia="Times New Roman" w:hAnsiTheme="majorHAnsi" w:cstheme="majorHAnsi"/>
          <w:sz w:val="24"/>
          <w:szCs w:val="24"/>
        </w:rPr>
        <w:t xml:space="preserve">, autoritatea </w:t>
      </w:r>
      <w:r w:rsidR="000B6ACD" w:rsidRPr="003B791A">
        <w:rPr>
          <w:rFonts w:asciiTheme="majorHAnsi" w:eastAsia="Times New Roman" w:hAnsiTheme="majorHAnsi" w:cstheme="majorHAnsi"/>
          <w:sz w:val="24"/>
          <w:szCs w:val="24"/>
        </w:rPr>
        <w:t>nu</w:t>
      </w:r>
      <w:r w:rsidR="00134DE4" w:rsidRPr="003B791A">
        <w:rPr>
          <w:rFonts w:asciiTheme="majorHAnsi" w:eastAsia="Times New Roman" w:hAnsiTheme="majorHAnsi" w:cstheme="majorHAnsi"/>
          <w:sz w:val="24"/>
          <w:szCs w:val="24"/>
        </w:rPr>
        <w:t xml:space="preserve"> a</w:t>
      </w:r>
      <w:r w:rsidR="000B6ACD" w:rsidRPr="003B791A">
        <w:rPr>
          <w:rFonts w:asciiTheme="majorHAnsi" w:eastAsia="Times New Roman" w:hAnsiTheme="majorHAnsi" w:cstheme="majorHAnsi"/>
          <w:sz w:val="24"/>
          <w:szCs w:val="24"/>
        </w:rPr>
        <w:t xml:space="preserve"> intervenit</w:t>
      </w:r>
      <w:r w:rsidR="000B6ACD" w:rsidRPr="00CB5F81">
        <w:rPr>
          <w:rFonts w:asciiTheme="majorHAnsi" w:eastAsia="Times New Roman" w:hAnsiTheme="majorHAnsi" w:cstheme="majorHAnsi"/>
          <w:sz w:val="24"/>
          <w:szCs w:val="24"/>
        </w:rPr>
        <w:t xml:space="preserve"> și nu a analizat aspectele acordării acestei facilități, care în anii 2020-202</w:t>
      </w:r>
      <w:r w:rsidR="00855F99">
        <w:rPr>
          <w:rFonts w:asciiTheme="majorHAnsi" w:eastAsia="Times New Roman" w:hAnsiTheme="majorHAnsi" w:cstheme="majorHAnsi"/>
          <w:sz w:val="24"/>
          <w:szCs w:val="24"/>
        </w:rPr>
        <w:t xml:space="preserve">1 </w:t>
      </w:r>
      <w:r w:rsidR="00855F99" w:rsidRPr="003B791A">
        <w:rPr>
          <w:rFonts w:asciiTheme="majorHAnsi" w:eastAsia="Times New Roman" w:hAnsiTheme="majorHAnsi" w:cstheme="majorHAnsi"/>
          <w:sz w:val="24"/>
          <w:szCs w:val="24"/>
        </w:rPr>
        <w:t>a constituit</w:t>
      </w:r>
      <w:r w:rsidR="00EC1EAF">
        <w:rPr>
          <w:rFonts w:asciiTheme="majorHAnsi" w:eastAsia="Times New Roman" w:hAnsiTheme="majorHAnsi" w:cstheme="majorHAnsi"/>
          <w:sz w:val="24"/>
          <w:szCs w:val="24"/>
        </w:rPr>
        <w:t xml:space="preserve"> </w:t>
      </w:r>
      <w:r w:rsidR="00480D4F" w:rsidRPr="00CB5F81">
        <w:rPr>
          <w:rFonts w:asciiTheme="majorHAnsi" w:eastAsia="Times New Roman" w:hAnsiTheme="majorHAnsi" w:cstheme="majorHAnsi"/>
          <w:sz w:val="24"/>
          <w:szCs w:val="24"/>
        </w:rPr>
        <w:t>circa</w:t>
      </w:r>
      <w:r w:rsidR="00107B0B" w:rsidRPr="00CB5F81">
        <w:rPr>
          <w:rFonts w:asciiTheme="majorHAnsi" w:eastAsia="Times New Roman" w:hAnsiTheme="majorHAnsi" w:cstheme="majorHAnsi"/>
          <w:sz w:val="24"/>
          <w:szCs w:val="24"/>
        </w:rPr>
        <w:t xml:space="preserve"> 0,9 </w:t>
      </w:r>
      <w:r w:rsidR="00726434" w:rsidRPr="00CB5F81">
        <w:rPr>
          <w:rFonts w:asciiTheme="majorHAnsi" w:eastAsia="Times New Roman" w:hAnsiTheme="majorHAnsi" w:cstheme="majorHAnsi"/>
          <w:sz w:val="24"/>
          <w:szCs w:val="24"/>
        </w:rPr>
        <w:t>ml</w:t>
      </w:r>
      <w:r w:rsidR="00E540FA">
        <w:rPr>
          <w:rFonts w:asciiTheme="majorHAnsi" w:eastAsia="Times New Roman" w:hAnsiTheme="majorHAnsi" w:cstheme="majorHAnsi"/>
          <w:sz w:val="24"/>
          <w:szCs w:val="24"/>
        </w:rPr>
        <w:t>r</w:t>
      </w:r>
      <w:r w:rsidR="00726434" w:rsidRPr="00CB5F81">
        <w:rPr>
          <w:rFonts w:asciiTheme="majorHAnsi" w:eastAsia="Times New Roman" w:hAnsiTheme="majorHAnsi" w:cstheme="majorHAnsi"/>
          <w:sz w:val="24"/>
          <w:szCs w:val="24"/>
        </w:rPr>
        <w:t>d.</w:t>
      </w:r>
      <w:r w:rsidR="00107B0B" w:rsidRPr="00CB5F81">
        <w:rPr>
          <w:rFonts w:asciiTheme="majorHAnsi" w:eastAsia="Times New Roman" w:hAnsiTheme="majorHAnsi" w:cstheme="majorHAnsi"/>
          <w:sz w:val="24"/>
          <w:szCs w:val="24"/>
        </w:rPr>
        <w:t xml:space="preserve"> l</w:t>
      </w:r>
      <w:r w:rsidR="000B6ACD" w:rsidRPr="00CB5F81">
        <w:rPr>
          <w:rFonts w:asciiTheme="majorHAnsi" w:eastAsia="Times New Roman" w:hAnsiTheme="majorHAnsi" w:cstheme="majorHAnsi"/>
          <w:sz w:val="24"/>
          <w:szCs w:val="24"/>
        </w:rPr>
        <w:t xml:space="preserve">ei. </w:t>
      </w:r>
      <w:r w:rsidR="00276890" w:rsidRPr="00CB5F81">
        <w:rPr>
          <w:rFonts w:asciiTheme="majorHAnsi" w:eastAsia="Times New Roman" w:hAnsiTheme="majorHAnsi" w:cstheme="majorHAnsi"/>
          <w:sz w:val="24"/>
          <w:szCs w:val="24"/>
        </w:rPr>
        <w:t>Lipsa unor</w:t>
      </w:r>
      <w:r w:rsidR="00B23868" w:rsidRPr="00CB5F81">
        <w:rPr>
          <w:rFonts w:asciiTheme="majorHAnsi" w:eastAsia="Times New Roman" w:hAnsiTheme="majorHAnsi" w:cstheme="majorHAnsi"/>
          <w:sz w:val="24"/>
          <w:szCs w:val="24"/>
        </w:rPr>
        <w:t xml:space="preserve"> procese funcționale în cadrul MAIA și SFS, dar</w:t>
      </w:r>
      <w:r w:rsidR="00107B0B" w:rsidRPr="00CB5F81">
        <w:rPr>
          <w:rFonts w:asciiTheme="majorHAnsi" w:eastAsia="Times New Roman" w:hAnsiTheme="majorHAnsi" w:cstheme="majorHAnsi"/>
          <w:sz w:val="24"/>
          <w:szCs w:val="24"/>
        </w:rPr>
        <w:t xml:space="preserve"> și</w:t>
      </w:r>
      <w:r w:rsidR="00EC1EAF">
        <w:rPr>
          <w:rFonts w:asciiTheme="majorHAnsi" w:eastAsia="Times New Roman" w:hAnsiTheme="majorHAnsi" w:cstheme="majorHAnsi"/>
          <w:sz w:val="24"/>
          <w:szCs w:val="24"/>
        </w:rPr>
        <w:t xml:space="preserve"> </w:t>
      </w:r>
      <w:r w:rsidR="00B23868" w:rsidRPr="00CB5F81">
        <w:rPr>
          <w:rFonts w:asciiTheme="majorHAnsi" w:eastAsia="Times New Roman" w:hAnsiTheme="majorHAnsi" w:cstheme="majorHAnsi"/>
          <w:sz w:val="24"/>
          <w:szCs w:val="24"/>
        </w:rPr>
        <w:t xml:space="preserve">comunicarea defectuoasă între aceste autorități ale statului au permis scutirea </w:t>
      </w:r>
      <w:r w:rsidR="00276890" w:rsidRPr="00CB5F81">
        <w:rPr>
          <w:rFonts w:asciiTheme="majorHAnsi" w:eastAsia="Times New Roman" w:hAnsiTheme="majorHAnsi" w:cstheme="majorHAnsi"/>
          <w:sz w:val="24"/>
          <w:szCs w:val="24"/>
        </w:rPr>
        <w:t>nelegitimă de plata</w:t>
      </w:r>
      <w:r w:rsidR="00EC1EAF">
        <w:rPr>
          <w:rFonts w:asciiTheme="majorHAnsi" w:eastAsia="Times New Roman" w:hAnsiTheme="majorHAnsi" w:cstheme="majorHAnsi"/>
          <w:sz w:val="24"/>
          <w:szCs w:val="24"/>
        </w:rPr>
        <w:t xml:space="preserve"> </w:t>
      </w:r>
      <w:r w:rsidR="00B23868" w:rsidRPr="00CB5F81">
        <w:rPr>
          <w:rFonts w:asciiTheme="majorHAnsi" w:eastAsia="Times New Roman" w:hAnsiTheme="majorHAnsi" w:cstheme="majorHAnsi"/>
          <w:sz w:val="24"/>
          <w:szCs w:val="24"/>
        </w:rPr>
        <w:t>accize</w:t>
      </w:r>
      <w:r w:rsidR="00276890" w:rsidRPr="00CB5F81">
        <w:rPr>
          <w:rFonts w:asciiTheme="majorHAnsi" w:eastAsia="Times New Roman" w:hAnsiTheme="majorHAnsi" w:cstheme="majorHAnsi"/>
          <w:sz w:val="24"/>
          <w:szCs w:val="24"/>
        </w:rPr>
        <w:t>lor</w:t>
      </w:r>
      <w:r w:rsidR="00B23868" w:rsidRPr="00CB5F81">
        <w:rPr>
          <w:rFonts w:asciiTheme="majorHAnsi" w:eastAsia="Times New Roman" w:hAnsiTheme="majorHAnsi" w:cstheme="majorHAnsi"/>
          <w:sz w:val="24"/>
          <w:szCs w:val="24"/>
        </w:rPr>
        <w:t xml:space="preserve"> la alcoolul etilic </w:t>
      </w:r>
      <w:r w:rsidR="000B6ACD" w:rsidRPr="00CB5F81">
        <w:rPr>
          <w:rFonts w:asciiTheme="majorHAnsi" w:eastAsia="Times New Roman" w:hAnsiTheme="majorHAnsi" w:cstheme="majorHAnsi"/>
          <w:sz w:val="24"/>
          <w:szCs w:val="24"/>
        </w:rPr>
        <w:t>a unor agenți economici</w:t>
      </w:r>
      <w:r w:rsidR="00E540FA">
        <w:rPr>
          <w:rFonts w:asciiTheme="majorHAnsi" w:eastAsia="Times New Roman" w:hAnsiTheme="majorHAnsi" w:cstheme="majorHAnsi"/>
          <w:sz w:val="24"/>
          <w:szCs w:val="24"/>
        </w:rPr>
        <w:t>,</w:t>
      </w:r>
      <w:r w:rsidR="000B6ACD" w:rsidRPr="00CB5F81">
        <w:rPr>
          <w:rFonts w:asciiTheme="majorHAnsi" w:eastAsia="Times New Roman" w:hAnsiTheme="majorHAnsi" w:cstheme="majorHAnsi"/>
          <w:sz w:val="24"/>
          <w:szCs w:val="24"/>
        </w:rPr>
        <w:t xml:space="preserve"> </w:t>
      </w:r>
      <w:r w:rsidR="00107B0B" w:rsidRPr="00CB5F81">
        <w:rPr>
          <w:rFonts w:asciiTheme="majorHAnsi" w:eastAsia="Times New Roman" w:hAnsiTheme="majorHAnsi" w:cstheme="majorHAnsi"/>
          <w:sz w:val="24"/>
          <w:szCs w:val="24"/>
        </w:rPr>
        <w:t>în valoare de 1,6 mil.lei. La fel, autoritățile statului</w:t>
      </w:r>
      <w:r w:rsidR="005116BF" w:rsidRPr="00CB5F81">
        <w:rPr>
          <w:rFonts w:asciiTheme="majorHAnsi" w:eastAsia="Times New Roman" w:hAnsiTheme="majorHAnsi" w:cstheme="majorHAnsi"/>
          <w:sz w:val="24"/>
          <w:szCs w:val="24"/>
        </w:rPr>
        <w:t>, nestabilindu-și reguli rigide privind acordarea facilităților,</w:t>
      </w:r>
      <w:r w:rsidR="00107B0B" w:rsidRPr="00CB5F81">
        <w:rPr>
          <w:rFonts w:asciiTheme="majorHAnsi" w:eastAsia="Times New Roman" w:hAnsiTheme="majorHAnsi" w:cstheme="majorHAnsi"/>
          <w:sz w:val="24"/>
          <w:szCs w:val="24"/>
        </w:rPr>
        <w:t xml:space="preserve"> au </w:t>
      </w:r>
      <w:r w:rsidR="005116BF" w:rsidRPr="00CB5F81">
        <w:rPr>
          <w:rFonts w:asciiTheme="majorHAnsi" w:eastAsia="Times New Roman" w:hAnsiTheme="majorHAnsi" w:cstheme="majorHAnsi"/>
          <w:sz w:val="24"/>
          <w:szCs w:val="24"/>
        </w:rPr>
        <w:t>acceptat situații dezavantajoase pentru bugetul statului, fiind a</w:t>
      </w:r>
      <w:r w:rsidR="00E540FA">
        <w:rPr>
          <w:rFonts w:asciiTheme="majorHAnsi" w:eastAsia="Times New Roman" w:hAnsiTheme="majorHAnsi" w:cstheme="majorHAnsi"/>
          <w:sz w:val="24"/>
          <w:szCs w:val="24"/>
        </w:rPr>
        <w:t>cord</w:t>
      </w:r>
      <w:r w:rsidR="005116BF" w:rsidRPr="00CB5F81">
        <w:rPr>
          <w:rFonts w:asciiTheme="majorHAnsi" w:eastAsia="Times New Roman" w:hAnsiTheme="majorHAnsi" w:cstheme="majorHAnsi"/>
          <w:sz w:val="24"/>
          <w:szCs w:val="24"/>
        </w:rPr>
        <w:t>ate</w:t>
      </w:r>
      <w:r w:rsidR="00107B0B" w:rsidRPr="00CB5F81">
        <w:rPr>
          <w:rFonts w:asciiTheme="majorHAnsi" w:eastAsia="Times New Roman" w:hAnsiTheme="majorHAnsi" w:cstheme="majorHAnsi"/>
          <w:sz w:val="24"/>
          <w:szCs w:val="24"/>
        </w:rPr>
        <w:t xml:space="preserve"> scutiri</w:t>
      </w:r>
      <w:r w:rsidR="005116BF" w:rsidRPr="00CB5F81">
        <w:rPr>
          <w:rFonts w:asciiTheme="majorHAnsi" w:eastAsia="Times New Roman" w:hAnsiTheme="majorHAnsi" w:cstheme="majorHAnsi"/>
          <w:sz w:val="24"/>
          <w:szCs w:val="24"/>
        </w:rPr>
        <w:t xml:space="preserve"> un</w:t>
      </w:r>
      <w:r w:rsidR="00CD748B">
        <w:rPr>
          <w:rFonts w:asciiTheme="majorHAnsi" w:eastAsia="Times New Roman" w:hAnsiTheme="majorHAnsi" w:cstheme="majorHAnsi"/>
          <w:sz w:val="24"/>
          <w:szCs w:val="24"/>
        </w:rPr>
        <w:t>or</w:t>
      </w:r>
      <w:r w:rsidR="005116BF" w:rsidRPr="00CB5F81">
        <w:rPr>
          <w:rFonts w:asciiTheme="majorHAnsi" w:eastAsia="Times New Roman" w:hAnsiTheme="majorHAnsi" w:cstheme="majorHAnsi"/>
          <w:sz w:val="24"/>
          <w:szCs w:val="24"/>
        </w:rPr>
        <w:t xml:space="preserve"> contribuabili</w:t>
      </w:r>
      <w:r w:rsidR="00EC1EAF">
        <w:rPr>
          <w:rFonts w:asciiTheme="majorHAnsi" w:eastAsia="Times New Roman" w:hAnsiTheme="majorHAnsi" w:cstheme="majorHAnsi"/>
          <w:sz w:val="24"/>
          <w:szCs w:val="24"/>
        </w:rPr>
        <w:t xml:space="preserve"> </w:t>
      </w:r>
      <w:r w:rsidR="00107B0B" w:rsidRPr="00CB5F81">
        <w:rPr>
          <w:rFonts w:asciiTheme="majorHAnsi" w:eastAsia="Times New Roman" w:hAnsiTheme="majorHAnsi" w:cstheme="majorHAnsi"/>
          <w:sz w:val="24"/>
          <w:szCs w:val="24"/>
        </w:rPr>
        <w:t>la plata accizelor</w:t>
      </w:r>
      <w:r w:rsidR="00CD748B">
        <w:rPr>
          <w:rFonts w:asciiTheme="majorHAnsi" w:eastAsia="Times New Roman" w:hAnsiTheme="majorHAnsi" w:cstheme="majorHAnsi"/>
          <w:sz w:val="24"/>
          <w:szCs w:val="24"/>
        </w:rPr>
        <w:t xml:space="preserve">, </w:t>
      </w:r>
      <w:r w:rsidR="005116BF" w:rsidRPr="00CB5F81">
        <w:rPr>
          <w:rFonts w:asciiTheme="majorHAnsi" w:eastAsia="Times New Roman" w:hAnsiTheme="majorHAnsi" w:cstheme="majorHAnsi"/>
          <w:sz w:val="24"/>
          <w:szCs w:val="24"/>
        </w:rPr>
        <w:t xml:space="preserve"> în sumă</w:t>
      </w:r>
      <w:r w:rsidR="00EC1EAF">
        <w:rPr>
          <w:rFonts w:asciiTheme="majorHAnsi" w:eastAsia="Times New Roman" w:hAnsiTheme="majorHAnsi" w:cstheme="majorHAnsi"/>
          <w:sz w:val="24"/>
          <w:szCs w:val="24"/>
        </w:rPr>
        <w:t xml:space="preserve"> </w:t>
      </w:r>
      <w:r w:rsidR="00107B0B" w:rsidRPr="00CB5F81">
        <w:rPr>
          <w:rFonts w:asciiTheme="majorHAnsi" w:eastAsia="Times New Roman" w:hAnsiTheme="majorHAnsi" w:cstheme="majorHAnsi"/>
          <w:sz w:val="24"/>
          <w:szCs w:val="24"/>
        </w:rPr>
        <w:t xml:space="preserve">de </w:t>
      </w:r>
      <w:r w:rsidR="00E540FA">
        <w:rPr>
          <w:rFonts w:asciiTheme="majorHAnsi" w:eastAsia="Times New Roman" w:hAnsiTheme="majorHAnsi" w:cstheme="majorHAnsi"/>
          <w:sz w:val="24"/>
          <w:szCs w:val="24"/>
        </w:rPr>
        <w:t>la</w:t>
      </w:r>
      <w:r w:rsidR="00107B0B" w:rsidRPr="00CB5F81">
        <w:rPr>
          <w:rFonts w:asciiTheme="majorHAnsi" w:eastAsia="Times New Roman" w:hAnsiTheme="majorHAnsi" w:cstheme="majorHAnsi"/>
          <w:sz w:val="24"/>
          <w:szCs w:val="24"/>
        </w:rPr>
        <w:t xml:space="preserve"> 5,0 mil. lei </w:t>
      </w:r>
      <w:r w:rsidR="00E540FA">
        <w:rPr>
          <w:rFonts w:asciiTheme="majorHAnsi" w:eastAsia="Times New Roman" w:hAnsiTheme="majorHAnsi" w:cstheme="majorHAnsi"/>
          <w:sz w:val="24"/>
          <w:szCs w:val="24"/>
        </w:rPr>
        <w:t>până la</w:t>
      </w:r>
      <w:r w:rsidR="00107B0B" w:rsidRPr="00CB5F81">
        <w:rPr>
          <w:rFonts w:asciiTheme="majorHAnsi" w:eastAsia="Times New Roman" w:hAnsiTheme="majorHAnsi" w:cstheme="majorHAnsi"/>
          <w:sz w:val="24"/>
          <w:szCs w:val="24"/>
        </w:rPr>
        <w:t xml:space="preserve"> 10,0 mil</w:t>
      </w:r>
      <w:r w:rsidR="00B247E6" w:rsidRPr="00CB5F81">
        <w:rPr>
          <w:rFonts w:asciiTheme="majorHAnsi" w:eastAsia="Times New Roman" w:hAnsiTheme="majorHAnsi" w:cstheme="majorHAnsi"/>
          <w:sz w:val="24"/>
          <w:szCs w:val="24"/>
        </w:rPr>
        <w:t>.</w:t>
      </w:r>
      <w:r w:rsidR="00107B0B" w:rsidRPr="00CB5F81">
        <w:rPr>
          <w:rFonts w:asciiTheme="majorHAnsi" w:eastAsia="Times New Roman" w:hAnsiTheme="majorHAnsi" w:cstheme="majorHAnsi"/>
          <w:sz w:val="24"/>
          <w:szCs w:val="24"/>
        </w:rPr>
        <w:t xml:space="preserve"> lei, </w:t>
      </w:r>
      <w:r w:rsidR="00E540FA">
        <w:rPr>
          <w:rFonts w:asciiTheme="majorHAnsi" w:eastAsia="Times New Roman" w:hAnsiTheme="majorHAnsi" w:cstheme="majorHAnsi"/>
          <w:sz w:val="24"/>
          <w:szCs w:val="24"/>
        </w:rPr>
        <w:t>deși</w:t>
      </w:r>
      <w:r w:rsidR="005116BF" w:rsidRPr="00CB5F81">
        <w:rPr>
          <w:rFonts w:asciiTheme="majorHAnsi" w:eastAsia="Times New Roman" w:hAnsiTheme="majorHAnsi" w:cstheme="majorHAnsi"/>
          <w:sz w:val="24"/>
          <w:szCs w:val="24"/>
        </w:rPr>
        <w:t xml:space="preserve"> aceștia</w:t>
      </w:r>
      <w:r w:rsidR="00E672C4" w:rsidRPr="00CB5F81">
        <w:rPr>
          <w:rFonts w:asciiTheme="majorHAnsi" w:eastAsia="Times New Roman" w:hAnsiTheme="majorHAnsi" w:cstheme="majorHAnsi"/>
          <w:sz w:val="24"/>
          <w:szCs w:val="24"/>
        </w:rPr>
        <w:t xml:space="preserve"> </w:t>
      </w:r>
      <w:r w:rsidR="00E540FA">
        <w:rPr>
          <w:rFonts w:asciiTheme="majorHAnsi" w:eastAsia="Times New Roman" w:hAnsiTheme="majorHAnsi" w:cstheme="majorHAnsi"/>
          <w:sz w:val="24"/>
          <w:szCs w:val="24"/>
        </w:rPr>
        <w:t xml:space="preserve">au </w:t>
      </w:r>
      <w:r w:rsidR="00E672C4" w:rsidRPr="00CB5F81">
        <w:rPr>
          <w:rFonts w:asciiTheme="majorHAnsi" w:eastAsia="Times New Roman" w:hAnsiTheme="majorHAnsi" w:cstheme="majorHAnsi"/>
          <w:sz w:val="24"/>
          <w:szCs w:val="24"/>
        </w:rPr>
        <w:t>contribui</w:t>
      </w:r>
      <w:r w:rsidR="00E540FA">
        <w:rPr>
          <w:rFonts w:asciiTheme="majorHAnsi" w:eastAsia="Times New Roman" w:hAnsiTheme="majorHAnsi" w:cstheme="majorHAnsi"/>
          <w:sz w:val="24"/>
          <w:szCs w:val="24"/>
        </w:rPr>
        <w:t>t</w:t>
      </w:r>
      <w:r w:rsidR="00E672C4" w:rsidRPr="00CB5F81">
        <w:rPr>
          <w:rFonts w:asciiTheme="majorHAnsi" w:eastAsia="Times New Roman" w:hAnsiTheme="majorHAnsi" w:cstheme="majorHAnsi"/>
          <w:sz w:val="24"/>
          <w:szCs w:val="24"/>
        </w:rPr>
        <w:t xml:space="preserve"> la buget cu sume mici</w:t>
      </w:r>
      <w:r w:rsidR="00E540FA">
        <w:rPr>
          <w:rFonts w:asciiTheme="majorHAnsi" w:eastAsia="Times New Roman" w:hAnsiTheme="majorHAnsi" w:cstheme="majorHAnsi"/>
          <w:sz w:val="24"/>
          <w:szCs w:val="24"/>
        </w:rPr>
        <w:t>,</w:t>
      </w:r>
      <w:r w:rsidR="00EC1EAF">
        <w:rPr>
          <w:rFonts w:asciiTheme="majorHAnsi" w:eastAsia="Times New Roman" w:hAnsiTheme="majorHAnsi" w:cstheme="majorHAnsi"/>
          <w:sz w:val="24"/>
          <w:szCs w:val="24"/>
        </w:rPr>
        <w:t xml:space="preserve"> </w:t>
      </w:r>
      <w:r w:rsidR="00E672C4" w:rsidRPr="00CB5F81">
        <w:rPr>
          <w:rFonts w:asciiTheme="majorHAnsi" w:eastAsia="Times New Roman" w:hAnsiTheme="majorHAnsi" w:cstheme="majorHAnsi"/>
          <w:sz w:val="24"/>
          <w:szCs w:val="24"/>
        </w:rPr>
        <w:t>cuprinse între 10,0</w:t>
      </w:r>
      <w:r w:rsidR="00EC1EAF">
        <w:rPr>
          <w:rFonts w:asciiTheme="majorHAnsi" w:eastAsia="Times New Roman" w:hAnsiTheme="majorHAnsi" w:cstheme="majorHAnsi"/>
          <w:sz w:val="24"/>
          <w:szCs w:val="24"/>
        </w:rPr>
        <w:t xml:space="preserve"> </w:t>
      </w:r>
      <w:r w:rsidR="00E672C4" w:rsidRPr="00CB5F81">
        <w:rPr>
          <w:rFonts w:asciiTheme="majorHAnsi" w:eastAsia="Times New Roman" w:hAnsiTheme="majorHAnsi" w:cstheme="majorHAnsi"/>
          <w:sz w:val="24"/>
          <w:szCs w:val="24"/>
        </w:rPr>
        <w:t>mii lei - 20,0 mii lei</w:t>
      </w:r>
      <w:r w:rsidR="005116BF" w:rsidRPr="00CB5F81">
        <w:rPr>
          <w:rFonts w:asciiTheme="majorHAnsi" w:eastAsia="Times New Roman" w:hAnsiTheme="majorHAnsi" w:cstheme="majorHAnsi"/>
          <w:sz w:val="24"/>
          <w:szCs w:val="24"/>
        </w:rPr>
        <w:t>.</w:t>
      </w:r>
    </w:p>
    <w:p w:rsidR="00FB23C9" w:rsidRPr="00CB5F81" w:rsidRDefault="00E672C4" w:rsidP="00E571F2">
      <w:pPr>
        <w:shd w:val="clear" w:color="auto" w:fill="F2F2F2" w:themeFill="background1" w:themeFillShade="F2"/>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 </w:t>
      </w:r>
      <w:r w:rsidR="00E60955" w:rsidRPr="005405A7">
        <w:rPr>
          <w:rFonts w:asciiTheme="majorHAnsi" w:eastAsia="Times New Roman" w:hAnsiTheme="majorHAnsi" w:cstheme="majorHAnsi"/>
          <w:sz w:val="24"/>
          <w:szCs w:val="24"/>
        </w:rPr>
        <w:t xml:space="preserve">Se atestă acțiuni tardive și din partea </w:t>
      </w:r>
      <w:r w:rsidR="00A90864" w:rsidRPr="005405A7">
        <w:rPr>
          <w:rFonts w:asciiTheme="majorHAnsi" w:eastAsia="Times New Roman" w:hAnsiTheme="majorHAnsi" w:cstheme="majorHAnsi"/>
          <w:sz w:val="24"/>
          <w:szCs w:val="24"/>
        </w:rPr>
        <w:t>Consiliul</w:t>
      </w:r>
      <w:r w:rsidR="00855F99" w:rsidRPr="005405A7">
        <w:rPr>
          <w:rFonts w:asciiTheme="majorHAnsi" w:eastAsia="Times New Roman" w:hAnsiTheme="majorHAnsi" w:cstheme="majorHAnsi"/>
          <w:sz w:val="24"/>
          <w:szCs w:val="24"/>
        </w:rPr>
        <w:t>ui</w:t>
      </w:r>
      <w:r w:rsidR="00A90864" w:rsidRPr="00CB5F81">
        <w:rPr>
          <w:rFonts w:asciiTheme="majorHAnsi" w:eastAsia="Times New Roman" w:hAnsiTheme="majorHAnsi" w:cstheme="majorHAnsi"/>
          <w:sz w:val="24"/>
          <w:szCs w:val="24"/>
        </w:rPr>
        <w:t xml:space="preserve"> Concurenței</w:t>
      </w:r>
      <w:r w:rsidR="00A10263" w:rsidRPr="00CB5F81">
        <w:rPr>
          <w:rFonts w:asciiTheme="majorHAnsi" w:eastAsia="Times New Roman" w:hAnsiTheme="majorHAnsi" w:cstheme="majorHAnsi"/>
          <w:sz w:val="24"/>
          <w:szCs w:val="24"/>
        </w:rPr>
        <w:t xml:space="preserve"> </w:t>
      </w:r>
      <w:r w:rsidR="00CD748B">
        <w:rPr>
          <w:rFonts w:asciiTheme="majorHAnsi" w:eastAsia="Times New Roman" w:hAnsiTheme="majorHAnsi" w:cstheme="majorHAnsi"/>
          <w:sz w:val="24"/>
          <w:szCs w:val="24"/>
        </w:rPr>
        <w:t>în ce privește</w:t>
      </w:r>
      <w:r w:rsidR="00A10263" w:rsidRPr="00CB5F81">
        <w:rPr>
          <w:rFonts w:asciiTheme="majorHAnsi" w:eastAsia="Times New Roman" w:hAnsiTheme="majorHAnsi" w:cstheme="majorHAnsi"/>
          <w:sz w:val="24"/>
          <w:szCs w:val="24"/>
        </w:rPr>
        <w:t xml:space="preserve"> </w:t>
      </w:r>
      <w:r w:rsidR="005E22A6" w:rsidRPr="00CB5F81">
        <w:rPr>
          <w:rFonts w:asciiTheme="majorHAnsi" w:hAnsiTheme="majorHAnsi"/>
          <w:sz w:val="24"/>
          <w:szCs w:val="24"/>
        </w:rPr>
        <w:t>verificarea</w:t>
      </w:r>
      <w:r w:rsidR="00EC1EAF">
        <w:rPr>
          <w:rFonts w:asciiTheme="majorHAnsi" w:hAnsiTheme="majorHAnsi"/>
          <w:sz w:val="24"/>
          <w:szCs w:val="24"/>
        </w:rPr>
        <w:t xml:space="preserve"> </w:t>
      </w:r>
      <w:r w:rsidR="00FB23C9" w:rsidRPr="00CB5F81">
        <w:rPr>
          <w:rFonts w:asciiTheme="majorHAnsi" w:hAnsiTheme="majorHAnsi"/>
          <w:sz w:val="24"/>
          <w:szCs w:val="24"/>
        </w:rPr>
        <w:t>respect</w:t>
      </w:r>
      <w:r w:rsidR="005E22A6" w:rsidRPr="00CB5F81">
        <w:rPr>
          <w:rFonts w:asciiTheme="majorHAnsi" w:hAnsiTheme="majorHAnsi"/>
          <w:sz w:val="24"/>
          <w:szCs w:val="24"/>
        </w:rPr>
        <w:t>ării p</w:t>
      </w:r>
      <w:r w:rsidR="00FB23C9" w:rsidRPr="00CB5F81">
        <w:rPr>
          <w:rFonts w:asciiTheme="majorHAnsi" w:hAnsiTheme="majorHAnsi"/>
          <w:sz w:val="24"/>
          <w:szCs w:val="24"/>
        </w:rPr>
        <w:t>revederilor actelor juridice în baza cărora</w:t>
      </w:r>
      <w:r w:rsidR="00E60955" w:rsidRPr="00CB5F81">
        <w:rPr>
          <w:rFonts w:asciiTheme="majorHAnsi" w:hAnsiTheme="majorHAnsi"/>
          <w:sz w:val="24"/>
          <w:szCs w:val="24"/>
        </w:rPr>
        <w:t xml:space="preserve"> au fost acordate facilitățile fiscale care se încadrează în </w:t>
      </w:r>
      <w:r w:rsidR="005116BF" w:rsidRPr="00CB5F81">
        <w:rPr>
          <w:rFonts w:asciiTheme="majorHAnsi" w:hAnsiTheme="majorHAnsi"/>
          <w:sz w:val="24"/>
          <w:szCs w:val="24"/>
        </w:rPr>
        <w:t>categoria</w:t>
      </w:r>
      <w:r w:rsidR="00855F99">
        <w:rPr>
          <w:rFonts w:asciiTheme="majorHAnsi" w:hAnsiTheme="majorHAnsi"/>
          <w:sz w:val="24"/>
          <w:szCs w:val="24"/>
        </w:rPr>
        <w:t xml:space="preserve"> </w:t>
      </w:r>
      <w:r w:rsidR="00E60955" w:rsidRPr="005405A7">
        <w:rPr>
          <w:rFonts w:asciiTheme="majorHAnsi" w:hAnsiTheme="majorHAnsi"/>
          <w:sz w:val="24"/>
          <w:szCs w:val="24"/>
        </w:rPr>
        <w:t>ajutor</w:t>
      </w:r>
      <w:r w:rsidR="00855F99" w:rsidRPr="005405A7">
        <w:rPr>
          <w:rFonts w:asciiTheme="majorHAnsi" w:hAnsiTheme="majorHAnsi"/>
          <w:sz w:val="24"/>
          <w:szCs w:val="24"/>
        </w:rPr>
        <w:t>ului</w:t>
      </w:r>
      <w:r w:rsidR="00E60955" w:rsidRPr="005405A7">
        <w:rPr>
          <w:rFonts w:asciiTheme="majorHAnsi" w:hAnsiTheme="majorHAnsi"/>
          <w:sz w:val="24"/>
          <w:szCs w:val="24"/>
        </w:rPr>
        <w:t xml:space="preserve"> de</w:t>
      </w:r>
      <w:r w:rsidR="005116BF" w:rsidRPr="00CB5F81">
        <w:rPr>
          <w:rFonts w:asciiTheme="majorHAnsi" w:hAnsiTheme="majorHAnsi"/>
          <w:sz w:val="24"/>
          <w:szCs w:val="24"/>
        </w:rPr>
        <w:t xml:space="preserve"> stat</w:t>
      </w:r>
      <w:r w:rsidR="00E60955" w:rsidRPr="00CB5F81">
        <w:rPr>
          <w:rFonts w:asciiTheme="majorHAnsi" w:hAnsiTheme="majorHAnsi"/>
          <w:sz w:val="24"/>
          <w:szCs w:val="24"/>
        </w:rPr>
        <w:t xml:space="preserve">, precum </w:t>
      </w:r>
      <w:r w:rsidR="00FB23C9" w:rsidRPr="00CB5F81">
        <w:rPr>
          <w:rFonts w:asciiTheme="majorHAnsi" w:hAnsiTheme="majorHAnsi"/>
          <w:sz w:val="24"/>
          <w:szCs w:val="24"/>
        </w:rPr>
        <w:t xml:space="preserve">și </w:t>
      </w:r>
      <w:r w:rsidR="00CD748B">
        <w:rPr>
          <w:rFonts w:asciiTheme="majorHAnsi" w:hAnsiTheme="majorHAnsi"/>
          <w:sz w:val="24"/>
          <w:szCs w:val="24"/>
        </w:rPr>
        <w:t>a</w:t>
      </w:r>
      <w:r w:rsidR="00847C32">
        <w:rPr>
          <w:rFonts w:asciiTheme="majorHAnsi" w:hAnsiTheme="majorHAnsi"/>
          <w:sz w:val="24"/>
          <w:szCs w:val="24"/>
        </w:rPr>
        <w:t xml:space="preserve"> </w:t>
      </w:r>
      <w:r w:rsidR="00FB23C9" w:rsidRPr="00CB5F81">
        <w:rPr>
          <w:rFonts w:asciiTheme="majorHAnsi" w:hAnsiTheme="majorHAnsi"/>
          <w:sz w:val="24"/>
          <w:szCs w:val="24"/>
        </w:rPr>
        <w:t>alini</w:t>
      </w:r>
      <w:r w:rsidR="005E22A6" w:rsidRPr="00CB5F81">
        <w:rPr>
          <w:rFonts w:asciiTheme="majorHAnsi" w:hAnsiTheme="majorHAnsi"/>
          <w:sz w:val="24"/>
          <w:szCs w:val="24"/>
        </w:rPr>
        <w:t>er</w:t>
      </w:r>
      <w:r w:rsidR="00CD748B">
        <w:rPr>
          <w:rFonts w:asciiTheme="majorHAnsi" w:hAnsiTheme="majorHAnsi"/>
          <w:sz w:val="24"/>
          <w:szCs w:val="24"/>
        </w:rPr>
        <w:t>ii</w:t>
      </w:r>
      <w:r w:rsidR="00847C32">
        <w:rPr>
          <w:rFonts w:asciiTheme="majorHAnsi" w:hAnsiTheme="majorHAnsi"/>
          <w:sz w:val="24"/>
          <w:szCs w:val="24"/>
        </w:rPr>
        <w:t xml:space="preserve"> </w:t>
      </w:r>
      <w:r w:rsidR="00361860">
        <w:rPr>
          <w:rFonts w:asciiTheme="majorHAnsi" w:hAnsiTheme="majorHAnsi"/>
          <w:sz w:val="24"/>
          <w:szCs w:val="24"/>
        </w:rPr>
        <w:t xml:space="preserve">de către autoritățile statului </w:t>
      </w:r>
      <w:r w:rsidR="00CD748B">
        <w:rPr>
          <w:rFonts w:asciiTheme="majorHAnsi" w:hAnsiTheme="majorHAnsi"/>
          <w:sz w:val="24"/>
          <w:szCs w:val="24"/>
        </w:rPr>
        <w:t xml:space="preserve">a </w:t>
      </w:r>
      <w:r w:rsidR="00847C32">
        <w:rPr>
          <w:rFonts w:asciiTheme="majorHAnsi" w:hAnsiTheme="majorHAnsi"/>
          <w:sz w:val="24"/>
          <w:szCs w:val="24"/>
        </w:rPr>
        <w:t>unor facilități acordate  sub formă  de ajutor de stat la prevederile</w:t>
      </w:r>
      <w:r w:rsidR="0052798C" w:rsidRPr="0052798C">
        <w:rPr>
          <w:rFonts w:asciiTheme="majorHAnsi" w:hAnsiTheme="majorHAnsi"/>
          <w:sz w:val="24"/>
          <w:szCs w:val="24"/>
        </w:rPr>
        <w:t xml:space="preserve"> </w:t>
      </w:r>
      <w:r w:rsidR="0052798C" w:rsidRPr="00CB5F81">
        <w:rPr>
          <w:rFonts w:asciiTheme="majorHAnsi" w:hAnsiTheme="majorHAnsi"/>
          <w:sz w:val="24"/>
          <w:szCs w:val="24"/>
        </w:rPr>
        <w:t>acquis-ului</w:t>
      </w:r>
      <w:r w:rsidR="0052798C">
        <w:rPr>
          <w:rFonts w:asciiTheme="majorHAnsi" w:hAnsiTheme="majorHAnsi"/>
          <w:sz w:val="24"/>
          <w:szCs w:val="24"/>
        </w:rPr>
        <w:t xml:space="preserve"> comunitar</w:t>
      </w:r>
      <w:r w:rsidR="00361860">
        <w:rPr>
          <w:rFonts w:asciiTheme="majorHAnsi" w:hAnsiTheme="majorHAnsi"/>
          <w:sz w:val="24"/>
          <w:szCs w:val="24"/>
        </w:rPr>
        <w:t>.</w:t>
      </w:r>
      <w:r w:rsidR="00EC1EAF">
        <w:rPr>
          <w:rFonts w:asciiTheme="majorHAnsi" w:hAnsiTheme="majorHAnsi"/>
          <w:sz w:val="24"/>
          <w:szCs w:val="24"/>
        </w:rPr>
        <w:t xml:space="preserve"> </w:t>
      </w:r>
    </w:p>
    <w:p w:rsidR="00A54BE5" w:rsidRPr="00A54BE5" w:rsidRDefault="00C84183" w:rsidP="00A213E9">
      <w:pPr>
        <w:pStyle w:val="Heading3"/>
        <w:numPr>
          <w:ilvl w:val="2"/>
          <w:numId w:val="22"/>
        </w:numPr>
        <w:tabs>
          <w:tab w:val="left" w:pos="630"/>
        </w:tabs>
        <w:spacing w:after="120"/>
        <w:ind w:left="0" w:firstLine="0"/>
        <w:jc w:val="both"/>
        <w:rPr>
          <w:lang w:eastAsia="ru-RU"/>
        </w:rPr>
      </w:pPr>
      <w:bookmarkStart w:id="30" w:name="_Toc111467874"/>
      <w:r w:rsidRPr="00A54BE5">
        <w:rPr>
          <w:rFonts w:eastAsia="Times New Roman"/>
          <w:b/>
          <w:color w:val="2E74B5" w:themeColor="accent1" w:themeShade="BF"/>
          <w:lang w:eastAsia="ru-RU"/>
        </w:rPr>
        <w:t>Ministerul Finanțelor a asigurat</w:t>
      </w:r>
      <w:r w:rsidR="00A54BE5" w:rsidRPr="00A54BE5">
        <w:rPr>
          <w:rFonts w:eastAsia="Times New Roman"/>
          <w:b/>
          <w:color w:val="2E74B5" w:themeColor="accent1" w:themeShade="BF"/>
          <w:lang w:eastAsia="ru-RU"/>
        </w:rPr>
        <w:t xml:space="preserve"> reevaluarea unui spectru redus a</w:t>
      </w:r>
      <w:r w:rsidR="00CD748B">
        <w:rPr>
          <w:rFonts w:eastAsia="Times New Roman"/>
          <w:b/>
          <w:color w:val="2E74B5" w:themeColor="accent1" w:themeShade="BF"/>
          <w:lang w:eastAsia="ru-RU"/>
        </w:rPr>
        <w:t>l</w:t>
      </w:r>
      <w:r w:rsidR="00A54BE5" w:rsidRPr="00A54BE5">
        <w:rPr>
          <w:rFonts w:eastAsia="Times New Roman"/>
          <w:b/>
          <w:color w:val="2E74B5" w:themeColor="accent1" w:themeShade="BF"/>
          <w:lang w:eastAsia="ru-RU"/>
        </w:rPr>
        <w:t xml:space="preserve"> </w:t>
      </w:r>
      <w:r w:rsidR="006341F1" w:rsidRPr="00A54BE5">
        <w:rPr>
          <w:rFonts w:eastAsia="Times New Roman"/>
          <w:b/>
          <w:color w:val="2E74B5" w:themeColor="accent1" w:themeShade="BF"/>
          <w:lang w:eastAsia="ru-RU"/>
        </w:rPr>
        <w:t>facilităților</w:t>
      </w:r>
      <w:r w:rsidR="00A54BE5">
        <w:rPr>
          <w:rFonts w:eastAsia="Times New Roman"/>
          <w:b/>
          <w:color w:val="2E74B5" w:themeColor="accent1" w:themeShade="BF"/>
          <w:lang w:eastAsia="ru-RU"/>
        </w:rPr>
        <w:t xml:space="preserve"> </w:t>
      </w:r>
      <w:r w:rsidR="006341F1" w:rsidRPr="00A54BE5">
        <w:rPr>
          <w:rFonts w:eastAsia="Times New Roman"/>
          <w:b/>
          <w:color w:val="2E74B5" w:themeColor="accent1" w:themeShade="BF"/>
          <w:lang w:eastAsia="ru-RU"/>
        </w:rPr>
        <w:t xml:space="preserve"> existente</w:t>
      </w:r>
      <w:bookmarkEnd w:id="30"/>
    </w:p>
    <w:p w:rsidR="0093592D" w:rsidRPr="00CB5F81" w:rsidRDefault="00B6165E" w:rsidP="0093592D">
      <w:pPr>
        <w:spacing w:after="120" w:line="240" w:lineRule="auto"/>
        <w:jc w:val="both"/>
        <w:rPr>
          <w:rFonts w:asciiTheme="majorHAnsi" w:hAnsiTheme="majorHAnsi" w:cstheme="majorHAnsi"/>
          <w:sz w:val="24"/>
          <w:szCs w:val="24"/>
        </w:rPr>
      </w:pPr>
      <w:r w:rsidRPr="00CB5F81">
        <w:rPr>
          <w:rFonts w:asciiTheme="majorHAnsi" w:eastAsia="Times New Roman" w:hAnsiTheme="majorHAnsi" w:cstheme="majorHAnsi"/>
          <w:sz w:val="24"/>
          <w:szCs w:val="24"/>
        </w:rPr>
        <w:t>Procesul de eficientizare a cheltuielilor statului prin raționalizarea utilizării banului public evident implică</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 xml:space="preserve">și </w:t>
      </w:r>
      <w:r w:rsidRPr="00CB5F81">
        <w:rPr>
          <w:rFonts w:asciiTheme="majorHAnsi" w:eastAsia="Times New Roman" w:hAnsiTheme="majorHAnsi" w:cstheme="majorHAnsi"/>
          <w:sz w:val="24"/>
          <w:szCs w:val="24"/>
          <w:lang w:eastAsia="ru-RU"/>
        </w:rPr>
        <w:t>eficientizarea utiliz</w:t>
      </w:r>
      <w:r w:rsidR="00F5714F" w:rsidRPr="00CB5F81">
        <w:rPr>
          <w:rFonts w:asciiTheme="majorHAnsi" w:eastAsia="Times New Roman" w:hAnsiTheme="majorHAnsi" w:cstheme="majorHAnsi"/>
          <w:sz w:val="24"/>
          <w:szCs w:val="24"/>
          <w:lang w:eastAsia="ru-RU"/>
        </w:rPr>
        <w:t>ării</w:t>
      </w:r>
      <w:r w:rsidRPr="00CB5F81">
        <w:rPr>
          <w:rFonts w:asciiTheme="majorHAnsi" w:eastAsia="Times New Roman" w:hAnsiTheme="majorHAnsi" w:cstheme="majorHAnsi"/>
          <w:sz w:val="24"/>
          <w:szCs w:val="24"/>
          <w:lang w:eastAsia="ru-RU"/>
        </w:rPr>
        <w:t xml:space="preserve"> resurselor de stat acordate sub formă de facilități fiscale</w:t>
      </w:r>
      <w:r w:rsidR="00E90108" w:rsidRPr="00CB5F81">
        <w:rPr>
          <w:rFonts w:asciiTheme="majorHAnsi" w:eastAsia="Times New Roman" w:hAnsiTheme="majorHAnsi" w:cstheme="majorHAnsi"/>
          <w:sz w:val="24"/>
          <w:szCs w:val="24"/>
          <w:lang w:eastAsia="ru-RU"/>
        </w:rPr>
        <w:t xml:space="preserve">, </w:t>
      </w:r>
      <w:r w:rsidR="00E90108" w:rsidRPr="00CB5F81">
        <w:rPr>
          <w:rFonts w:asciiTheme="majorHAnsi" w:eastAsia="Times New Roman" w:hAnsiTheme="majorHAnsi" w:cstheme="majorHAnsi"/>
          <w:sz w:val="24"/>
          <w:szCs w:val="24"/>
        </w:rPr>
        <w:t>întrucât</w:t>
      </w:r>
      <w:r w:rsidR="00CD748B">
        <w:rPr>
          <w:rFonts w:asciiTheme="majorHAnsi" w:eastAsia="Times New Roman" w:hAnsiTheme="majorHAnsi" w:cstheme="majorHAnsi"/>
          <w:sz w:val="24"/>
          <w:szCs w:val="24"/>
        </w:rPr>
        <w:t xml:space="preserve">, </w:t>
      </w:r>
      <w:r w:rsidR="00E90108" w:rsidRPr="00CB5F81">
        <w:rPr>
          <w:rFonts w:asciiTheme="majorHAnsi" w:eastAsia="Times New Roman" w:hAnsiTheme="majorHAnsi" w:cstheme="majorHAnsi"/>
          <w:sz w:val="24"/>
          <w:szCs w:val="24"/>
        </w:rPr>
        <w:t xml:space="preserve"> </w:t>
      </w:r>
      <w:r w:rsidR="00393827" w:rsidRPr="00CB5F81">
        <w:rPr>
          <w:rFonts w:asciiTheme="majorHAnsi" w:eastAsia="Times New Roman" w:hAnsiTheme="majorHAnsi" w:cstheme="majorHAnsi"/>
          <w:sz w:val="24"/>
          <w:szCs w:val="24"/>
        </w:rPr>
        <w:t>după cum s-a mai menționat</w:t>
      </w:r>
      <w:r w:rsidR="00CD748B">
        <w:rPr>
          <w:rFonts w:asciiTheme="majorHAnsi" w:eastAsia="Times New Roman" w:hAnsiTheme="majorHAnsi" w:cstheme="majorHAnsi"/>
          <w:sz w:val="24"/>
          <w:szCs w:val="24"/>
        </w:rPr>
        <w:t>,</w:t>
      </w:r>
      <w:r w:rsidR="00393827" w:rsidRPr="00CB5F81">
        <w:rPr>
          <w:rFonts w:asciiTheme="majorHAnsi" w:eastAsia="Times New Roman" w:hAnsiTheme="majorHAnsi" w:cstheme="majorHAnsi"/>
          <w:sz w:val="24"/>
          <w:szCs w:val="24"/>
        </w:rPr>
        <w:t xml:space="preserve"> </w:t>
      </w:r>
      <w:r w:rsidR="00E90108" w:rsidRPr="00CB5F81">
        <w:rPr>
          <w:rFonts w:asciiTheme="majorHAnsi" w:eastAsia="Times New Roman" w:hAnsiTheme="majorHAnsi" w:cstheme="majorHAnsi"/>
          <w:sz w:val="24"/>
          <w:szCs w:val="24"/>
        </w:rPr>
        <w:t>acestea permit micșorarea bazei impozabile și</w:t>
      </w:r>
      <w:r w:rsidR="00CD748B">
        <w:rPr>
          <w:rFonts w:asciiTheme="majorHAnsi" w:eastAsia="Times New Roman" w:hAnsiTheme="majorHAnsi" w:cstheme="majorHAnsi"/>
          <w:sz w:val="24"/>
          <w:szCs w:val="24"/>
        </w:rPr>
        <w:t>,</w:t>
      </w:r>
      <w:r w:rsidR="00E90108" w:rsidRPr="00CB5F81">
        <w:rPr>
          <w:rFonts w:asciiTheme="majorHAnsi" w:eastAsia="Times New Roman" w:hAnsiTheme="majorHAnsi" w:cstheme="majorHAnsi"/>
          <w:sz w:val="24"/>
          <w:szCs w:val="24"/>
        </w:rPr>
        <w:t xml:space="preserve"> respectiv</w:t>
      </w:r>
      <w:r w:rsidR="00CD748B">
        <w:rPr>
          <w:rFonts w:asciiTheme="majorHAnsi" w:eastAsia="Times New Roman" w:hAnsiTheme="majorHAnsi" w:cstheme="majorHAnsi"/>
          <w:sz w:val="24"/>
          <w:szCs w:val="24"/>
        </w:rPr>
        <w:t>,</w:t>
      </w:r>
      <w:r w:rsidR="00E90108" w:rsidRPr="00CB5F81">
        <w:rPr>
          <w:rFonts w:asciiTheme="majorHAnsi" w:eastAsia="Times New Roman" w:hAnsiTheme="majorHAnsi" w:cstheme="majorHAnsi"/>
          <w:sz w:val="24"/>
          <w:szCs w:val="24"/>
        </w:rPr>
        <w:t xml:space="preserve"> re</w:t>
      </w:r>
      <w:r w:rsidR="00C66B81" w:rsidRPr="00CB5F81">
        <w:rPr>
          <w:rFonts w:asciiTheme="majorHAnsi" w:eastAsia="Times New Roman" w:hAnsiTheme="majorHAnsi" w:cstheme="majorHAnsi"/>
          <w:sz w:val="24"/>
          <w:szCs w:val="24"/>
        </w:rPr>
        <w:t>duc veniturile</w:t>
      </w:r>
      <w:r w:rsidR="00E90108" w:rsidRPr="00CB5F81">
        <w:rPr>
          <w:rFonts w:asciiTheme="majorHAnsi" w:eastAsia="Times New Roman" w:hAnsiTheme="majorHAnsi" w:cstheme="majorHAnsi"/>
          <w:sz w:val="24"/>
          <w:szCs w:val="24"/>
        </w:rPr>
        <w:t xml:space="preserve"> pasibile încasării la BPN. </w:t>
      </w:r>
      <w:r w:rsidR="007A0AF6" w:rsidRPr="00CB5F81">
        <w:rPr>
          <w:rFonts w:asciiTheme="majorHAnsi" w:eastAsia="Times New Roman" w:hAnsiTheme="majorHAnsi" w:cstheme="majorHAnsi"/>
          <w:sz w:val="24"/>
          <w:szCs w:val="24"/>
          <w:lang w:eastAsia="ru-RU"/>
        </w:rPr>
        <w:t xml:space="preserve">În acest context, </w:t>
      </w:r>
      <w:r w:rsidR="007A0AF6" w:rsidRPr="00CB5F81">
        <w:rPr>
          <w:rFonts w:asciiTheme="majorHAnsi" w:eastAsia="Times New Roman" w:hAnsiTheme="majorHAnsi" w:cstheme="majorHAnsi"/>
          <w:sz w:val="24"/>
          <w:szCs w:val="24"/>
        </w:rPr>
        <w:t>P</w:t>
      </w:r>
      <w:r w:rsidR="007A0AF6" w:rsidRPr="00CB5F81">
        <w:rPr>
          <w:rFonts w:asciiTheme="majorHAnsi" w:eastAsia="Times New Roman" w:hAnsiTheme="majorHAnsi" w:cstheme="majorHAnsi"/>
          <w:sz w:val="24"/>
          <w:szCs w:val="24"/>
          <w:lang w:eastAsia="ru-RU"/>
        </w:rPr>
        <w:t>lanul de acțiuni al G</w:t>
      </w:r>
      <w:r w:rsidR="005405A7">
        <w:rPr>
          <w:rFonts w:asciiTheme="majorHAnsi" w:eastAsia="Times New Roman" w:hAnsiTheme="majorHAnsi" w:cstheme="majorHAnsi"/>
          <w:sz w:val="24"/>
          <w:szCs w:val="24"/>
          <w:lang w:eastAsia="ru-RU"/>
        </w:rPr>
        <w:t>uvernului pentru anii 2020-2023</w:t>
      </w:r>
      <w:r w:rsidR="00855F99">
        <w:rPr>
          <w:rFonts w:asciiTheme="majorHAnsi" w:eastAsia="Times New Roman" w:hAnsiTheme="majorHAnsi" w:cstheme="majorHAnsi"/>
          <w:sz w:val="24"/>
          <w:szCs w:val="24"/>
          <w:lang w:eastAsia="ru-RU"/>
        </w:rPr>
        <w:t xml:space="preserve"> </w:t>
      </w:r>
      <w:r w:rsidR="00855F99" w:rsidRPr="005405A7">
        <w:rPr>
          <w:rFonts w:asciiTheme="majorHAnsi" w:eastAsia="Times New Roman" w:hAnsiTheme="majorHAnsi" w:cstheme="majorHAnsi"/>
          <w:sz w:val="24"/>
          <w:szCs w:val="24"/>
          <w:lang w:eastAsia="ru-RU"/>
        </w:rPr>
        <w:t xml:space="preserve">a </w:t>
      </w:r>
      <w:r w:rsidR="007A0AF6" w:rsidRPr="005405A7">
        <w:rPr>
          <w:rFonts w:asciiTheme="majorHAnsi" w:eastAsia="Times New Roman" w:hAnsiTheme="majorHAnsi" w:cstheme="majorHAnsi"/>
          <w:sz w:val="24"/>
          <w:szCs w:val="24"/>
          <w:lang w:eastAsia="ru-RU"/>
        </w:rPr>
        <w:t>p</w:t>
      </w:r>
      <w:r w:rsidR="007A0AF6" w:rsidRPr="00CB5F81">
        <w:rPr>
          <w:rFonts w:asciiTheme="majorHAnsi" w:eastAsia="Times New Roman" w:hAnsiTheme="majorHAnsi" w:cstheme="majorHAnsi"/>
          <w:sz w:val="24"/>
          <w:szCs w:val="24"/>
          <w:lang w:eastAsia="ru-RU"/>
        </w:rPr>
        <w:t xml:space="preserve">revăzut </w:t>
      </w:r>
      <w:r w:rsidR="00820C7C" w:rsidRPr="00CB5F81">
        <w:rPr>
          <w:rFonts w:asciiTheme="majorHAnsi" w:eastAsia="Times New Roman" w:hAnsiTheme="majorHAnsi" w:cstheme="majorHAnsi"/>
          <w:sz w:val="24"/>
          <w:szCs w:val="24"/>
          <w:lang w:eastAsia="ru-RU"/>
        </w:rPr>
        <w:t xml:space="preserve">realizarea </w:t>
      </w:r>
      <w:r w:rsidR="007A0AF6" w:rsidRPr="00CB5F81">
        <w:rPr>
          <w:rFonts w:asciiTheme="majorHAnsi" w:eastAsia="Times New Roman" w:hAnsiTheme="majorHAnsi" w:cstheme="majorHAnsi"/>
          <w:sz w:val="24"/>
          <w:szCs w:val="24"/>
          <w:lang w:eastAsia="ru-RU"/>
        </w:rPr>
        <w:t xml:space="preserve">obiectivului </w:t>
      </w:r>
      <w:r w:rsidR="00CD748B">
        <w:rPr>
          <w:rFonts w:asciiTheme="majorHAnsi" w:eastAsia="Times New Roman" w:hAnsiTheme="majorHAnsi" w:cstheme="majorHAnsi"/>
          <w:sz w:val="24"/>
          <w:szCs w:val="24"/>
          <w:lang w:eastAsia="ru-RU"/>
        </w:rPr>
        <w:t>„</w:t>
      </w:r>
      <w:r w:rsidR="007A0AF6" w:rsidRPr="00CB5F81">
        <w:rPr>
          <w:rFonts w:asciiTheme="majorHAnsi" w:hAnsiTheme="majorHAnsi" w:cstheme="majorHAnsi"/>
          <w:sz w:val="24"/>
          <w:szCs w:val="24"/>
        </w:rPr>
        <w:t>Evaluarea eficacității facilităților existente și introducerea noilor tipuri de subvenții pentru stimularea dezvoltării sustenabile a economiei și creșterea veniturilor la buget”</w:t>
      </w:r>
      <w:r w:rsidR="00820C7C" w:rsidRPr="00CB5F81">
        <w:rPr>
          <w:rFonts w:asciiTheme="majorHAnsi" w:hAnsiTheme="majorHAnsi" w:cstheme="majorHAnsi"/>
          <w:sz w:val="24"/>
          <w:szCs w:val="24"/>
        </w:rPr>
        <w:t>.</w:t>
      </w:r>
    </w:p>
    <w:p w:rsidR="008E4A18" w:rsidRPr="00CB5F81" w:rsidRDefault="00F5714F" w:rsidP="00B04AE5">
      <w:pPr>
        <w:spacing w:after="120" w:line="240" w:lineRule="auto"/>
        <w:jc w:val="both"/>
        <w:rPr>
          <w:rFonts w:asciiTheme="majorHAnsi" w:eastAsia="Times New Roman" w:hAnsiTheme="majorHAnsi" w:cstheme="majorHAnsi"/>
          <w:sz w:val="24"/>
          <w:szCs w:val="24"/>
        </w:rPr>
      </w:pPr>
      <w:r w:rsidRPr="00CB5F81">
        <w:rPr>
          <w:rFonts w:asciiTheme="majorHAnsi" w:hAnsiTheme="majorHAnsi" w:cstheme="majorHAnsi"/>
          <w:sz w:val="24"/>
          <w:szCs w:val="24"/>
        </w:rPr>
        <w:t>U</w:t>
      </w:r>
      <w:r w:rsidR="00820C7C" w:rsidRPr="00CB5F81">
        <w:rPr>
          <w:rFonts w:asciiTheme="majorHAnsi" w:hAnsiTheme="majorHAnsi" w:cstheme="majorHAnsi"/>
          <w:sz w:val="24"/>
          <w:szCs w:val="24"/>
        </w:rPr>
        <w:t>na din</w:t>
      </w:r>
      <w:r w:rsidR="00CD748B">
        <w:rPr>
          <w:rFonts w:asciiTheme="majorHAnsi" w:hAnsiTheme="majorHAnsi" w:cstheme="majorHAnsi"/>
          <w:sz w:val="24"/>
          <w:szCs w:val="24"/>
        </w:rPr>
        <w:t>tre</w:t>
      </w:r>
      <w:r w:rsidR="00820C7C" w:rsidRPr="00CB5F81">
        <w:rPr>
          <w:rFonts w:asciiTheme="majorHAnsi" w:hAnsiTheme="majorHAnsi" w:cstheme="majorHAnsi"/>
          <w:sz w:val="24"/>
          <w:szCs w:val="24"/>
        </w:rPr>
        <w:t xml:space="preserve"> acțiunile </w:t>
      </w:r>
      <w:r w:rsidR="00820C7C" w:rsidRPr="005405A7">
        <w:rPr>
          <w:rFonts w:asciiTheme="majorHAnsi" w:hAnsiTheme="majorHAnsi" w:cstheme="majorHAnsi"/>
          <w:sz w:val="24"/>
          <w:szCs w:val="24"/>
        </w:rPr>
        <w:t>stabilite</w:t>
      </w:r>
      <w:r w:rsidR="00855F99" w:rsidRPr="005405A7">
        <w:rPr>
          <w:rFonts w:asciiTheme="majorHAnsi" w:hAnsiTheme="majorHAnsi" w:cstheme="majorHAnsi"/>
          <w:sz w:val="24"/>
          <w:szCs w:val="24"/>
        </w:rPr>
        <w:t xml:space="preserve"> pentru</w:t>
      </w:r>
      <w:r w:rsidRPr="00CB5F81">
        <w:rPr>
          <w:rFonts w:asciiTheme="majorHAnsi" w:hAnsiTheme="majorHAnsi" w:cstheme="majorHAnsi"/>
          <w:sz w:val="24"/>
          <w:szCs w:val="24"/>
        </w:rPr>
        <w:t xml:space="preserve">  realizarea acestui obiectiv</w:t>
      </w:r>
      <w:r w:rsidR="00EC1EAF">
        <w:rPr>
          <w:rFonts w:asciiTheme="majorHAnsi" w:hAnsiTheme="majorHAnsi" w:cstheme="majorHAnsi"/>
          <w:sz w:val="24"/>
          <w:szCs w:val="24"/>
        </w:rPr>
        <w:t xml:space="preserve"> </w:t>
      </w:r>
      <w:r w:rsidR="00820C7C" w:rsidRPr="00CB5F81">
        <w:rPr>
          <w:rFonts w:asciiTheme="majorHAnsi" w:hAnsiTheme="majorHAnsi" w:cstheme="majorHAnsi"/>
          <w:sz w:val="24"/>
          <w:szCs w:val="24"/>
        </w:rPr>
        <w:t>a vizat „</w:t>
      </w:r>
      <w:r w:rsidR="00820C7C" w:rsidRPr="00CB5F81">
        <w:rPr>
          <w:rFonts w:asciiTheme="majorHAnsi" w:eastAsia="Times New Roman" w:hAnsiTheme="majorHAnsi" w:cstheme="majorHAnsi"/>
          <w:sz w:val="24"/>
          <w:szCs w:val="24"/>
          <w:lang w:eastAsia="ru-RU"/>
        </w:rPr>
        <w:t>analizarea facilităților fiscale și vamale în vederea examinării oportunității menținerii acestora sau redirecționării spre alte sectoare”</w:t>
      </w:r>
      <w:r w:rsidR="00820C7C" w:rsidRPr="00CB5F81">
        <w:rPr>
          <w:rStyle w:val="FootnoteReference"/>
          <w:rFonts w:asciiTheme="majorHAnsi" w:eastAsia="Times New Roman" w:hAnsiTheme="majorHAnsi" w:cstheme="majorHAnsi"/>
          <w:sz w:val="24"/>
          <w:szCs w:val="24"/>
          <w:lang w:eastAsia="ru-RU"/>
        </w:rPr>
        <w:footnoteReference w:id="33"/>
      </w:r>
      <w:r w:rsidRPr="00CB5F81">
        <w:rPr>
          <w:rFonts w:asciiTheme="majorHAnsi" w:eastAsia="Times New Roman" w:hAnsiTheme="majorHAnsi" w:cstheme="majorHAnsi"/>
          <w:sz w:val="24"/>
          <w:szCs w:val="24"/>
          <w:lang w:eastAsia="ru-RU"/>
        </w:rPr>
        <w:t xml:space="preserve">, </w:t>
      </w:r>
      <w:r w:rsidR="0093592D" w:rsidRPr="00CB5F81">
        <w:rPr>
          <w:rFonts w:asciiTheme="majorHAnsi" w:eastAsia="Times New Roman" w:hAnsiTheme="majorHAnsi" w:cstheme="majorHAnsi"/>
          <w:sz w:val="24"/>
          <w:szCs w:val="24"/>
          <w:lang w:eastAsia="ru-RU"/>
        </w:rPr>
        <w:t>responsabil de implementare fiind M</w:t>
      </w:r>
      <w:r w:rsidR="00DC66D0">
        <w:rPr>
          <w:rFonts w:asciiTheme="majorHAnsi" w:eastAsia="Times New Roman" w:hAnsiTheme="majorHAnsi" w:cstheme="majorHAnsi"/>
          <w:sz w:val="24"/>
          <w:szCs w:val="24"/>
          <w:lang w:eastAsia="ru-RU"/>
        </w:rPr>
        <w:t>F</w:t>
      </w:r>
      <w:r w:rsidR="0093592D" w:rsidRPr="00CB5F81">
        <w:rPr>
          <w:rFonts w:asciiTheme="majorHAnsi" w:eastAsia="Times New Roman" w:hAnsiTheme="majorHAnsi" w:cstheme="majorHAnsi"/>
          <w:sz w:val="24"/>
          <w:szCs w:val="24"/>
          <w:lang w:eastAsia="ru-RU"/>
        </w:rPr>
        <w:t>, în calitate de autoritate</w:t>
      </w:r>
      <w:r w:rsidR="0093592D" w:rsidRPr="00CB5F81">
        <w:t xml:space="preserve"> </w:t>
      </w:r>
      <w:r w:rsidR="0093592D" w:rsidRPr="00CB5F81">
        <w:rPr>
          <w:rFonts w:asciiTheme="majorHAnsi" w:hAnsiTheme="majorHAnsi" w:cstheme="majorHAnsi"/>
          <w:sz w:val="24"/>
          <w:szCs w:val="24"/>
        </w:rPr>
        <w:t>publică centrală în domeniul finanțelor publice. Ace</w:t>
      </w:r>
      <w:r w:rsidR="002C28F0" w:rsidRPr="00CB5F81">
        <w:rPr>
          <w:rFonts w:asciiTheme="majorHAnsi" w:hAnsiTheme="majorHAnsi" w:cstheme="majorHAnsi"/>
          <w:sz w:val="24"/>
          <w:szCs w:val="24"/>
        </w:rPr>
        <w:t>a</w:t>
      </w:r>
      <w:r w:rsidR="0093592D" w:rsidRPr="00CB5F81">
        <w:rPr>
          <w:rFonts w:asciiTheme="majorHAnsi" w:hAnsiTheme="majorHAnsi" w:cstheme="majorHAnsi"/>
          <w:sz w:val="24"/>
          <w:szCs w:val="24"/>
        </w:rPr>
        <w:t>stă</w:t>
      </w:r>
      <w:r w:rsidR="00EC1EAF">
        <w:rPr>
          <w:rFonts w:asciiTheme="majorHAnsi" w:hAnsiTheme="majorHAnsi" w:cstheme="majorHAnsi"/>
          <w:sz w:val="24"/>
          <w:szCs w:val="24"/>
        </w:rPr>
        <w:t xml:space="preserve"> </w:t>
      </w:r>
      <w:r w:rsidR="00820C7C" w:rsidRPr="00CB5F81">
        <w:rPr>
          <w:rFonts w:asciiTheme="majorHAnsi" w:eastAsia="Times New Roman" w:hAnsiTheme="majorHAnsi" w:cstheme="majorHAnsi"/>
          <w:sz w:val="24"/>
          <w:szCs w:val="24"/>
          <w:lang w:eastAsia="ru-RU"/>
        </w:rPr>
        <w:t>acțiune</w:t>
      </w:r>
      <w:r w:rsidR="00ED3711">
        <w:rPr>
          <w:rFonts w:asciiTheme="majorHAnsi" w:eastAsia="Times New Roman" w:hAnsiTheme="majorHAnsi" w:cstheme="majorHAnsi"/>
          <w:sz w:val="24"/>
          <w:szCs w:val="24"/>
          <w:lang w:eastAsia="ru-RU"/>
        </w:rPr>
        <w:t xml:space="preserve"> </w:t>
      </w:r>
      <w:r w:rsidR="00820C7C" w:rsidRPr="00CB5F81">
        <w:rPr>
          <w:rFonts w:asciiTheme="majorHAnsi" w:eastAsia="Times New Roman" w:hAnsiTheme="majorHAnsi" w:cstheme="majorHAnsi"/>
          <w:sz w:val="24"/>
          <w:szCs w:val="24"/>
          <w:lang w:eastAsia="ru-RU"/>
        </w:rPr>
        <w:t xml:space="preserve"> urma să se </w:t>
      </w:r>
      <w:r w:rsidR="00C500F9" w:rsidRPr="00CB5F81">
        <w:rPr>
          <w:rFonts w:asciiTheme="majorHAnsi" w:eastAsia="Times New Roman" w:hAnsiTheme="majorHAnsi" w:cstheme="majorHAnsi"/>
          <w:sz w:val="24"/>
          <w:szCs w:val="24"/>
          <w:lang w:eastAsia="ru-RU"/>
        </w:rPr>
        <w:t>finalizeze cu un studiu</w:t>
      </w:r>
      <w:r w:rsidRPr="00CB5F81">
        <w:rPr>
          <w:rFonts w:asciiTheme="majorHAnsi" w:eastAsia="Times New Roman" w:hAnsiTheme="majorHAnsi" w:cstheme="majorHAnsi"/>
          <w:sz w:val="24"/>
          <w:szCs w:val="24"/>
          <w:lang w:eastAsia="ru-RU"/>
        </w:rPr>
        <w:t xml:space="preserve"> efectuat, inclusiv</w:t>
      </w:r>
      <w:r w:rsidR="00EC1EAF">
        <w:rPr>
          <w:rFonts w:asciiTheme="majorHAnsi" w:eastAsia="Times New Roman" w:hAnsiTheme="majorHAnsi" w:cstheme="majorHAnsi"/>
          <w:sz w:val="24"/>
          <w:szCs w:val="24"/>
          <w:lang w:eastAsia="ru-RU"/>
        </w:rPr>
        <w:t xml:space="preserve"> </w:t>
      </w:r>
      <w:r w:rsidR="002C28F0" w:rsidRPr="00CB5F81">
        <w:rPr>
          <w:rFonts w:asciiTheme="majorHAnsi" w:eastAsia="Times New Roman" w:hAnsiTheme="majorHAnsi" w:cstheme="majorHAnsi"/>
          <w:sz w:val="24"/>
          <w:szCs w:val="24"/>
          <w:lang w:eastAsia="ru-RU"/>
        </w:rPr>
        <w:t xml:space="preserve">cu </w:t>
      </w:r>
      <w:r w:rsidRPr="00CB5F81">
        <w:rPr>
          <w:rFonts w:asciiTheme="majorHAnsi" w:eastAsia="Times New Roman" w:hAnsiTheme="majorHAnsi" w:cstheme="majorHAnsi"/>
          <w:sz w:val="24"/>
          <w:szCs w:val="24"/>
          <w:lang w:eastAsia="ru-RU"/>
        </w:rPr>
        <w:t>propuneri de</w:t>
      </w:r>
      <w:r w:rsidR="00855F99">
        <w:rPr>
          <w:rFonts w:asciiTheme="majorHAnsi" w:eastAsia="Times New Roman" w:hAnsiTheme="majorHAnsi" w:cstheme="majorHAnsi"/>
          <w:sz w:val="24"/>
          <w:szCs w:val="24"/>
          <w:lang w:eastAsia="ru-RU"/>
        </w:rPr>
        <w:t xml:space="preserve"> modificare a cadrului normativ</w:t>
      </w:r>
      <w:r w:rsidRPr="00CB5F81">
        <w:rPr>
          <w:rFonts w:asciiTheme="majorHAnsi" w:eastAsia="Times New Roman" w:hAnsiTheme="majorHAnsi" w:cstheme="majorHAnsi"/>
          <w:sz w:val="24"/>
          <w:szCs w:val="24"/>
          <w:lang w:eastAsia="ru-RU"/>
        </w:rPr>
        <w:t>, termenul de</w:t>
      </w:r>
      <w:r w:rsidR="00EC1EAF">
        <w:rPr>
          <w:rFonts w:asciiTheme="majorHAnsi" w:eastAsia="Times New Roman" w:hAnsiTheme="majorHAnsi" w:cstheme="majorHAnsi"/>
          <w:sz w:val="24"/>
          <w:szCs w:val="24"/>
          <w:lang w:eastAsia="ru-RU"/>
        </w:rPr>
        <w:t xml:space="preserve"> </w:t>
      </w:r>
      <w:r w:rsidRPr="00CB5F81">
        <w:rPr>
          <w:rFonts w:asciiTheme="majorHAnsi" w:eastAsia="Times New Roman" w:hAnsiTheme="majorHAnsi" w:cstheme="majorHAnsi"/>
          <w:sz w:val="24"/>
          <w:szCs w:val="24"/>
          <w:lang w:eastAsia="ru-RU"/>
        </w:rPr>
        <w:t xml:space="preserve">realizare fiind stabilit pentru </w:t>
      </w:r>
      <w:r w:rsidR="00890E18">
        <w:rPr>
          <w:rFonts w:asciiTheme="majorHAnsi" w:eastAsia="Times New Roman" w:hAnsiTheme="majorHAnsi" w:cstheme="majorHAnsi"/>
          <w:sz w:val="24"/>
          <w:szCs w:val="24"/>
          <w:lang w:eastAsia="ru-RU"/>
        </w:rPr>
        <w:t xml:space="preserve">luna </w:t>
      </w:r>
      <w:r w:rsidRPr="00CB5F81">
        <w:rPr>
          <w:rFonts w:asciiTheme="majorHAnsi" w:eastAsia="Times New Roman" w:hAnsiTheme="majorHAnsi" w:cstheme="majorHAnsi"/>
          <w:sz w:val="24"/>
          <w:szCs w:val="24"/>
          <w:lang w:eastAsia="ru-RU"/>
        </w:rPr>
        <w:t xml:space="preserve"> aprilie 2021</w:t>
      </w:r>
      <w:r w:rsidR="0093592D" w:rsidRPr="00CB5F81">
        <w:rPr>
          <w:rFonts w:asciiTheme="majorHAnsi" w:hAnsiTheme="majorHAnsi" w:cstheme="majorHAnsi"/>
          <w:sz w:val="24"/>
          <w:szCs w:val="24"/>
        </w:rPr>
        <w:t>.</w:t>
      </w:r>
      <w:r w:rsidR="0093592D" w:rsidRPr="00CB5F81">
        <w:rPr>
          <w:rFonts w:asciiTheme="majorHAnsi" w:eastAsia="Times New Roman" w:hAnsiTheme="majorHAnsi" w:cstheme="majorHAnsi"/>
          <w:sz w:val="24"/>
          <w:szCs w:val="24"/>
          <w:lang w:eastAsia="ru-RU"/>
        </w:rPr>
        <w:t xml:space="preserve"> </w:t>
      </w:r>
      <w:r w:rsidRPr="00CB5F81">
        <w:rPr>
          <w:rFonts w:asciiTheme="majorHAnsi" w:eastAsia="Times New Roman" w:hAnsiTheme="majorHAnsi" w:cstheme="majorHAnsi"/>
          <w:sz w:val="24"/>
          <w:szCs w:val="24"/>
          <w:lang w:eastAsia="ru-RU"/>
        </w:rPr>
        <w:t>Auditul a constatat că</w:t>
      </w:r>
      <w:r w:rsidR="00890E18">
        <w:rPr>
          <w:rFonts w:asciiTheme="majorHAnsi" w:eastAsia="Times New Roman" w:hAnsiTheme="majorHAnsi" w:cstheme="majorHAnsi"/>
          <w:sz w:val="24"/>
          <w:szCs w:val="24"/>
          <w:lang w:eastAsia="ru-RU"/>
        </w:rPr>
        <w:t>,</w:t>
      </w:r>
      <w:r w:rsidRPr="00CB5F81">
        <w:rPr>
          <w:rFonts w:asciiTheme="majorHAnsi" w:eastAsia="Times New Roman" w:hAnsiTheme="majorHAnsi" w:cstheme="majorHAnsi"/>
          <w:sz w:val="24"/>
          <w:szCs w:val="24"/>
          <w:lang w:eastAsia="ru-RU"/>
        </w:rPr>
        <w:t xml:space="preserve"> de fapt</w:t>
      </w:r>
      <w:r w:rsidR="00890E18">
        <w:rPr>
          <w:rFonts w:asciiTheme="majorHAnsi" w:eastAsia="Times New Roman" w:hAnsiTheme="majorHAnsi" w:cstheme="majorHAnsi"/>
          <w:sz w:val="24"/>
          <w:szCs w:val="24"/>
          <w:lang w:eastAsia="ru-RU"/>
        </w:rPr>
        <w:t>,</w:t>
      </w:r>
      <w:r w:rsidRPr="00CB5F81">
        <w:rPr>
          <w:rFonts w:asciiTheme="majorHAnsi" w:eastAsia="Times New Roman" w:hAnsiTheme="majorHAnsi" w:cstheme="majorHAnsi"/>
          <w:sz w:val="24"/>
          <w:szCs w:val="24"/>
          <w:lang w:eastAsia="ru-RU"/>
        </w:rPr>
        <w:t xml:space="preserve"> această acțiune a rămas neimplementată, or, </w:t>
      </w:r>
      <w:r w:rsidR="000A14B8" w:rsidRPr="00CB5F81">
        <w:rPr>
          <w:rFonts w:asciiTheme="majorHAnsi" w:eastAsia="Times New Roman" w:hAnsiTheme="majorHAnsi" w:cstheme="majorHAnsi"/>
          <w:sz w:val="24"/>
          <w:szCs w:val="24"/>
          <w:lang w:eastAsia="ru-RU"/>
        </w:rPr>
        <w:t xml:space="preserve">nu </w:t>
      </w:r>
      <w:r w:rsidR="004738C0" w:rsidRPr="00CB5F81">
        <w:rPr>
          <w:rFonts w:asciiTheme="majorHAnsi" w:eastAsia="Times New Roman" w:hAnsiTheme="majorHAnsi" w:cstheme="majorHAnsi"/>
          <w:sz w:val="24"/>
          <w:szCs w:val="24"/>
          <w:lang w:eastAsia="ru-RU"/>
        </w:rPr>
        <w:t>a</w:t>
      </w:r>
      <w:r w:rsidR="0093592D" w:rsidRPr="00CB5F81">
        <w:rPr>
          <w:rFonts w:asciiTheme="majorHAnsi" w:eastAsia="Times New Roman" w:hAnsiTheme="majorHAnsi" w:cstheme="majorHAnsi"/>
          <w:sz w:val="24"/>
          <w:szCs w:val="24"/>
          <w:lang w:eastAsia="ru-RU"/>
        </w:rPr>
        <w:t xml:space="preserve"> fost </w:t>
      </w:r>
      <w:r w:rsidR="0093592D" w:rsidRPr="00CB5F81">
        <w:rPr>
          <w:rFonts w:asciiTheme="majorHAnsi" w:eastAsia="Times New Roman" w:hAnsiTheme="majorHAnsi" w:cstheme="majorHAnsi"/>
          <w:sz w:val="24"/>
          <w:szCs w:val="24"/>
          <w:lang w:eastAsia="ru-RU"/>
        </w:rPr>
        <w:lastRenderedPageBreak/>
        <w:t>asigurat</w:t>
      </w:r>
      <w:r w:rsidR="00B04AE5" w:rsidRPr="00CB5F81">
        <w:rPr>
          <w:rFonts w:asciiTheme="majorHAnsi" w:eastAsia="Times New Roman" w:hAnsiTheme="majorHAnsi" w:cstheme="majorHAnsi"/>
          <w:sz w:val="24"/>
          <w:szCs w:val="24"/>
          <w:lang w:eastAsia="ru-RU"/>
        </w:rPr>
        <w:t>ă</w:t>
      </w:r>
      <w:r w:rsidR="0093592D" w:rsidRPr="00CB5F81">
        <w:rPr>
          <w:rFonts w:asciiTheme="majorHAnsi" w:eastAsia="Times New Roman" w:hAnsiTheme="majorHAnsi" w:cstheme="majorHAnsi"/>
          <w:sz w:val="24"/>
          <w:szCs w:val="24"/>
          <w:lang w:eastAsia="ru-RU"/>
        </w:rPr>
        <w:t xml:space="preserve"> realizarea studiului de analiză privind eficiența și actualitatea </w:t>
      </w:r>
      <w:r w:rsidR="0093592D" w:rsidRPr="00CB5F81">
        <w:rPr>
          <w:rFonts w:asciiTheme="majorHAnsi" w:eastAsia="Times New Roman" w:hAnsiTheme="majorHAnsi" w:cstheme="majorHAnsi"/>
          <w:sz w:val="24"/>
          <w:szCs w:val="24"/>
        </w:rPr>
        <w:t>sistemului de facilități fiscale existente</w:t>
      </w:r>
      <w:r w:rsidR="00B04AE5" w:rsidRPr="00CB5F81">
        <w:rPr>
          <w:rFonts w:asciiTheme="majorHAnsi" w:eastAsia="Times New Roman" w:hAnsiTheme="majorHAnsi" w:cstheme="majorHAnsi"/>
          <w:sz w:val="24"/>
          <w:szCs w:val="24"/>
        </w:rPr>
        <w:t>.</w:t>
      </w:r>
      <w:r w:rsidR="002C38B5" w:rsidRPr="00CB5F81">
        <w:rPr>
          <w:rFonts w:asciiTheme="majorHAnsi" w:eastAsia="Times New Roman" w:hAnsiTheme="majorHAnsi" w:cstheme="majorHAnsi"/>
          <w:sz w:val="24"/>
          <w:szCs w:val="24"/>
        </w:rPr>
        <w:t xml:space="preserve"> Deși M</w:t>
      </w:r>
      <w:r w:rsidR="00DC66D0">
        <w:rPr>
          <w:rFonts w:asciiTheme="majorHAnsi" w:eastAsia="Times New Roman" w:hAnsiTheme="majorHAnsi" w:cstheme="majorHAnsi"/>
          <w:sz w:val="24"/>
          <w:szCs w:val="24"/>
        </w:rPr>
        <w:t>F</w:t>
      </w:r>
      <w:r w:rsidR="00751769" w:rsidRPr="00CB5F81">
        <w:rPr>
          <w:rFonts w:asciiTheme="majorHAnsi" w:eastAsia="Times New Roman" w:hAnsiTheme="majorHAnsi" w:cstheme="majorHAnsi"/>
          <w:sz w:val="24"/>
          <w:szCs w:val="24"/>
        </w:rPr>
        <w:t xml:space="preserve"> a explicat</w:t>
      </w:r>
      <w:r w:rsidR="00EC1EAF">
        <w:rPr>
          <w:rFonts w:asciiTheme="majorHAnsi" w:eastAsia="Times New Roman" w:hAnsiTheme="majorHAnsi" w:cstheme="majorHAnsi"/>
          <w:sz w:val="24"/>
          <w:szCs w:val="24"/>
        </w:rPr>
        <w:t xml:space="preserve"> </w:t>
      </w:r>
      <w:r w:rsidR="00751769" w:rsidRPr="00CB5F81">
        <w:rPr>
          <w:rFonts w:asciiTheme="majorHAnsi" w:eastAsia="Times New Roman" w:hAnsiTheme="majorHAnsi" w:cstheme="majorHAnsi"/>
          <w:sz w:val="24"/>
          <w:szCs w:val="24"/>
        </w:rPr>
        <w:t>că</w:t>
      </w:r>
      <w:r w:rsidR="00890E18">
        <w:rPr>
          <w:rFonts w:asciiTheme="majorHAnsi" w:eastAsia="Times New Roman" w:hAnsiTheme="majorHAnsi" w:cstheme="majorHAnsi"/>
          <w:sz w:val="24"/>
          <w:szCs w:val="24"/>
        </w:rPr>
        <w:t>,</w:t>
      </w:r>
      <w:r w:rsidR="00751769" w:rsidRPr="00CB5F81">
        <w:rPr>
          <w:rFonts w:asciiTheme="majorHAnsi" w:eastAsia="Times New Roman" w:hAnsiTheme="majorHAnsi" w:cstheme="majorHAnsi"/>
          <w:sz w:val="24"/>
          <w:szCs w:val="24"/>
        </w:rPr>
        <w:t xml:space="preserve"> </w:t>
      </w:r>
      <w:r w:rsidR="008E4A18" w:rsidRPr="00CB5F81">
        <w:rPr>
          <w:rFonts w:asciiTheme="majorHAnsi" w:eastAsia="Times New Roman" w:hAnsiTheme="majorHAnsi" w:cstheme="majorHAnsi"/>
          <w:sz w:val="24"/>
          <w:szCs w:val="24"/>
        </w:rPr>
        <w:t>la</w:t>
      </w:r>
      <w:r w:rsidR="00EC1EAF">
        <w:rPr>
          <w:rFonts w:asciiTheme="majorHAnsi" w:eastAsia="Times New Roman" w:hAnsiTheme="majorHAnsi" w:cstheme="majorHAnsi"/>
          <w:sz w:val="24"/>
          <w:szCs w:val="24"/>
        </w:rPr>
        <w:t xml:space="preserve"> </w:t>
      </w:r>
      <w:r w:rsidR="00751769" w:rsidRPr="00CB5F81">
        <w:rPr>
          <w:rFonts w:asciiTheme="majorHAnsi" w:eastAsia="Times New Roman" w:hAnsiTheme="majorHAnsi" w:cstheme="majorHAnsi"/>
          <w:sz w:val="24"/>
          <w:szCs w:val="24"/>
        </w:rPr>
        <w:t xml:space="preserve">aprobarea </w:t>
      </w:r>
      <w:r w:rsidR="002C38B5" w:rsidRPr="00CB5F81">
        <w:rPr>
          <w:rFonts w:asciiTheme="majorHAnsi" w:eastAsia="Times New Roman" w:hAnsiTheme="majorHAnsi" w:cstheme="majorHAnsi"/>
          <w:sz w:val="24"/>
          <w:szCs w:val="24"/>
        </w:rPr>
        <w:t xml:space="preserve">politicii fiscale pentru anul 2020 și </w:t>
      </w:r>
      <w:r w:rsidR="00751769" w:rsidRPr="00CB5F81">
        <w:rPr>
          <w:rFonts w:asciiTheme="majorHAnsi" w:eastAsia="Times New Roman" w:hAnsiTheme="majorHAnsi" w:cstheme="majorHAnsi"/>
          <w:sz w:val="24"/>
          <w:szCs w:val="24"/>
        </w:rPr>
        <w:t>conform Legii</w:t>
      </w:r>
      <w:r w:rsidR="00EC1EAF">
        <w:rPr>
          <w:rFonts w:asciiTheme="majorHAnsi" w:eastAsia="Times New Roman" w:hAnsiTheme="majorHAnsi" w:cstheme="majorHAnsi"/>
          <w:sz w:val="24"/>
          <w:szCs w:val="24"/>
        </w:rPr>
        <w:t xml:space="preserve"> </w:t>
      </w:r>
      <w:r w:rsidR="002C38B5" w:rsidRPr="00CB5F81">
        <w:rPr>
          <w:rFonts w:asciiTheme="majorHAnsi" w:eastAsia="Times New Roman" w:hAnsiTheme="majorHAnsi" w:cstheme="majorHAnsi"/>
          <w:sz w:val="24"/>
          <w:szCs w:val="24"/>
        </w:rPr>
        <w:t>cu privire la modificarea unor acte normative nr.257/2020</w:t>
      </w:r>
      <w:r w:rsidR="00890E18">
        <w:rPr>
          <w:rFonts w:asciiTheme="majorHAnsi" w:eastAsia="Times New Roman" w:hAnsiTheme="majorHAnsi" w:cstheme="majorHAnsi"/>
          <w:sz w:val="24"/>
          <w:szCs w:val="24"/>
        </w:rPr>
        <w:t>,</w:t>
      </w:r>
      <w:r w:rsidR="002C38B5" w:rsidRPr="00CB5F81">
        <w:rPr>
          <w:rFonts w:asciiTheme="majorHAnsi" w:eastAsia="Times New Roman" w:hAnsiTheme="majorHAnsi" w:cstheme="majorHAnsi"/>
          <w:sz w:val="24"/>
          <w:szCs w:val="24"/>
        </w:rPr>
        <w:t xml:space="preserve"> au fost anulate unele facilități fiscale</w:t>
      </w:r>
      <w:r w:rsidR="002C38B5" w:rsidRPr="00CB5F81">
        <w:rPr>
          <w:rStyle w:val="FootnoteReference"/>
          <w:rFonts w:asciiTheme="majorHAnsi" w:eastAsia="Times New Roman" w:hAnsiTheme="majorHAnsi" w:cstheme="majorHAnsi"/>
          <w:sz w:val="24"/>
          <w:szCs w:val="24"/>
        </w:rPr>
        <w:footnoteReference w:id="34"/>
      </w:r>
      <w:r w:rsidR="00751769" w:rsidRPr="00CB5F81">
        <w:rPr>
          <w:rFonts w:asciiTheme="majorHAnsi" w:eastAsia="Times New Roman" w:hAnsiTheme="majorHAnsi" w:cstheme="majorHAnsi"/>
          <w:sz w:val="24"/>
          <w:szCs w:val="24"/>
        </w:rPr>
        <w:t xml:space="preserve">, </w:t>
      </w:r>
      <w:r w:rsidR="00751769" w:rsidRPr="005405A7">
        <w:rPr>
          <w:rFonts w:asciiTheme="majorHAnsi" w:eastAsia="Times New Roman" w:hAnsiTheme="majorHAnsi" w:cstheme="majorHAnsi"/>
          <w:sz w:val="24"/>
          <w:szCs w:val="24"/>
        </w:rPr>
        <w:t>aceste acțiuni</w:t>
      </w:r>
      <w:r w:rsidR="00EC1EAF" w:rsidRPr="005405A7">
        <w:rPr>
          <w:rFonts w:asciiTheme="majorHAnsi" w:eastAsia="Times New Roman" w:hAnsiTheme="majorHAnsi" w:cstheme="majorHAnsi"/>
          <w:sz w:val="24"/>
          <w:szCs w:val="24"/>
        </w:rPr>
        <w:t xml:space="preserve"> </w:t>
      </w:r>
      <w:r w:rsidR="00751769" w:rsidRPr="005405A7">
        <w:rPr>
          <w:rFonts w:asciiTheme="majorHAnsi" w:eastAsia="Times New Roman" w:hAnsiTheme="majorHAnsi" w:cstheme="majorHAnsi"/>
          <w:sz w:val="24"/>
          <w:szCs w:val="24"/>
        </w:rPr>
        <w:t>nu pot fi catalogate ca analizarea</w:t>
      </w:r>
      <w:r w:rsidR="00EC1EAF" w:rsidRPr="005405A7">
        <w:rPr>
          <w:rFonts w:asciiTheme="majorHAnsi" w:eastAsia="Times New Roman" w:hAnsiTheme="majorHAnsi" w:cstheme="majorHAnsi"/>
          <w:sz w:val="24"/>
          <w:szCs w:val="24"/>
        </w:rPr>
        <w:t xml:space="preserve"> </w:t>
      </w:r>
      <w:r w:rsidR="00751769" w:rsidRPr="005405A7">
        <w:rPr>
          <w:rFonts w:asciiTheme="majorHAnsi" w:eastAsia="Times New Roman" w:hAnsiTheme="majorHAnsi" w:cstheme="majorHAnsi"/>
          <w:sz w:val="24"/>
          <w:szCs w:val="24"/>
        </w:rPr>
        <w:t>sistemului de facilități fiscale prin prisma eficacității</w:t>
      </w:r>
      <w:r w:rsidR="00751769" w:rsidRPr="00CB5F81">
        <w:rPr>
          <w:rFonts w:asciiTheme="majorHAnsi" w:eastAsia="Times New Roman" w:hAnsiTheme="majorHAnsi" w:cstheme="majorHAnsi"/>
          <w:sz w:val="24"/>
          <w:szCs w:val="24"/>
        </w:rPr>
        <w:t xml:space="preserve"> lui</w:t>
      </w:r>
      <w:r w:rsidR="0095025B">
        <w:rPr>
          <w:rFonts w:asciiTheme="majorHAnsi" w:eastAsia="Times New Roman" w:hAnsiTheme="majorHAnsi" w:cstheme="majorHAnsi"/>
          <w:sz w:val="24"/>
          <w:szCs w:val="24"/>
        </w:rPr>
        <w:t xml:space="preserve">. </w:t>
      </w:r>
    </w:p>
    <w:p w:rsidR="00E96CF6" w:rsidRDefault="0022217E" w:rsidP="00985D59">
      <w:pPr>
        <w:spacing w:after="120" w:line="240" w:lineRule="auto"/>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În așa mod, deși unele facilități fiscale au fost instituite odată cu adoptarea Codului fiscal</w:t>
      </w:r>
      <w:r w:rsidRPr="00CB5F81">
        <w:rPr>
          <w:rStyle w:val="FootnoteReference"/>
          <w:rFonts w:asciiTheme="majorHAnsi" w:eastAsia="Times New Roman" w:hAnsiTheme="majorHAnsi" w:cstheme="majorHAnsi"/>
          <w:sz w:val="24"/>
          <w:szCs w:val="24"/>
        </w:rPr>
        <w:footnoteReference w:id="35"/>
      </w:r>
      <w:r w:rsidRPr="00CB5F81">
        <w:rPr>
          <w:rFonts w:asciiTheme="majorHAnsi" w:eastAsia="Times New Roman" w:hAnsiTheme="majorHAnsi" w:cstheme="majorHAnsi"/>
          <w:sz w:val="24"/>
          <w:szCs w:val="24"/>
        </w:rPr>
        <w:t xml:space="preserve"> (1997), </w:t>
      </w:r>
      <w:r w:rsidR="00890E18">
        <w:rPr>
          <w:rFonts w:asciiTheme="majorHAnsi" w:eastAsia="Times New Roman" w:hAnsiTheme="majorHAnsi" w:cstheme="majorHAnsi"/>
          <w:sz w:val="24"/>
          <w:szCs w:val="24"/>
        </w:rPr>
        <w:t xml:space="preserve">iar </w:t>
      </w:r>
      <w:r w:rsidRPr="00CB5F81">
        <w:rPr>
          <w:rFonts w:asciiTheme="majorHAnsi" w:eastAsia="Times New Roman" w:hAnsiTheme="majorHAnsi" w:cstheme="majorHAnsi"/>
          <w:sz w:val="24"/>
          <w:szCs w:val="24"/>
        </w:rPr>
        <w:t xml:space="preserve">altele </w:t>
      </w:r>
      <w:r w:rsidR="00890E18">
        <w:rPr>
          <w:rFonts w:asciiTheme="majorHAnsi" w:eastAsia="Times New Roman" w:hAnsiTheme="majorHAnsi" w:cstheme="majorHAnsi"/>
          <w:sz w:val="24"/>
          <w:szCs w:val="24"/>
        </w:rPr>
        <w:t>s-</w:t>
      </w:r>
      <w:r w:rsidR="002C28F0" w:rsidRPr="00CB5F81">
        <w:rPr>
          <w:rFonts w:asciiTheme="majorHAnsi" w:eastAsia="Times New Roman" w:hAnsiTheme="majorHAnsi" w:cstheme="majorHAnsi"/>
          <w:sz w:val="24"/>
          <w:szCs w:val="24"/>
        </w:rPr>
        <w:t>au</w:t>
      </w:r>
      <w:r w:rsidR="00890E18">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implementat pe parcurs</w:t>
      </w:r>
      <w:r w:rsidR="00890E18">
        <w:rPr>
          <w:rFonts w:asciiTheme="majorHAnsi" w:eastAsia="Times New Roman" w:hAnsiTheme="majorHAnsi" w:cstheme="majorHAnsi"/>
          <w:sz w:val="24"/>
          <w:szCs w:val="24"/>
        </w:rPr>
        <w:t>,</w:t>
      </w:r>
      <w:r w:rsidRPr="00CB5F81">
        <w:rPr>
          <w:rFonts w:asciiTheme="majorHAnsi" w:eastAsia="Times New Roman" w:hAnsiTheme="majorHAnsi" w:cstheme="majorHAnsi"/>
          <w:sz w:val="24"/>
          <w:szCs w:val="24"/>
        </w:rPr>
        <w:t xml:space="preserve"> funcționând o perioadă îndelungată de timp</w:t>
      </w:r>
      <w:r w:rsidR="00604AF5" w:rsidRPr="00CB5F81">
        <w:rPr>
          <w:rFonts w:asciiTheme="majorHAnsi" w:eastAsia="Times New Roman" w:hAnsiTheme="majorHAnsi" w:cstheme="majorHAnsi"/>
          <w:sz w:val="24"/>
          <w:szCs w:val="24"/>
        </w:rPr>
        <w:t xml:space="preserve"> (10-15 ani)</w:t>
      </w:r>
      <w:r w:rsidRPr="00CB5F81">
        <w:rPr>
          <w:rFonts w:asciiTheme="majorHAnsi" w:eastAsia="Times New Roman" w:hAnsiTheme="majorHAnsi" w:cstheme="majorHAnsi"/>
          <w:sz w:val="24"/>
          <w:szCs w:val="24"/>
        </w:rPr>
        <w:t xml:space="preserve">, </w:t>
      </w:r>
      <w:r w:rsidR="00AE3B24">
        <w:rPr>
          <w:rFonts w:asciiTheme="majorHAnsi" w:eastAsia="Times New Roman" w:hAnsiTheme="majorHAnsi" w:cstheme="majorHAnsi"/>
          <w:sz w:val="24"/>
          <w:szCs w:val="24"/>
        </w:rPr>
        <w:t xml:space="preserve">acestea </w:t>
      </w:r>
      <w:r w:rsidRPr="00CB5F81">
        <w:rPr>
          <w:rFonts w:asciiTheme="majorHAnsi" w:eastAsia="Times New Roman" w:hAnsiTheme="majorHAnsi" w:cstheme="majorHAnsi"/>
          <w:sz w:val="24"/>
          <w:szCs w:val="24"/>
        </w:rPr>
        <w:t>nu au fost evaluate din punct</w:t>
      </w:r>
      <w:r w:rsidR="00890E18">
        <w:rPr>
          <w:rFonts w:asciiTheme="majorHAnsi" w:eastAsia="Times New Roman" w:hAnsiTheme="majorHAnsi" w:cstheme="majorHAnsi"/>
          <w:sz w:val="24"/>
          <w:szCs w:val="24"/>
        </w:rPr>
        <w:t>ul</w:t>
      </w:r>
      <w:r w:rsidRPr="00CB5F81">
        <w:rPr>
          <w:rFonts w:asciiTheme="majorHAnsi" w:eastAsia="Times New Roman" w:hAnsiTheme="majorHAnsi" w:cstheme="majorHAnsi"/>
          <w:sz w:val="24"/>
          <w:szCs w:val="24"/>
        </w:rPr>
        <w:t xml:space="preserve"> de vedere a</w:t>
      </w:r>
      <w:r w:rsidR="00890E18">
        <w:rPr>
          <w:rFonts w:asciiTheme="majorHAnsi" w:eastAsia="Times New Roman" w:hAnsiTheme="majorHAnsi" w:cstheme="majorHAnsi"/>
          <w:sz w:val="24"/>
          <w:szCs w:val="24"/>
        </w:rPr>
        <w:t>l</w:t>
      </w:r>
      <w:r w:rsidRPr="00CB5F81">
        <w:rPr>
          <w:rFonts w:asciiTheme="majorHAnsi" w:eastAsia="Times New Roman" w:hAnsiTheme="majorHAnsi" w:cstheme="majorHAnsi"/>
          <w:sz w:val="24"/>
          <w:szCs w:val="24"/>
        </w:rPr>
        <w:t xml:space="preserve"> viabilității și impactului lor economic.</w:t>
      </w:r>
      <w:r w:rsidR="00E96CF6" w:rsidRPr="00E96CF6">
        <w:rPr>
          <w:rFonts w:asciiTheme="majorHAnsi" w:eastAsia="Times New Roman" w:hAnsiTheme="majorHAnsi" w:cstheme="majorHAnsi"/>
          <w:sz w:val="24"/>
          <w:szCs w:val="24"/>
        </w:rPr>
        <w:t xml:space="preserve"> </w:t>
      </w:r>
      <w:r w:rsidR="00E96CF6">
        <w:rPr>
          <w:rFonts w:asciiTheme="majorHAnsi" w:eastAsia="Times New Roman" w:hAnsiTheme="majorHAnsi" w:cstheme="majorHAnsi"/>
          <w:sz w:val="24"/>
          <w:szCs w:val="24"/>
        </w:rPr>
        <w:t>Reieșind din informația prezentată de MF</w:t>
      </w:r>
      <w:r w:rsidR="00890E18">
        <w:rPr>
          <w:rFonts w:asciiTheme="majorHAnsi" w:eastAsia="Times New Roman" w:hAnsiTheme="majorHAnsi" w:cstheme="majorHAnsi"/>
          <w:sz w:val="24"/>
          <w:szCs w:val="24"/>
        </w:rPr>
        <w:t>,</w:t>
      </w:r>
      <w:r w:rsidR="00E96CF6">
        <w:rPr>
          <w:rFonts w:asciiTheme="majorHAnsi" w:eastAsia="Times New Roman" w:hAnsiTheme="majorHAnsi" w:cstheme="majorHAnsi"/>
          <w:sz w:val="24"/>
          <w:szCs w:val="24"/>
        </w:rPr>
        <w:t xml:space="preserve"> se rel</w:t>
      </w:r>
      <w:r w:rsidR="00AE3B24">
        <w:rPr>
          <w:rFonts w:asciiTheme="majorHAnsi" w:eastAsia="Times New Roman" w:hAnsiTheme="majorHAnsi" w:cstheme="majorHAnsi"/>
          <w:sz w:val="24"/>
          <w:szCs w:val="24"/>
        </w:rPr>
        <w:t>evă</w:t>
      </w:r>
      <w:r w:rsidR="00E96CF6">
        <w:rPr>
          <w:rFonts w:asciiTheme="majorHAnsi" w:eastAsia="Times New Roman" w:hAnsiTheme="majorHAnsi" w:cstheme="majorHAnsi"/>
          <w:sz w:val="24"/>
          <w:szCs w:val="24"/>
        </w:rPr>
        <w:t xml:space="preserve"> că  nu se dispune </w:t>
      </w:r>
      <w:r w:rsidR="00AE3B24">
        <w:rPr>
          <w:rFonts w:asciiTheme="majorHAnsi" w:eastAsia="Times New Roman" w:hAnsiTheme="majorHAnsi" w:cstheme="majorHAnsi"/>
          <w:sz w:val="24"/>
          <w:szCs w:val="24"/>
        </w:rPr>
        <w:t xml:space="preserve">de </w:t>
      </w:r>
      <w:r w:rsidR="00E96CF6">
        <w:rPr>
          <w:rFonts w:asciiTheme="majorHAnsi" w:eastAsia="Times New Roman" w:hAnsiTheme="majorHAnsi" w:cstheme="majorHAnsi"/>
          <w:sz w:val="24"/>
          <w:szCs w:val="24"/>
        </w:rPr>
        <w:t xml:space="preserve">nicio viziune privind soluțiile și perioadele de timp necesare </w:t>
      </w:r>
      <w:r w:rsidR="00AE3B24">
        <w:rPr>
          <w:rFonts w:asciiTheme="majorHAnsi" w:eastAsia="Times New Roman" w:hAnsiTheme="majorHAnsi" w:cstheme="majorHAnsi"/>
          <w:sz w:val="24"/>
          <w:szCs w:val="24"/>
        </w:rPr>
        <w:t xml:space="preserve">pentru </w:t>
      </w:r>
      <w:r w:rsidR="00E96CF6">
        <w:rPr>
          <w:rFonts w:asciiTheme="majorHAnsi" w:eastAsia="Times New Roman" w:hAnsiTheme="majorHAnsi" w:cstheme="majorHAnsi"/>
          <w:sz w:val="24"/>
          <w:szCs w:val="24"/>
        </w:rPr>
        <w:t>definitiv</w:t>
      </w:r>
      <w:r w:rsidR="00AE3B24">
        <w:rPr>
          <w:rFonts w:asciiTheme="majorHAnsi" w:eastAsia="Times New Roman" w:hAnsiTheme="majorHAnsi" w:cstheme="majorHAnsi"/>
          <w:sz w:val="24"/>
          <w:szCs w:val="24"/>
        </w:rPr>
        <w:t>area</w:t>
      </w:r>
      <w:r w:rsidR="00E96CF6">
        <w:rPr>
          <w:rFonts w:asciiTheme="majorHAnsi" w:eastAsia="Times New Roman" w:hAnsiTheme="majorHAnsi" w:cstheme="majorHAnsi"/>
          <w:sz w:val="24"/>
          <w:szCs w:val="24"/>
        </w:rPr>
        <w:t xml:space="preserve"> evaluării impactului întregului ansamblu de facilități existente. </w:t>
      </w:r>
    </w:p>
    <w:p w:rsidR="00E7271B" w:rsidRPr="00CB5F81" w:rsidRDefault="00E96CF6" w:rsidP="00985D59">
      <w:pPr>
        <w:spacing w:after="120" w:line="240" w:lineRule="auto"/>
        <w:jc w:val="both"/>
        <w:rPr>
          <w:rFonts w:asciiTheme="majorHAnsi" w:eastAsia="Times New Roman" w:hAnsiTheme="majorHAnsi" w:cstheme="majorHAnsi"/>
          <w:sz w:val="24"/>
          <w:szCs w:val="24"/>
          <w:lang w:eastAsia="ru-RU"/>
        </w:rPr>
      </w:pPr>
      <w:r>
        <w:rPr>
          <w:rFonts w:asciiTheme="majorHAnsi" w:eastAsia="Times New Roman" w:hAnsiTheme="majorHAnsi" w:cstheme="majorHAnsi"/>
          <w:sz w:val="24"/>
          <w:szCs w:val="24"/>
          <w:lang w:eastAsia="ru-RU"/>
        </w:rPr>
        <w:t>De menționat că totuși e</w:t>
      </w:r>
      <w:r w:rsidR="00B01FE7" w:rsidRPr="00CB5F81">
        <w:rPr>
          <w:rFonts w:asciiTheme="majorHAnsi" w:eastAsia="Times New Roman" w:hAnsiTheme="majorHAnsi" w:cstheme="majorHAnsi"/>
          <w:sz w:val="24"/>
          <w:szCs w:val="24"/>
          <w:lang w:eastAsia="ru-RU"/>
        </w:rPr>
        <w:t xml:space="preserve">xistă facilități </w:t>
      </w:r>
      <w:r w:rsidR="00AE3B24">
        <w:rPr>
          <w:rFonts w:asciiTheme="majorHAnsi" w:eastAsia="Times New Roman" w:hAnsiTheme="majorHAnsi" w:cstheme="majorHAnsi"/>
          <w:sz w:val="24"/>
          <w:szCs w:val="24"/>
          <w:lang w:eastAsia="ru-RU"/>
        </w:rPr>
        <w:t>a căror</w:t>
      </w:r>
      <w:r w:rsidR="00AE3B24" w:rsidRPr="00CB5F81">
        <w:rPr>
          <w:rFonts w:asciiTheme="majorHAnsi" w:eastAsia="Times New Roman" w:hAnsiTheme="majorHAnsi" w:cstheme="majorHAnsi"/>
          <w:sz w:val="24"/>
          <w:szCs w:val="24"/>
          <w:lang w:eastAsia="ru-RU"/>
        </w:rPr>
        <w:t xml:space="preserve"> </w:t>
      </w:r>
      <w:r w:rsidR="00B01FE7" w:rsidRPr="00CB5F81">
        <w:rPr>
          <w:rFonts w:asciiTheme="majorHAnsi" w:eastAsia="Times New Roman" w:hAnsiTheme="majorHAnsi" w:cstheme="majorHAnsi"/>
          <w:sz w:val="24"/>
          <w:szCs w:val="24"/>
          <w:lang w:eastAsia="ru-RU"/>
        </w:rPr>
        <w:t>instituire</w:t>
      </w:r>
      <w:r w:rsidR="00AE3B24">
        <w:rPr>
          <w:rFonts w:asciiTheme="majorHAnsi" w:eastAsia="Times New Roman" w:hAnsiTheme="majorHAnsi" w:cstheme="majorHAnsi"/>
          <w:sz w:val="24"/>
          <w:szCs w:val="24"/>
          <w:lang w:eastAsia="ru-RU"/>
        </w:rPr>
        <w:t xml:space="preserve"> </w:t>
      </w:r>
      <w:r w:rsidR="00B01FE7" w:rsidRPr="00CB5F81">
        <w:rPr>
          <w:rFonts w:asciiTheme="majorHAnsi" w:eastAsia="Times New Roman" w:hAnsiTheme="majorHAnsi" w:cstheme="majorHAnsi"/>
          <w:sz w:val="24"/>
          <w:szCs w:val="24"/>
          <w:lang w:eastAsia="ru-RU"/>
        </w:rPr>
        <w:t xml:space="preserve">a contribuit la dezvoltarea armonioasă a unor sectoare importante </w:t>
      </w:r>
      <w:r w:rsidR="00AE3B24">
        <w:rPr>
          <w:rFonts w:asciiTheme="majorHAnsi" w:eastAsia="Times New Roman" w:hAnsiTheme="majorHAnsi" w:cstheme="majorHAnsi"/>
          <w:sz w:val="24"/>
          <w:szCs w:val="24"/>
          <w:lang w:eastAsia="ru-RU"/>
        </w:rPr>
        <w:t>ale</w:t>
      </w:r>
      <w:r w:rsidR="00B01FE7" w:rsidRPr="00CB5F81">
        <w:rPr>
          <w:rFonts w:asciiTheme="majorHAnsi" w:eastAsia="Times New Roman" w:hAnsiTheme="majorHAnsi" w:cstheme="majorHAnsi"/>
          <w:sz w:val="24"/>
          <w:szCs w:val="24"/>
          <w:lang w:eastAsia="ru-RU"/>
        </w:rPr>
        <w:t xml:space="preserve"> economie</w:t>
      </w:r>
      <w:r w:rsidR="00AE3B24">
        <w:rPr>
          <w:rFonts w:asciiTheme="majorHAnsi" w:eastAsia="Times New Roman" w:hAnsiTheme="majorHAnsi" w:cstheme="majorHAnsi"/>
          <w:sz w:val="24"/>
          <w:szCs w:val="24"/>
          <w:lang w:eastAsia="ru-RU"/>
        </w:rPr>
        <w:t>i</w:t>
      </w:r>
      <w:r w:rsidR="00B01FE7" w:rsidRPr="00CB5F81">
        <w:rPr>
          <w:rFonts w:asciiTheme="majorHAnsi" w:eastAsia="Times New Roman" w:hAnsiTheme="majorHAnsi" w:cstheme="majorHAnsi"/>
          <w:sz w:val="24"/>
          <w:szCs w:val="24"/>
          <w:lang w:eastAsia="ru-RU"/>
        </w:rPr>
        <w:t xml:space="preserve">. Un exemplu </w:t>
      </w:r>
      <w:r w:rsidR="00B01FE7" w:rsidRPr="005405A7">
        <w:rPr>
          <w:rFonts w:asciiTheme="majorHAnsi" w:eastAsia="Times New Roman" w:hAnsiTheme="majorHAnsi" w:cstheme="majorHAnsi"/>
          <w:sz w:val="24"/>
          <w:szCs w:val="24"/>
          <w:lang w:eastAsia="ru-RU"/>
        </w:rPr>
        <w:t xml:space="preserve">concludent </w:t>
      </w:r>
      <w:r w:rsidR="000F51EC" w:rsidRPr="005405A7">
        <w:rPr>
          <w:rFonts w:asciiTheme="majorHAnsi" w:eastAsia="Times New Roman" w:hAnsiTheme="majorHAnsi" w:cstheme="majorHAnsi"/>
          <w:sz w:val="24"/>
          <w:szCs w:val="24"/>
          <w:lang w:eastAsia="ru-RU"/>
        </w:rPr>
        <w:t xml:space="preserve">în acest sens </w:t>
      </w:r>
      <w:r w:rsidR="00AE3B24">
        <w:rPr>
          <w:rFonts w:asciiTheme="majorHAnsi" w:eastAsia="Times New Roman" w:hAnsiTheme="majorHAnsi" w:cstheme="majorHAnsi"/>
          <w:sz w:val="24"/>
          <w:szCs w:val="24"/>
          <w:lang w:eastAsia="ru-RU"/>
        </w:rPr>
        <w:t xml:space="preserve">îl </w:t>
      </w:r>
      <w:r w:rsidR="000F51EC" w:rsidRPr="005405A7">
        <w:rPr>
          <w:rFonts w:asciiTheme="majorHAnsi" w:eastAsia="Times New Roman" w:hAnsiTheme="majorHAnsi" w:cstheme="majorHAnsi"/>
          <w:sz w:val="24"/>
          <w:szCs w:val="24"/>
          <w:lang w:eastAsia="ru-RU"/>
        </w:rPr>
        <w:t>reprezintă</w:t>
      </w:r>
      <w:r w:rsidR="000F51EC">
        <w:rPr>
          <w:rFonts w:asciiTheme="majorHAnsi" w:eastAsia="Times New Roman" w:hAnsiTheme="majorHAnsi" w:cstheme="majorHAnsi"/>
          <w:sz w:val="24"/>
          <w:szCs w:val="24"/>
          <w:lang w:eastAsia="ru-RU"/>
        </w:rPr>
        <w:t xml:space="preserve"> </w:t>
      </w:r>
      <w:r w:rsidR="001B779F" w:rsidRPr="00CB5F81">
        <w:rPr>
          <w:rFonts w:asciiTheme="majorHAnsi" w:eastAsia="Times New Roman" w:hAnsiTheme="majorHAnsi" w:cstheme="majorHAnsi"/>
          <w:sz w:val="24"/>
          <w:szCs w:val="24"/>
          <w:lang w:eastAsia="ru-RU"/>
        </w:rPr>
        <w:t>regimul fiscal stabilit în condiții facilitare</w:t>
      </w:r>
      <w:r w:rsidR="00EC1EAF">
        <w:rPr>
          <w:rFonts w:asciiTheme="majorHAnsi" w:eastAsia="Times New Roman" w:hAnsiTheme="majorHAnsi" w:cstheme="majorHAnsi"/>
          <w:sz w:val="24"/>
          <w:szCs w:val="24"/>
          <w:lang w:eastAsia="ru-RU"/>
        </w:rPr>
        <w:t xml:space="preserve"> </w:t>
      </w:r>
      <w:r w:rsidR="001B779F" w:rsidRPr="00CB5F81">
        <w:rPr>
          <w:rFonts w:asciiTheme="majorHAnsi" w:eastAsia="Times New Roman" w:hAnsiTheme="majorHAnsi" w:cstheme="majorHAnsi"/>
          <w:sz w:val="24"/>
          <w:szCs w:val="24"/>
          <w:lang w:eastAsia="ru-RU"/>
        </w:rPr>
        <w:t xml:space="preserve">pentru sectorul IT, care a contribuit la dezvoltarea </w:t>
      </w:r>
      <w:r w:rsidR="001B779F" w:rsidRPr="005405A7">
        <w:rPr>
          <w:rFonts w:asciiTheme="majorHAnsi" w:eastAsia="Times New Roman" w:hAnsiTheme="majorHAnsi" w:cstheme="majorHAnsi"/>
          <w:sz w:val="24"/>
          <w:szCs w:val="24"/>
          <w:lang w:eastAsia="ru-RU"/>
        </w:rPr>
        <w:t>ramuri</w:t>
      </w:r>
      <w:r w:rsidR="000F51EC" w:rsidRPr="005405A7">
        <w:rPr>
          <w:rFonts w:asciiTheme="majorHAnsi" w:eastAsia="Times New Roman" w:hAnsiTheme="majorHAnsi" w:cstheme="majorHAnsi"/>
          <w:sz w:val="24"/>
          <w:szCs w:val="24"/>
          <w:lang w:eastAsia="ru-RU"/>
        </w:rPr>
        <w:t>i nominalizate</w:t>
      </w:r>
      <w:r w:rsidR="001B779F" w:rsidRPr="005405A7">
        <w:rPr>
          <w:rFonts w:asciiTheme="majorHAnsi" w:eastAsia="Times New Roman" w:hAnsiTheme="majorHAnsi" w:cstheme="majorHAnsi"/>
          <w:sz w:val="24"/>
          <w:szCs w:val="24"/>
          <w:lang w:eastAsia="ru-RU"/>
        </w:rPr>
        <w:t>.</w:t>
      </w:r>
      <w:r w:rsidR="00B01FE7" w:rsidRPr="00CB5F81">
        <w:rPr>
          <w:rFonts w:asciiTheme="majorHAnsi" w:eastAsia="Times New Roman" w:hAnsiTheme="majorHAnsi" w:cstheme="majorHAnsi"/>
          <w:sz w:val="24"/>
          <w:szCs w:val="24"/>
          <w:lang w:eastAsia="ru-RU"/>
        </w:rPr>
        <w:t xml:space="preserve"> </w:t>
      </w:r>
    </w:p>
    <w:p w:rsidR="005D3F3E" w:rsidRPr="00CB5F81" w:rsidRDefault="00A54BE5" w:rsidP="00D04386">
      <w:pPr>
        <w:pStyle w:val="Heading3"/>
        <w:numPr>
          <w:ilvl w:val="2"/>
          <w:numId w:val="22"/>
        </w:numPr>
        <w:tabs>
          <w:tab w:val="left" w:pos="540"/>
          <w:tab w:val="left" w:pos="630"/>
        </w:tabs>
        <w:ind w:left="0" w:firstLine="0"/>
        <w:jc w:val="both"/>
        <w:rPr>
          <w:rFonts w:eastAsia="Times New Roman" w:cstheme="majorHAnsi"/>
          <w:lang w:eastAsia="ru-RU"/>
        </w:rPr>
      </w:pPr>
      <w:bookmarkStart w:id="31" w:name="_Toc111467875"/>
      <w:r>
        <w:rPr>
          <w:rFonts w:eastAsia="Times New Roman" w:cstheme="majorHAnsi"/>
          <w:b/>
          <w:color w:val="2E74B5" w:themeColor="accent1" w:themeShade="BF"/>
        </w:rPr>
        <w:t xml:space="preserve">Spectrul </w:t>
      </w:r>
      <w:r w:rsidR="005D3F3E" w:rsidRPr="00CB5F81">
        <w:rPr>
          <w:rFonts w:eastAsia="Times New Roman" w:cstheme="majorHAnsi"/>
          <w:b/>
          <w:color w:val="2E74B5" w:themeColor="accent1" w:themeShade="BF"/>
        </w:rPr>
        <w:t>unor facilități</w:t>
      </w:r>
      <w:r w:rsidR="005D3F3E" w:rsidRPr="00CB5F81">
        <w:rPr>
          <w:rFonts w:eastAsia="Times New Roman" w:cstheme="majorHAnsi"/>
          <w:color w:val="2E74B5" w:themeColor="accent1" w:themeShade="BF"/>
        </w:rPr>
        <w:t xml:space="preserve"> </w:t>
      </w:r>
      <w:r w:rsidR="005D3F3E" w:rsidRPr="00CB5F81">
        <w:rPr>
          <w:rFonts w:eastAsia="Times New Roman" w:cstheme="majorHAnsi"/>
          <w:b/>
          <w:color w:val="2E74B5" w:themeColor="accent1" w:themeShade="BF"/>
        </w:rPr>
        <w:t>fiscale nu este justificat din punct de vedere economic</w:t>
      </w:r>
      <w:bookmarkEnd w:id="31"/>
    </w:p>
    <w:p w:rsidR="00271402" w:rsidRPr="00CB5F81" w:rsidRDefault="00982128" w:rsidP="0000773A">
      <w:pPr>
        <w:pStyle w:val="ListParagraph"/>
        <w:tabs>
          <w:tab w:val="left" w:pos="0"/>
        </w:tabs>
        <w:ind w:left="0"/>
        <w:jc w:val="both"/>
        <w:rPr>
          <w:rFonts w:asciiTheme="majorHAnsi" w:eastAsia="Times New Roman" w:hAnsiTheme="majorHAnsi" w:cstheme="majorHAnsi"/>
          <w:color w:val="FF0000"/>
          <w:sz w:val="24"/>
          <w:szCs w:val="24"/>
          <w:lang w:val="ro-MD" w:eastAsia="ru-RU"/>
        </w:rPr>
      </w:pPr>
      <w:r w:rsidRPr="00CB5F81">
        <w:rPr>
          <w:rFonts w:asciiTheme="majorHAnsi" w:eastAsia="Times New Roman" w:hAnsiTheme="majorHAnsi" w:cstheme="majorHAnsi"/>
          <w:sz w:val="24"/>
          <w:szCs w:val="24"/>
          <w:lang w:val="ro-MD" w:eastAsia="ru-RU"/>
        </w:rPr>
        <w:t>A</w:t>
      </w:r>
      <w:r w:rsidR="000E7F69" w:rsidRPr="00CB5F81">
        <w:rPr>
          <w:rFonts w:asciiTheme="majorHAnsi" w:eastAsia="Times New Roman" w:hAnsiTheme="majorHAnsi" w:cstheme="majorHAnsi"/>
          <w:sz w:val="24"/>
          <w:szCs w:val="24"/>
          <w:lang w:val="ro-MD" w:eastAsia="ru-RU"/>
        </w:rPr>
        <w:t>nalizele</w:t>
      </w:r>
      <w:r w:rsidR="00927B83">
        <w:rPr>
          <w:rFonts w:asciiTheme="majorHAnsi" w:eastAsia="Times New Roman" w:hAnsiTheme="majorHAnsi" w:cstheme="majorHAnsi"/>
          <w:sz w:val="24"/>
          <w:szCs w:val="24"/>
          <w:lang w:val="ro-MD" w:eastAsia="ru-RU"/>
        </w:rPr>
        <w:t xml:space="preserve"> efectuate</w:t>
      </w:r>
      <w:r w:rsidR="000E7F69" w:rsidRPr="00CB5F81">
        <w:rPr>
          <w:rFonts w:asciiTheme="majorHAnsi" w:eastAsia="Times New Roman" w:hAnsiTheme="majorHAnsi" w:cstheme="majorHAnsi"/>
          <w:sz w:val="24"/>
          <w:szCs w:val="24"/>
          <w:lang w:val="ro-MD" w:eastAsia="ru-RU"/>
        </w:rPr>
        <w:t xml:space="preserve"> de audit relevă că</w:t>
      </w:r>
      <w:r w:rsidR="005C398A" w:rsidRPr="00CB5F81">
        <w:rPr>
          <w:rFonts w:asciiTheme="majorHAnsi" w:eastAsia="Times New Roman" w:hAnsiTheme="majorHAnsi" w:cstheme="majorHAnsi"/>
          <w:sz w:val="24"/>
          <w:szCs w:val="24"/>
          <w:lang w:val="ro-MD" w:eastAsia="ru-RU"/>
        </w:rPr>
        <w:t xml:space="preserve"> și </w:t>
      </w:r>
      <w:r w:rsidR="000E7F69" w:rsidRPr="00CB5F81">
        <w:rPr>
          <w:rFonts w:asciiTheme="majorHAnsi" w:eastAsia="Times New Roman" w:hAnsiTheme="majorHAnsi" w:cstheme="majorHAnsi"/>
          <w:sz w:val="24"/>
          <w:szCs w:val="24"/>
          <w:lang w:val="ro-MD" w:eastAsia="ru-RU"/>
        </w:rPr>
        <w:t>la etapa de aprobare a</w:t>
      </w:r>
      <w:r w:rsidR="005C398A" w:rsidRPr="00CB5F81">
        <w:rPr>
          <w:rFonts w:asciiTheme="majorHAnsi" w:eastAsia="Times New Roman" w:hAnsiTheme="majorHAnsi" w:cstheme="majorHAnsi"/>
          <w:sz w:val="24"/>
          <w:szCs w:val="24"/>
          <w:lang w:val="ro-MD" w:eastAsia="ru-RU"/>
        </w:rPr>
        <w:t xml:space="preserve"> unor </w:t>
      </w:r>
      <w:r w:rsidR="000E7F69" w:rsidRPr="00CB5F81">
        <w:rPr>
          <w:rFonts w:asciiTheme="majorHAnsi" w:eastAsia="Times New Roman" w:hAnsiTheme="majorHAnsi" w:cstheme="majorHAnsi"/>
          <w:sz w:val="24"/>
          <w:szCs w:val="24"/>
          <w:lang w:val="ro-MD" w:eastAsia="ru-RU"/>
        </w:rPr>
        <w:t xml:space="preserve">facilități fiscale au lipsit </w:t>
      </w:r>
      <w:r w:rsidR="000646A4" w:rsidRPr="00CB5F81">
        <w:rPr>
          <w:rFonts w:asciiTheme="majorHAnsi" w:eastAsia="Times New Roman" w:hAnsiTheme="majorHAnsi" w:cstheme="majorHAnsi"/>
          <w:sz w:val="24"/>
          <w:szCs w:val="24"/>
          <w:lang w:val="ro-MD" w:eastAsia="ru-RU"/>
        </w:rPr>
        <w:t>argument</w:t>
      </w:r>
      <w:r w:rsidR="000E7F69" w:rsidRPr="00CB5F81">
        <w:rPr>
          <w:rFonts w:asciiTheme="majorHAnsi" w:eastAsia="Times New Roman" w:hAnsiTheme="majorHAnsi" w:cstheme="majorHAnsi"/>
          <w:sz w:val="24"/>
          <w:szCs w:val="24"/>
          <w:lang w:val="ro-MD" w:eastAsia="ru-RU"/>
        </w:rPr>
        <w:t>ările</w:t>
      </w:r>
      <w:r w:rsidR="00270EF0" w:rsidRPr="00CB5F81">
        <w:rPr>
          <w:rFonts w:asciiTheme="majorHAnsi" w:eastAsia="Times New Roman" w:hAnsiTheme="majorHAnsi" w:cstheme="majorHAnsi"/>
          <w:sz w:val="24"/>
          <w:szCs w:val="24"/>
          <w:lang w:val="ro-MD" w:eastAsia="ru-RU"/>
        </w:rPr>
        <w:t xml:space="preserve"> și motivarea </w:t>
      </w:r>
      <w:r w:rsidR="00294525" w:rsidRPr="00CB5F81">
        <w:rPr>
          <w:rFonts w:asciiTheme="majorHAnsi" w:eastAsia="Times New Roman" w:hAnsiTheme="majorHAnsi" w:cstheme="majorHAnsi"/>
          <w:sz w:val="24"/>
          <w:szCs w:val="24"/>
          <w:lang w:val="ro-MD" w:eastAsia="ru-RU"/>
        </w:rPr>
        <w:t xml:space="preserve">instituirii </w:t>
      </w:r>
      <w:r w:rsidR="00927B83">
        <w:rPr>
          <w:rFonts w:asciiTheme="majorHAnsi" w:eastAsia="Times New Roman" w:hAnsiTheme="majorHAnsi" w:cstheme="majorHAnsi"/>
          <w:sz w:val="24"/>
          <w:szCs w:val="24"/>
          <w:lang w:val="ro-MD" w:eastAsia="ru-RU"/>
        </w:rPr>
        <w:t>lor</w:t>
      </w:r>
      <w:r w:rsidR="00294525" w:rsidRPr="00CB5F81">
        <w:rPr>
          <w:rFonts w:asciiTheme="majorHAnsi" w:eastAsia="Times New Roman" w:hAnsiTheme="majorHAnsi" w:cstheme="majorHAnsi"/>
          <w:sz w:val="24"/>
          <w:szCs w:val="24"/>
          <w:lang w:val="ro-MD" w:eastAsia="ru-RU"/>
        </w:rPr>
        <w:t>,</w:t>
      </w:r>
      <w:r w:rsidR="005C398A" w:rsidRPr="00CB5F81">
        <w:rPr>
          <w:rFonts w:asciiTheme="majorHAnsi" w:eastAsia="Times New Roman" w:hAnsiTheme="majorHAnsi" w:cstheme="majorHAnsi"/>
          <w:sz w:val="24"/>
          <w:szCs w:val="24"/>
          <w:lang w:val="ro-MD" w:eastAsia="ru-RU"/>
        </w:rPr>
        <w:t xml:space="preserve"> </w:t>
      </w:r>
      <w:r w:rsidR="00294525" w:rsidRPr="005405A7">
        <w:rPr>
          <w:rFonts w:asciiTheme="majorHAnsi" w:eastAsia="Times New Roman" w:hAnsiTheme="majorHAnsi" w:cstheme="majorHAnsi"/>
          <w:sz w:val="24"/>
          <w:szCs w:val="24"/>
          <w:lang w:val="ro-MD" w:eastAsia="ru-RU"/>
        </w:rPr>
        <w:t>aceste</w:t>
      </w:r>
      <w:r w:rsidR="000F51EC" w:rsidRPr="005405A7">
        <w:rPr>
          <w:rFonts w:asciiTheme="majorHAnsi" w:eastAsia="Times New Roman" w:hAnsiTheme="majorHAnsi" w:cstheme="majorHAnsi"/>
          <w:sz w:val="24"/>
          <w:szCs w:val="24"/>
          <w:lang w:val="ro-MD" w:eastAsia="ru-RU"/>
        </w:rPr>
        <w:t>a</w:t>
      </w:r>
      <w:r w:rsidR="00294525" w:rsidRPr="005405A7">
        <w:rPr>
          <w:rFonts w:asciiTheme="majorHAnsi" w:eastAsia="Times New Roman" w:hAnsiTheme="majorHAnsi" w:cstheme="majorHAnsi"/>
          <w:sz w:val="24"/>
          <w:szCs w:val="24"/>
          <w:lang w:val="ro-MD" w:eastAsia="ru-RU"/>
        </w:rPr>
        <w:t xml:space="preserve"> n</w:t>
      </w:r>
      <w:r w:rsidR="00294525" w:rsidRPr="00CB5F81">
        <w:rPr>
          <w:rFonts w:asciiTheme="majorHAnsi" w:eastAsia="Times New Roman" w:hAnsiTheme="majorHAnsi" w:cstheme="majorHAnsi"/>
          <w:sz w:val="24"/>
          <w:szCs w:val="24"/>
          <w:lang w:val="ro-MD" w:eastAsia="ru-RU"/>
        </w:rPr>
        <w:t>efiind bazate pe</w:t>
      </w:r>
      <w:r w:rsidR="00270EF0" w:rsidRPr="00CB5F81">
        <w:rPr>
          <w:rFonts w:asciiTheme="majorHAnsi" w:eastAsia="Times New Roman" w:hAnsiTheme="majorHAnsi" w:cstheme="majorHAnsi"/>
          <w:sz w:val="24"/>
          <w:szCs w:val="24"/>
          <w:lang w:val="ro-MD" w:eastAsia="ru-RU"/>
        </w:rPr>
        <w:t xml:space="preserve"> programe sau strategii de dezvoltare economică a unor ramuri sau</w:t>
      </w:r>
      <w:r w:rsidR="00EC1EAF">
        <w:rPr>
          <w:rFonts w:asciiTheme="majorHAnsi" w:eastAsia="Times New Roman" w:hAnsiTheme="majorHAnsi" w:cstheme="majorHAnsi"/>
          <w:sz w:val="24"/>
          <w:szCs w:val="24"/>
          <w:lang w:val="ro-MD" w:eastAsia="ru-RU"/>
        </w:rPr>
        <w:t xml:space="preserve"> </w:t>
      </w:r>
      <w:r w:rsidR="00270EF0" w:rsidRPr="00CB5F81">
        <w:rPr>
          <w:rFonts w:asciiTheme="majorHAnsi" w:eastAsia="Times New Roman" w:hAnsiTheme="majorHAnsi" w:cstheme="majorHAnsi"/>
          <w:sz w:val="24"/>
          <w:szCs w:val="24"/>
          <w:lang w:val="ro-MD" w:eastAsia="ru-RU"/>
        </w:rPr>
        <w:t>sectoare ale economiei naționale. La fel, nu a</w:t>
      </w:r>
      <w:r w:rsidR="00A4677E" w:rsidRPr="00CB5F81">
        <w:rPr>
          <w:rFonts w:asciiTheme="majorHAnsi" w:eastAsia="Times New Roman" w:hAnsiTheme="majorHAnsi" w:cstheme="majorHAnsi"/>
          <w:sz w:val="24"/>
          <w:szCs w:val="24"/>
          <w:lang w:val="ro-MD" w:eastAsia="ru-RU"/>
        </w:rPr>
        <w:t>u</w:t>
      </w:r>
      <w:r w:rsidR="00270EF0" w:rsidRPr="00CB5F81">
        <w:rPr>
          <w:rFonts w:asciiTheme="majorHAnsi" w:eastAsia="Times New Roman" w:hAnsiTheme="majorHAnsi" w:cstheme="majorHAnsi"/>
          <w:sz w:val="24"/>
          <w:szCs w:val="24"/>
          <w:lang w:val="ro-MD" w:eastAsia="ru-RU"/>
        </w:rPr>
        <w:t xml:space="preserve"> existat indicatori de impact</w:t>
      </w:r>
      <w:r w:rsidR="0022217E" w:rsidRPr="00CB5F81">
        <w:rPr>
          <w:rFonts w:asciiTheme="majorHAnsi" w:eastAsia="Times New Roman" w:hAnsiTheme="majorHAnsi" w:cstheme="majorHAnsi"/>
          <w:sz w:val="24"/>
          <w:szCs w:val="24"/>
          <w:lang w:val="ro-MD" w:eastAsia="ru-RU"/>
        </w:rPr>
        <w:t>/</w:t>
      </w:r>
      <w:r w:rsidR="00270EF0" w:rsidRPr="00CB5F81">
        <w:rPr>
          <w:rFonts w:asciiTheme="majorHAnsi" w:eastAsia="Times New Roman" w:hAnsiTheme="majorHAnsi" w:cstheme="majorHAnsi"/>
          <w:sz w:val="24"/>
          <w:szCs w:val="24"/>
          <w:lang w:val="ro-MD" w:eastAsia="ru-RU"/>
        </w:rPr>
        <w:t xml:space="preserve">rezultat care ar </w:t>
      </w:r>
      <w:r w:rsidR="00A4677E" w:rsidRPr="00CB5F81">
        <w:rPr>
          <w:rFonts w:asciiTheme="majorHAnsi" w:eastAsia="Times New Roman" w:hAnsiTheme="majorHAnsi" w:cstheme="majorHAnsi"/>
          <w:sz w:val="24"/>
          <w:szCs w:val="24"/>
          <w:lang w:val="ro-MD" w:eastAsia="ru-RU"/>
        </w:rPr>
        <w:t xml:space="preserve">permite </w:t>
      </w:r>
      <w:r w:rsidR="0022217E" w:rsidRPr="00CB5F81">
        <w:rPr>
          <w:rFonts w:asciiTheme="majorHAnsi" w:eastAsia="Times New Roman" w:hAnsiTheme="majorHAnsi" w:cstheme="majorHAnsi"/>
          <w:sz w:val="24"/>
          <w:szCs w:val="24"/>
          <w:lang w:val="ro-MD" w:eastAsia="ru-RU"/>
        </w:rPr>
        <w:t xml:space="preserve">evaluarea beneficiilor </w:t>
      </w:r>
      <w:r w:rsidR="00A4677E" w:rsidRPr="00CB5F81">
        <w:rPr>
          <w:rFonts w:asciiTheme="majorHAnsi" w:eastAsia="Times New Roman" w:hAnsiTheme="majorHAnsi" w:cstheme="majorHAnsi"/>
          <w:sz w:val="24"/>
          <w:szCs w:val="24"/>
          <w:lang w:val="ro-MD" w:eastAsia="ru-RU"/>
        </w:rPr>
        <w:t>rezultat</w:t>
      </w:r>
      <w:r w:rsidR="0022217E" w:rsidRPr="00CB5F81">
        <w:rPr>
          <w:rFonts w:asciiTheme="majorHAnsi" w:eastAsia="Times New Roman" w:hAnsiTheme="majorHAnsi" w:cstheme="majorHAnsi"/>
          <w:sz w:val="24"/>
          <w:szCs w:val="24"/>
          <w:lang w:val="ro-MD" w:eastAsia="ru-RU"/>
        </w:rPr>
        <w:t xml:space="preserve">e </w:t>
      </w:r>
      <w:r w:rsidR="00A4677E" w:rsidRPr="00CB5F81">
        <w:rPr>
          <w:rFonts w:asciiTheme="majorHAnsi" w:eastAsia="Times New Roman" w:hAnsiTheme="majorHAnsi" w:cstheme="majorHAnsi"/>
          <w:sz w:val="24"/>
          <w:szCs w:val="24"/>
          <w:lang w:val="ro-MD" w:eastAsia="ru-RU"/>
        </w:rPr>
        <w:t xml:space="preserve">din </w:t>
      </w:r>
      <w:r w:rsidR="0022217E" w:rsidRPr="00CB5F81">
        <w:rPr>
          <w:rFonts w:asciiTheme="majorHAnsi" w:eastAsia="Times New Roman" w:hAnsiTheme="majorHAnsi" w:cstheme="majorHAnsi"/>
          <w:sz w:val="24"/>
          <w:szCs w:val="24"/>
          <w:lang w:val="ro-MD" w:eastAsia="ru-RU"/>
        </w:rPr>
        <w:t xml:space="preserve">acordarea </w:t>
      </w:r>
      <w:r w:rsidR="00927B83">
        <w:rPr>
          <w:rFonts w:asciiTheme="majorHAnsi" w:eastAsia="Times New Roman" w:hAnsiTheme="majorHAnsi" w:cstheme="majorHAnsi"/>
          <w:sz w:val="24"/>
          <w:szCs w:val="24"/>
          <w:lang w:val="ro-MD" w:eastAsia="ru-RU"/>
        </w:rPr>
        <w:t xml:space="preserve">de </w:t>
      </w:r>
      <w:r w:rsidR="0022217E" w:rsidRPr="00CB5F81">
        <w:rPr>
          <w:rFonts w:asciiTheme="majorHAnsi" w:eastAsia="Times New Roman" w:hAnsiTheme="majorHAnsi" w:cstheme="majorHAnsi"/>
          <w:sz w:val="24"/>
          <w:szCs w:val="24"/>
          <w:lang w:val="ro-MD" w:eastAsia="ru-RU"/>
        </w:rPr>
        <w:t>facilități</w:t>
      </w:r>
      <w:r w:rsidR="00A4677E" w:rsidRPr="00CB5F81">
        <w:rPr>
          <w:rFonts w:asciiTheme="majorHAnsi" w:eastAsia="Times New Roman" w:hAnsiTheme="majorHAnsi" w:cstheme="majorHAnsi"/>
          <w:sz w:val="24"/>
          <w:szCs w:val="24"/>
          <w:lang w:val="ro-MD" w:eastAsia="ru-RU"/>
        </w:rPr>
        <w:t xml:space="preserve"> unor grupuri</w:t>
      </w:r>
      <w:r w:rsidR="00927B83">
        <w:rPr>
          <w:rFonts w:asciiTheme="majorHAnsi" w:eastAsia="Times New Roman" w:hAnsiTheme="majorHAnsi" w:cstheme="majorHAnsi"/>
          <w:sz w:val="24"/>
          <w:szCs w:val="24"/>
          <w:lang w:val="ro-MD" w:eastAsia="ru-RU"/>
        </w:rPr>
        <w:t>-</w:t>
      </w:r>
      <w:r w:rsidR="00A4677E" w:rsidRPr="00CB5F81">
        <w:rPr>
          <w:rFonts w:asciiTheme="majorHAnsi" w:eastAsia="Times New Roman" w:hAnsiTheme="majorHAnsi" w:cstheme="majorHAnsi"/>
          <w:sz w:val="24"/>
          <w:szCs w:val="24"/>
          <w:lang w:val="ro-MD" w:eastAsia="ru-RU"/>
        </w:rPr>
        <w:t>țintă</w:t>
      </w:r>
      <w:r w:rsidR="00EC1EAF">
        <w:rPr>
          <w:rFonts w:asciiTheme="majorHAnsi" w:eastAsia="Times New Roman" w:hAnsiTheme="majorHAnsi" w:cstheme="majorHAnsi"/>
          <w:sz w:val="24"/>
          <w:szCs w:val="24"/>
          <w:lang w:val="ro-MD" w:eastAsia="ru-RU"/>
        </w:rPr>
        <w:t xml:space="preserve"> </w:t>
      </w:r>
      <w:r w:rsidR="00A4677E" w:rsidRPr="00CB5F81">
        <w:rPr>
          <w:rFonts w:asciiTheme="majorHAnsi" w:eastAsia="Times New Roman" w:hAnsiTheme="majorHAnsi" w:cstheme="majorHAnsi"/>
          <w:sz w:val="24"/>
          <w:szCs w:val="24"/>
          <w:lang w:val="ro-MD" w:eastAsia="ru-RU"/>
        </w:rPr>
        <w:t>de beneficiari</w:t>
      </w:r>
      <w:r w:rsidRPr="00CB5F81">
        <w:rPr>
          <w:rFonts w:asciiTheme="majorHAnsi" w:eastAsia="Times New Roman" w:hAnsiTheme="majorHAnsi" w:cstheme="majorHAnsi"/>
          <w:sz w:val="24"/>
          <w:szCs w:val="24"/>
          <w:lang w:val="ro-MD" w:eastAsia="ru-RU"/>
        </w:rPr>
        <w:t>, cum ar fi creșterea valorii mărfurilor/serviciilor exportate, crearea locurilor de muncă</w:t>
      </w:r>
      <w:r w:rsidRPr="00CB5F81">
        <w:rPr>
          <w:rFonts w:asciiTheme="majorHAnsi" w:eastAsia="Times New Roman" w:hAnsiTheme="majorHAnsi" w:cstheme="majorHAnsi"/>
          <w:color w:val="FF0000"/>
          <w:sz w:val="24"/>
          <w:szCs w:val="24"/>
          <w:lang w:val="ro-MD" w:eastAsia="ru-RU"/>
        </w:rPr>
        <w:t>,</w:t>
      </w:r>
      <w:r w:rsidR="00EC1EAF">
        <w:rPr>
          <w:rFonts w:asciiTheme="majorHAnsi" w:eastAsia="Times New Roman" w:hAnsiTheme="majorHAnsi" w:cstheme="majorHAnsi"/>
          <w:color w:val="FF0000"/>
          <w:sz w:val="24"/>
          <w:szCs w:val="24"/>
          <w:lang w:val="ro-MD" w:eastAsia="ru-RU"/>
        </w:rPr>
        <w:t xml:space="preserve"> </w:t>
      </w:r>
      <w:r w:rsidRPr="00CB5F81">
        <w:rPr>
          <w:rFonts w:asciiTheme="majorHAnsi" w:eastAsia="Times New Roman" w:hAnsiTheme="majorHAnsi" w:cstheme="majorHAnsi"/>
          <w:sz w:val="24"/>
          <w:szCs w:val="24"/>
          <w:lang w:val="ro-MD" w:eastAsia="ru-RU"/>
        </w:rPr>
        <w:t>dezvoltarea întreprinderilor mici și mijlocii</w:t>
      </w:r>
      <w:r w:rsidR="00927B83">
        <w:rPr>
          <w:rFonts w:asciiTheme="majorHAnsi" w:eastAsia="Times New Roman" w:hAnsiTheme="majorHAnsi" w:cstheme="majorHAnsi"/>
          <w:sz w:val="24"/>
          <w:szCs w:val="24"/>
          <w:lang w:val="ro-MD" w:eastAsia="ru-RU"/>
        </w:rPr>
        <w:t xml:space="preserve"> etc</w:t>
      </w:r>
      <w:r w:rsidRPr="00CB5F81">
        <w:rPr>
          <w:rFonts w:asciiTheme="majorHAnsi" w:eastAsia="Times New Roman" w:hAnsiTheme="majorHAnsi" w:cstheme="majorHAnsi"/>
          <w:sz w:val="24"/>
          <w:szCs w:val="24"/>
          <w:lang w:val="ro-MD" w:eastAsia="ru-RU"/>
        </w:rPr>
        <w:t>.</w:t>
      </w:r>
    </w:p>
    <w:p w:rsidR="00276675" w:rsidRPr="00CB5F81" w:rsidRDefault="000925A9" w:rsidP="0000773A">
      <w:pPr>
        <w:spacing w:after="120" w:line="240" w:lineRule="auto"/>
        <w:jc w:val="both"/>
        <w:rPr>
          <w:rFonts w:asciiTheme="majorHAnsi" w:eastAsia="Times New Roman" w:hAnsiTheme="majorHAnsi" w:cstheme="majorHAnsi"/>
          <w:sz w:val="24"/>
          <w:szCs w:val="24"/>
          <w:lang w:eastAsia="ru-RU"/>
        </w:rPr>
      </w:pPr>
      <w:r w:rsidRPr="00CB5F81">
        <w:rPr>
          <w:rFonts w:asciiTheme="majorHAnsi" w:eastAsia="Times New Roman" w:hAnsiTheme="majorHAnsi" w:cstheme="majorHAnsi"/>
          <w:sz w:val="24"/>
          <w:szCs w:val="24"/>
          <w:lang w:eastAsia="ru-RU"/>
        </w:rPr>
        <w:t>În acest context</w:t>
      </w:r>
      <w:r w:rsidR="00927B83">
        <w:rPr>
          <w:rFonts w:asciiTheme="majorHAnsi" w:eastAsia="Times New Roman" w:hAnsiTheme="majorHAnsi" w:cstheme="majorHAnsi"/>
          <w:sz w:val="24"/>
          <w:szCs w:val="24"/>
          <w:lang w:eastAsia="ru-RU"/>
        </w:rPr>
        <w:t>,</w:t>
      </w:r>
      <w:r w:rsidRPr="00CB5F81">
        <w:rPr>
          <w:rFonts w:asciiTheme="majorHAnsi" w:eastAsia="Times New Roman" w:hAnsiTheme="majorHAnsi" w:cstheme="majorHAnsi"/>
          <w:sz w:val="24"/>
          <w:szCs w:val="24"/>
          <w:lang w:eastAsia="ru-RU"/>
        </w:rPr>
        <w:t xml:space="preserve"> se relevă că o măsur</w:t>
      </w:r>
      <w:r w:rsidR="00927B83">
        <w:rPr>
          <w:rFonts w:asciiTheme="majorHAnsi" w:eastAsia="Times New Roman" w:hAnsiTheme="majorHAnsi" w:cstheme="majorHAnsi"/>
          <w:sz w:val="24"/>
          <w:szCs w:val="24"/>
          <w:lang w:eastAsia="ru-RU"/>
        </w:rPr>
        <w:t>ă</w:t>
      </w:r>
      <w:r w:rsidRPr="00CB5F81">
        <w:rPr>
          <w:rFonts w:asciiTheme="majorHAnsi" w:eastAsia="Times New Roman" w:hAnsiTheme="majorHAnsi" w:cstheme="majorHAnsi"/>
          <w:sz w:val="24"/>
          <w:szCs w:val="24"/>
          <w:lang w:eastAsia="ru-RU"/>
        </w:rPr>
        <w:t xml:space="preserve"> de sprijin acordată în baza prevederilor art. 103 alin. (1) pct. 14 din Codul fiscal ține de scutirea de plata TVA, fără drept de deducere, a serviciilor legate de jocurile de noroc</w:t>
      </w:r>
      <w:r w:rsidRPr="00CB5F81">
        <w:rPr>
          <w:rStyle w:val="FootnoteReference"/>
          <w:rFonts w:asciiTheme="majorHAnsi" w:eastAsia="Times New Roman" w:hAnsiTheme="majorHAnsi" w:cstheme="majorHAnsi"/>
          <w:sz w:val="24"/>
          <w:szCs w:val="24"/>
          <w:lang w:eastAsia="ru-RU"/>
        </w:rPr>
        <w:footnoteReference w:id="36"/>
      </w:r>
      <w:r w:rsidR="00F73496">
        <w:rPr>
          <w:rFonts w:asciiTheme="majorHAnsi" w:eastAsia="Times New Roman" w:hAnsiTheme="majorHAnsi" w:cstheme="majorHAnsi"/>
          <w:sz w:val="24"/>
          <w:szCs w:val="24"/>
          <w:lang w:eastAsia="ru-RU"/>
        </w:rPr>
        <w:t>, nefiind examinate  și justificate</w:t>
      </w:r>
      <w:r w:rsidR="002F5D44" w:rsidRPr="005405A7">
        <w:rPr>
          <w:rFonts w:asciiTheme="majorHAnsi" w:eastAsia="Times New Roman" w:hAnsiTheme="majorHAnsi" w:cstheme="majorHAnsi"/>
          <w:sz w:val="24"/>
          <w:szCs w:val="24"/>
          <w:lang w:eastAsia="ru-RU"/>
        </w:rPr>
        <w:t xml:space="preserve"> beneficiile </w:t>
      </w:r>
      <w:r w:rsidR="00276675" w:rsidRPr="005405A7">
        <w:rPr>
          <w:rFonts w:asciiTheme="majorHAnsi" w:eastAsia="Times New Roman" w:hAnsiTheme="majorHAnsi" w:cstheme="majorHAnsi"/>
          <w:sz w:val="24"/>
          <w:szCs w:val="24"/>
          <w:lang w:eastAsia="ru-RU"/>
        </w:rPr>
        <w:t xml:space="preserve">statului din acordarea acestor </w:t>
      </w:r>
      <w:r w:rsidR="00276675" w:rsidRPr="0096367B">
        <w:rPr>
          <w:rFonts w:asciiTheme="majorHAnsi" w:eastAsia="Times New Roman" w:hAnsiTheme="majorHAnsi" w:cstheme="majorHAnsi"/>
          <w:sz w:val="24"/>
          <w:szCs w:val="24"/>
          <w:lang w:eastAsia="ru-RU"/>
        </w:rPr>
        <w:t>facilități</w:t>
      </w:r>
      <w:r w:rsidR="005D3F3E" w:rsidRPr="0096367B">
        <w:rPr>
          <w:rStyle w:val="FootnoteReference"/>
          <w:rFonts w:asciiTheme="majorHAnsi" w:eastAsia="Times New Roman" w:hAnsiTheme="majorHAnsi" w:cstheme="majorHAnsi"/>
          <w:sz w:val="24"/>
          <w:szCs w:val="24"/>
          <w:lang w:eastAsia="ru-RU"/>
        </w:rPr>
        <w:footnoteReference w:id="37"/>
      </w:r>
      <w:r w:rsidR="00276675" w:rsidRPr="0096367B">
        <w:rPr>
          <w:rFonts w:asciiTheme="majorHAnsi" w:eastAsia="Times New Roman" w:hAnsiTheme="majorHAnsi" w:cstheme="majorHAnsi"/>
          <w:sz w:val="24"/>
          <w:szCs w:val="24"/>
          <w:lang w:eastAsia="ru-RU"/>
        </w:rPr>
        <w:t>.</w:t>
      </w:r>
      <w:r w:rsidR="00E22E15" w:rsidRPr="0096367B">
        <w:rPr>
          <w:rFonts w:asciiTheme="majorHAnsi" w:eastAsia="Times New Roman" w:hAnsiTheme="majorHAnsi" w:cstheme="majorHAnsi"/>
          <w:sz w:val="24"/>
          <w:szCs w:val="24"/>
          <w:lang w:eastAsia="ru-RU"/>
        </w:rPr>
        <w:t xml:space="preserve"> </w:t>
      </w:r>
      <w:r w:rsidR="0096367B" w:rsidRPr="0096367B">
        <w:rPr>
          <w:rFonts w:asciiTheme="majorHAnsi" w:eastAsia="Times New Roman" w:hAnsiTheme="majorHAnsi" w:cstheme="majorHAnsi"/>
          <w:sz w:val="24"/>
          <w:szCs w:val="24"/>
          <w:lang w:eastAsia="ru-RU"/>
        </w:rPr>
        <w:t>Potrivit calculelor</w:t>
      </w:r>
      <w:r w:rsidR="0096367B">
        <w:rPr>
          <w:rFonts w:asciiTheme="majorHAnsi" w:eastAsia="Times New Roman" w:hAnsiTheme="majorHAnsi" w:cstheme="majorHAnsi"/>
          <w:sz w:val="24"/>
          <w:szCs w:val="24"/>
          <w:lang w:eastAsia="ru-RU"/>
        </w:rPr>
        <w:t xml:space="preserve">  de audit (date</w:t>
      </w:r>
      <w:r w:rsidR="00927B83">
        <w:rPr>
          <w:rFonts w:asciiTheme="majorHAnsi" w:eastAsia="Times New Roman" w:hAnsiTheme="majorHAnsi" w:cstheme="majorHAnsi"/>
          <w:sz w:val="24"/>
          <w:szCs w:val="24"/>
          <w:lang w:eastAsia="ru-RU"/>
        </w:rPr>
        <w:t>lor</w:t>
      </w:r>
      <w:r w:rsidR="0096367B">
        <w:rPr>
          <w:rFonts w:asciiTheme="majorHAnsi" w:eastAsia="Times New Roman" w:hAnsiTheme="majorHAnsi" w:cstheme="majorHAnsi"/>
          <w:sz w:val="24"/>
          <w:szCs w:val="24"/>
          <w:lang w:eastAsia="ru-RU"/>
        </w:rPr>
        <w:t xml:space="preserve"> preluate din Declarația </w:t>
      </w:r>
      <w:r w:rsidR="0096367B" w:rsidRPr="0096367B">
        <w:rPr>
          <w:rFonts w:asciiTheme="majorHAnsi" w:eastAsia="Times New Roman" w:hAnsiTheme="majorHAnsi" w:cstheme="majorHAnsi"/>
          <w:sz w:val="24"/>
          <w:szCs w:val="24"/>
          <w:lang w:eastAsia="ru-RU"/>
        </w:rPr>
        <w:t xml:space="preserve">cu privire la impozitul pe venit, </w:t>
      </w:r>
      <w:r w:rsidR="00927B83">
        <w:rPr>
          <w:rFonts w:asciiTheme="majorHAnsi" w:eastAsia="Times New Roman" w:hAnsiTheme="majorHAnsi" w:cstheme="majorHAnsi"/>
          <w:sz w:val="24"/>
          <w:szCs w:val="24"/>
          <w:lang w:eastAsia="ru-RU"/>
        </w:rPr>
        <w:t>Formularul</w:t>
      </w:r>
      <w:r w:rsidR="0096367B" w:rsidRPr="0096367B">
        <w:rPr>
          <w:rFonts w:asciiTheme="majorHAnsi" w:eastAsia="Times New Roman" w:hAnsiTheme="majorHAnsi" w:cstheme="majorHAnsi"/>
          <w:sz w:val="24"/>
          <w:szCs w:val="24"/>
          <w:lang w:eastAsia="ru-RU"/>
        </w:rPr>
        <w:t xml:space="preserve"> VEN 12), doar la cel mai mare agent economic care practică  astfel de activități, </w:t>
      </w:r>
      <w:r w:rsidR="0096367B" w:rsidRPr="003F23A8">
        <w:rPr>
          <w:rFonts w:asciiTheme="majorHAnsi" w:eastAsia="Times New Roman" w:hAnsiTheme="majorHAnsi" w:cstheme="majorHAnsi"/>
          <w:sz w:val="24"/>
          <w:szCs w:val="24"/>
          <w:lang w:eastAsia="ru-RU"/>
        </w:rPr>
        <w:t>suma TVA estimată de la</w:t>
      </w:r>
      <w:r w:rsidR="00405A66" w:rsidRPr="003F23A8">
        <w:rPr>
          <w:rFonts w:asciiTheme="majorHAnsi" w:eastAsia="Times New Roman" w:hAnsiTheme="majorHAnsi" w:cstheme="majorHAnsi"/>
          <w:sz w:val="24"/>
          <w:szCs w:val="24"/>
          <w:lang w:eastAsia="ru-RU"/>
        </w:rPr>
        <w:t xml:space="preserve"> valoarea livrărilor</w:t>
      </w:r>
      <w:r w:rsidR="0096367B" w:rsidRPr="003F23A8">
        <w:rPr>
          <w:rFonts w:asciiTheme="majorHAnsi" w:eastAsia="Times New Roman" w:hAnsiTheme="majorHAnsi" w:cstheme="majorHAnsi"/>
          <w:sz w:val="24"/>
          <w:szCs w:val="24"/>
          <w:lang w:eastAsia="ru-RU"/>
        </w:rPr>
        <w:t xml:space="preserve"> din vânzări (fără</w:t>
      </w:r>
      <w:r w:rsidR="00405A66" w:rsidRPr="003F23A8">
        <w:rPr>
          <w:rFonts w:asciiTheme="majorHAnsi" w:eastAsia="Times New Roman" w:hAnsiTheme="majorHAnsi" w:cstheme="majorHAnsi"/>
          <w:sz w:val="24"/>
          <w:szCs w:val="24"/>
          <w:lang w:eastAsia="ru-RU"/>
        </w:rPr>
        <w:t xml:space="preserve"> partea de </w:t>
      </w:r>
      <w:r w:rsidR="0096367B" w:rsidRPr="003F23A8">
        <w:rPr>
          <w:rFonts w:asciiTheme="majorHAnsi" w:eastAsia="Times New Roman" w:hAnsiTheme="majorHAnsi" w:cstheme="majorHAnsi"/>
          <w:sz w:val="24"/>
          <w:szCs w:val="24"/>
          <w:lang w:eastAsia="ru-RU"/>
        </w:rPr>
        <w:t>deduceri), în anii 2020-2021</w:t>
      </w:r>
      <w:r w:rsidR="00927B83" w:rsidRPr="003F23A8">
        <w:rPr>
          <w:rFonts w:asciiTheme="majorHAnsi" w:eastAsia="Times New Roman" w:hAnsiTheme="majorHAnsi" w:cstheme="majorHAnsi"/>
          <w:sz w:val="24"/>
          <w:szCs w:val="24"/>
          <w:lang w:eastAsia="ru-RU"/>
        </w:rPr>
        <w:t>,</w:t>
      </w:r>
      <w:r w:rsidR="0096367B" w:rsidRPr="003F23A8">
        <w:rPr>
          <w:rFonts w:asciiTheme="majorHAnsi" w:eastAsia="Times New Roman" w:hAnsiTheme="majorHAnsi" w:cstheme="majorHAnsi"/>
          <w:sz w:val="24"/>
          <w:szCs w:val="24"/>
          <w:lang w:eastAsia="ru-RU"/>
        </w:rPr>
        <w:t xml:space="preserve"> a constituit circa 900</w:t>
      </w:r>
      <w:r w:rsidR="00927B83" w:rsidRPr="003F23A8">
        <w:rPr>
          <w:rFonts w:asciiTheme="majorHAnsi" w:eastAsia="Times New Roman" w:hAnsiTheme="majorHAnsi" w:cstheme="majorHAnsi"/>
          <w:sz w:val="24"/>
          <w:szCs w:val="24"/>
          <w:lang w:eastAsia="ru-RU"/>
        </w:rPr>
        <w:t>,0</w:t>
      </w:r>
      <w:r w:rsidR="0096367B" w:rsidRPr="003F23A8">
        <w:rPr>
          <w:rFonts w:asciiTheme="majorHAnsi" w:eastAsia="Times New Roman" w:hAnsiTheme="majorHAnsi" w:cstheme="majorHAnsi"/>
          <w:sz w:val="24"/>
          <w:szCs w:val="24"/>
          <w:lang w:eastAsia="ru-RU"/>
        </w:rPr>
        <w:t xml:space="preserve"> mil</w:t>
      </w:r>
      <w:r w:rsidR="00927B83" w:rsidRPr="003F23A8">
        <w:rPr>
          <w:rFonts w:asciiTheme="majorHAnsi" w:eastAsia="Times New Roman" w:hAnsiTheme="majorHAnsi" w:cstheme="majorHAnsi"/>
          <w:sz w:val="24"/>
          <w:szCs w:val="24"/>
          <w:lang w:eastAsia="ru-RU"/>
        </w:rPr>
        <w:t>.</w:t>
      </w:r>
      <w:r w:rsidR="0096367B" w:rsidRPr="003F23A8">
        <w:rPr>
          <w:rFonts w:asciiTheme="majorHAnsi" w:eastAsia="Times New Roman" w:hAnsiTheme="majorHAnsi" w:cstheme="majorHAnsi"/>
          <w:sz w:val="24"/>
          <w:szCs w:val="24"/>
          <w:lang w:eastAsia="ru-RU"/>
        </w:rPr>
        <w:t xml:space="preserve"> lei. </w:t>
      </w:r>
      <w:r w:rsidR="00E22E15" w:rsidRPr="003F23A8">
        <w:rPr>
          <w:rFonts w:asciiTheme="majorHAnsi" w:eastAsia="Times New Roman" w:hAnsiTheme="majorHAnsi" w:cstheme="majorHAnsi"/>
          <w:sz w:val="24"/>
          <w:szCs w:val="24"/>
          <w:lang w:eastAsia="ru-RU"/>
        </w:rPr>
        <w:t xml:space="preserve">Cu atât mai mult că </w:t>
      </w:r>
      <w:r w:rsidR="00FD70A2" w:rsidRPr="003F23A8">
        <w:rPr>
          <w:rFonts w:asciiTheme="majorHAnsi" w:eastAsia="Times New Roman" w:hAnsiTheme="majorHAnsi" w:cstheme="majorHAnsi"/>
          <w:sz w:val="24"/>
          <w:szCs w:val="24"/>
          <w:lang w:eastAsia="ru-RU"/>
        </w:rPr>
        <w:t>în perioada menționată</w:t>
      </w:r>
      <w:r w:rsidR="002C28F0" w:rsidRPr="003F23A8">
        <w:rPr>
          <w:rFonts w:asciiTheme="majorHAnsi" w:eastAsia="Times New Roman" w:hAnsiTheme="majorHAnsi" w:cstheme="majorHAnsi"/>
          <w:sz w:val="24"/>
          <w:szCs w:val="24"/>
          <w:lang w:eastAsia="ru-RU"/>
        </w:rPr>
        <w:t xml:space="preserve"> acest agent economic</w:t>
      </w:r>
      <w:r w:rsidR="00FD70A2" w:rsidRPr="003F23A8">
        <w:rPr>
          <w:rFonts w:asciiTheme="majorHAnsi" w:eastAsia="Times New Roman" w:hAnsiTheme="majorHAnsi" w:cstheme="majorHAnsi"/>
          <w:sz w:val="24"/>
          <w:szCs w:val="24"/>
          <w:lang w:eastAsia="ru-RU"/>
        </w:rPr>
        <w:t xml:space="preserve"> a contribuit la bugetul de stat</w:t>
      </w:r>
      <w:r w:rsidR="00927B83" w:rsidRPr="003F23A8">
        <w:rPr>
          <w:rFonts w:asciiTheme="majorHAnsi" w:eastAsia="Times New Roman" w:hAnsiTheme="majorHAnsi" w:cstheme="majorHAnsi"/>
          <w:sz w:val="24"/>
          <w:szCs w:val="24"/>
          <w:lang w:eastAsia="ru-RU"/>
        </w:rPr>
        <w:t>,</w:t>
      </w:r>
      <w:r w:rsidR="00FD70A2" w:rsidRPr="003F23A8">
        <w:rPr>
          <w:rFonts w:asciiTheme="majorHAnsi" w:eastAsia="Times New Roman" w:hAnsiTheme="majorHAnsi" w:cstheme="majorHAnsi"/>
          <w:sz w:val="24"/>
          <w:szCs w:val="24"/>
          <w:lang w:eastAsia="ru-RU"/>
        </w:rPr>
        <w:t xml:space="preserve"> achitând impozite și taxe în valoare de 88,1 mil. lei. </w:t>
      </w:r>
      <w:r w:rsidR="00276675" w:rsidRPr="003F23A8">
        <w:rPr>
          <w:rFonts w:asciiTheme="majorHAnsi" w:eastAsia="Times New Roman" w:hAnsiTheme="majorHAnsi" w:cstheme="majorHAnsi"/>
          <w:sz w:val="24"/>
          <w:szCs w:val="24"/>
          <w:lang w:eastAsia="ru-RU"/>
        </w:rPr>
        <w:t>Deși</w:t>
      </w:r>
      <w:r w:rsidR="00432B4C" w:rsidRPr="003F23A8">
        <w:rPr>
          <w:rFonts w:asciiTheme="majorHAnsi" w:eastAsia="Times New Roman" w:hAnsiTheme="majorHAnsi" w:cstheme="majorHAnsi"/>
          <w:sz w:val="24"/>
          <w:szCs w:val="24"/>
          <w:lang w:eastAsia="ru-RU"/>
        </w:rPr>
        <w:t>,</w:t>
      </w:r>
      <w:r w:rsidR="00276675" w:rsidRPr="003F23A8">
        <w:rPr>
          <w:rFonts w:asciiTheme="majorHAnsi" w:eastAsia="Times New Roman" w:hAnsiTheme="majorHAnsi" w:cstheme="majorHAnsi"/>
          <w:sz w:val="24"/>
          <w:szCs w:val="24"/>
          <w:lang w:eastAsia="ru-RU"/>
        </w:rPr>
        <w:t xml:space="preserve"> conform practicilor statelor membre</w:t>
      </w:r>
      <w:r w:rsidR="002C28F0" w:rsidRPr="003F23A8">
        <w:rPr>
          <w:rFonts w:asciiTheme="majorHAnsi" w:eastAsia="Times New Roman" w:hAnsiTheme="majorHAnsi" w:cstheme="majorHAnsi"/>
          <w:sz w:val="24"/>
          <w:szCs w:val="24"/>
          <w:lang w:eastAsia="ru-RU"/>
        </w:rPr>
        <w:t xml:space="preserve"> ale </w:t>
      </w:r>
      <w:r w:rsidR="00276675" w:rsidRPr="003F23A8">
        <w:rPr>
          <w:rFonts w:asciiTheme="majorHAnsi" w:eastAsia="Times New Roman" w:hAnsiTheme="majorHAnsi" w:cstheme="majorHAnsi"/>
          <w:sz w:val="24"/>
          <w:szCs w:val="24"/>
          <w:lang w:eastAsia="ru-RU"/>
        </w:rPr>
        <w:t>U</w:t>
      </w:r>
      <w:r w:rsidR="00E04E1E" w:rsidRPr="003F23A8">
        <w:rPr>
          <w:rFonts w:asciiTheme="majorHAnsi" w:eastAsia="Times New Roman" w:hAnsiTheme="majorHAnsi" w:cstheme="majorHAnsi"/>
          <w:sz w:val="24"/>
          <w:szCs w:val="24"/>
          <w:lang w:eastAsia="ru-RU"/>
        </w:rPr>
        <w:t xml:space="preserve">niunii </w:t>
      </w:r>
      <w:r w:rsidR="00276675" w:rsidRPr="003F23A8">
        <w:rPr>
          <w:rFonts w:asciiTheme="majorHAnsi" w:eastAsia="Times New Roman" w:hAnsiTheme="majorHAnsi" w:cstheme="majorHAnsi"/>
          <w:sz w:val="24"/>
          <w:szCs w:val="24"/>
          <w:lang w:eastAsia="ru-RU"/>
        </w:rPr>
        <w:t>E</w:t>
      </w:r>
      <w:r w:rsidR="00E04E1E" w:rsidRPr="003F23A8">
        <w:rPr>
          <w:rFonts w:asciiTheme="majorHAnsi" w:eastAsia="Times New Roman" w:hAnsiTheme="majorHAnsi" w:cstheme="majorHAnsi"/>
          <w:sz w:val="24"/>
          <w:szCs w:val="24"/>
          <w:lang w:eastAsia="ru-RU"/>
        </w:rPr>
        <w:t>uropene</w:t>
      </w:r>
      <w:r w:rsidR="00276675" w:rsidRPr="003F23A8">
        <w:rPr>
          <w:rStyle w:val="FootnoteReference"/>
          <w:rFonts w:asciiTheme="majorHAnsi" w:eastAsia="Times New Roman" w:hAnsiTheme="majorHAnsi" w:cstheme="majorHAnsi"/>
          <w:sz w:val="24"/>
          <w:szCs w:val="24"/>
          <w:lang w:eastAsia="ru-RU"/>
        </w:rPr>
        <w:footnoteReference w:id="38"/>
      </w:r>
      <w:r w:rsidR="00276675" w:rsidRPr="003F23A8">
        <w:rPr>
          <w:rFonts w:asciiTheme="majorHAnsi" w:eastAsia="Times New Roman" w:hAnsiTheme="majorHAnsi" w:cstheme="majorHAnsi"/>
          <w:sz w:val="24"/>
          <w:szCs w:val="24"/>
          <w:lang w:eastAsia="ru-RU"/>
        </w:rPr>
        <w:t>, se scutesc de plata TVA</w:t>
      </w:r>
      <w:r w:rsidR="00EC1EAF" w:rsidRPr="003F23A8">
        <w:rPr>
          <w:rFonts w:asciiTheme="majorHAnsi" w:eastAsia="Times New Roman" w:hAnsiTheme="majorHAnsi" w:cstheme="majorHAnsi"/>
          <w:sz w:val="24"/>
          <w:szCs w:val="24"/>
          <w:lang w:eastAsia="ru-RU"/>
        </w:rPr>
        <w:t xml:space="preserve"> </w:t>
      </w:r>
      <w:r w:rsidR="00276675" w:rsidRPr="003F23A8">
        <w:rPr>
          <w:rFonts w:asciiTheme="majorHAnsi" w:eastAsia="Times New Roman" w:hAnsiTheme="majorHAnsi" w:cstheme="majorHAnsi"/>
          <w:sz w:val="24"/>
          <w:szCs w:val="24"/>
          <w:lang w:eastAsia="ru-RU"/>
        </w:rPr>
        <w:t>astfel</w:t>
      </w:r>
      <w:r w:rsidR="00276675" w:rsidRPr="005405A7">
        <w:rPr>
          <w:rFonts w:asciiTheme="majorHAnsi" w:eastAsia="Times New Roman" w:hAnsiTheme="majorHAnsi" w:cstheme="majorHAnsi"/>
          <w:sz w:val="24"/>
          <w:szCs w:val="24"/>
          <w:lang w:eastAsia="ru-RU"/>
        </w:rPr>
        <w:t xml:space="preserve"> de activități</w:t>
      </w:r>
      <w:r w:rsidR="00EE31C9">
        <w:rPr>
          <w:rFonts w:asciiTheme="majorHAnsi" w:eastAsia="Times New Roman" w:hAnsiTheme="majorHAnsi" w:cstheme="majorHAnsi"/>
          <w:sz w:val="24"/>
          <w:szCs w:val="24"/>
          <w:lang w:eastAsia="ru-RU"/>
        </w:rPr>
        <w:t xml:space="preserve">, ca </w:t>
      </w:r>
      <w:r w:rsidR="00276675" w:rsidRPr="005405A7">
        <w:rPr>
          <w:rFonts w:asciiTheme="majorHAnsi" w:eastAsia="Times New Roman" w:hAnsiTheme="majorHAnsi" w:cstheme="majorHAnsi"/>
          <w:sz w:val="24"/>
          <w:szCs w:val="24"/>
          <w:lang w:eastAsia="ru-RU"/>
        </w:rPr>
        <w:t>pariuri</w:t>
      </w:r>
      <w:r w:rsidR="00EE31C9">
        <w:rPr>
          <w:rFonts w:asciiTheme="majorHAnsi" w:eastAsia="Times New Roman" w:hAnsiTheme="majorHAnsi" w:cstheme="majorHAnsi"/>
          <w:sz w:val="24"/>
          <w:szCs w:val="24"/>
          <w:lang w:eastAsia="ru-RU"/>
        </w:rPr>
        <w:t>le</w:t>
      </w:r>
      <w:r w:rsidR="00276675" w:rsidRPr="005405A7">
        <w:rPr>
          <w:rFonts w:asciiTheme="majorHAnsi" w:eastAsia="Times New Roman" w:hAnsiTheme="majorHAnsi" w:cstheme="majorHAnsi"/>
          <w:sz w:val="24"/>
          <w:szCs w:val="24"/>
          <w:lang w:eastAsia="ru-RU"/>
        </w:rPr>
        <w:t>, loterii</w:t>
      </w:r>
      <w:r w:rsidR="00EE31C9">
        <w:rPr>
          <w:rFonts w:asciiTheme="majorHAnsi" w:eastAsia="Times New Roman" w:hAnsiTheme="majorHAnsi" w:cstheme="majorHAnsi"/>
          <w:sz w:val="24"/>
          <w:szCs w:val="24"/>
          <w:lang w:eastAsia="ru-RU"/>
        </w:rPr>
        <w:t>le</w:t>
      </w:r>
      <w:r w:rsidR="00276675" w:rsidRPr="005405A7">
        <w:rPr>
          <w:rFonts w:asciiTheme="majorHAnsi" w:eastAsia="Times New Roman" w:hAnsiTheme="majorHAnsi" w:cstheme="majorHAnsi"/>
          <w:sz w:val="24"/>
          <w:szCs w:val="24"/>
          <w:lang w:eastAsia="ru-RU"/>
        </w:rPr>
        <w:t xml:space="preserve"> și alte forme de jocuri de noroc</w:t>
      </w:r>
      <w:r w:rsidR="00EE31C9">
        <w:rPr>
          <w:rFonts w:asciiTheme="majorHAnsi" w:eastAsia="Times New Roman" w:hAnsiTheme="majorHAnsi" w:cstheme="majorHAnsi"/>
          <w:sz w:val="24"/>
          <w:szCs w:val="24"/>
          <w:lang w:eastAsia="ru-RU"/>
        </w:rPr>
        <w:t>,</w:t>
      </w:r>
      <w:r w:rsidR="00337D3F" w:rsidRPr="005405A7">
        <w:rPr>
          <w:rFonts w:asciiTheme="majorHAnsi" w:eastAsia="Times New Roman" w:hAnsiTheme="majorHAnsi" w:cstheme="majorHAnsi"/>
          <w:sz w:val="24"/>
          <w:szCs w:val="24"/>
          <w:lang w:eastAsia="ru-RU"/>
        </w:rPr>
        <w:t xml:space="preserve"> </w:t>
      </w:r>
      <w:r w:rsidR="00276675" w:rsidRPr="005405A7">
        <w:rPr>
          <w:rFonts w:asciiTheme="majorHAnsi" w:eastAsia="Times New Roman" w:hAnsiTheme="majorHAnsi" w:cstheme="majorHAnsi"/>
          <w:sz w:val="24"/>
          <w:szCs w:val="24"/>
          <w:lang w:eastAsia="ru-RU"/>
        </w:rPr>
        <w:t>ca motiv invocându-se dificultatea privind</w:t>
      </w:r>
      <w:r w:rsidR="00EC1EAF" w:rsidRPr="005405A7">
        <w:rPr>
          <w:rFonts w:asciiTheme="majorHAnsi" w:eastAsia="Times New Roman" w:hAnsiTheme="majorHAnsi" w:cstheme="majorHAnsi"/>
          <w:sz w:val="24"/>
          <w:szCs w:val="24"/>
          <w:lang w:eastAsia="ru-RU"/>
        </w:rPr>
        <w:t xml:space="preserve"> </w:t>
      </w:r>
      <w:r w:rsidR="00276675" w:rsidRPr="005405A7">
        <w:rPr>
          <w:rFonts w:asciiTheme="majorHAnsi" w:eastAsia="Times New Roman" w:hAnsiTheme="majorHAnsi" w:cstheme="majorHAnsi"/>
          <w:sz w:val="24"/>
          <w:szCs w:val="24"/>
          <w:lang w:eastAsia="ru-RU"/>
        </w:rPr>
        <w:lastRenderedPageBreak/>
        <w:t xml:space="preserve">determinarea corectă a valorii impozabile a livrărilor de servicii cu jocuri de noroc, </w:t>
      </w:r>
      <w:r w:rsidR="00F15779" w:rsidRPr="005405A7">
        <w:rPr>
          <w:rFonts w:asciiTheme="majorHAnsi" w:eastAsia="Times New Roman" w:hAnsiTheme="majorHAnsi" w:cstheme="majorHAnsi"/>
          <w:sz w:val="24"/>
          <w:szCs w:val="24"/>
          <w:lang w:eastAsia="ru-RU"/>
        </w:rPr>
        <w:t>totuși</w:t>
      </w:r>
      <w:r w:rsidR="00EE31C9">
        <w:rPr>
          <w:rFonts w:asciiTheme="majorHAnsi" w:eastAsia="Times New Roman" w:hAnsiTheme="majorHAnsi" w:cstheme="majorHAnsi"/>
          <w:sz w:val="24"/>
          <w:szCs w:val="24"/>
          <w:lang w:eastAsia="ru-RU"/>
        </w:rPr>
        <w:t>,</w:t>
      </w:r>
      <w:r w:rsidR="00F15779" w:rsidRPr="005405A7">
        <w:rPr>
          <w:rFonts w:asciiTheme="majorHAnsi" w:eastAsia="Times New Roman" w:hAnsiTheme="majorHAnsi" w:cstheme="majorHAnsi"/>
          <w:sz w:val="24"/>
          <w:szCs w:val="24"/>
          <w:lang w:eastAsia="ru-RU"/>
        </w:rPr>
        <w:t xml:space="preserve"> </w:t>
      </w:r>
      <w:r w:rsidR="002C28F0" w:rsidRPr="005405A7">
        <w:rPr>
          <w:rFonts w:asciiTheme="majorHAnsi" w:eastAsia="Times New Roman" w:hAnsiTheme="majorHAnsi" w:cstheme="majorHAnsi"/>
          <w:sz w:val="24"/>
          <w:szCs w:val="24"/>
          <w:lang w:eastAsia="ru-RU"/>
        </w:rPr>
        <w:t>este prevăzut</w:t>
      </w:r>
      <w:r w:rsidR="00312C95" w:rsidRPr="005405A7">
        <w:rPr>
          <w:rFonts w:asciiTheme="majorHAnsi" w:eastAsia="Times New Roman" w:hAnsiTheme="majorHAnsi" w:cstheme="majorHAnsi"/>
          <w:sz w:val="24"/>
          <w:szCs w:val="24"/>
          <w:lang w:eastAsia="ru-RU"/>
        </w:rPr>
        <w:t xml:space="preserve"> </w:t>
      </w:r>
      <w:r w:rsidR="00F15779" w:rsidRPr="005405A7">
        <w:rPr>
          <w:rFonts w:asciiTheme="majorHAnsi" w:eastAsia="Times New Roman" w:hAnsiTheme="majorHAnsi" w:cstheme="majorHAnsi"/>
          <w:sz w:val="24"/>
          <w:szCs w:val="24"/>
          <w:lang w:eastAsia="ru-RU"/>
        </w:rPr>
        <w:t xml:space="preserve">că statele </w:t>
      </w:r>
      <w:r w:rsidR="00EE31C9">
        <w:rPr>
          <w:rFonts w:asciiTheme="majorHAnsi" w:eastAsia="Times New Roman" w:hAnsiTheme="majorHAnsi" w:cstheme="majorHAnsi"/>
          <w:sz w:val="24"/>
          <w:szCs w:val="24"/>
          <w:lang w:eastAsia="ru-RU"/>
        </w:rPr>
        <w:t xml:space="preserve">membre </w:t>
      </w:r>
      <w:r w:rsidR="00F15779" w:rsidRPr="005405A7">
        <w:rPr>
          <w:rFonts w:asciiTheme="majorHAnsi" w:eastAsia="Times New Roman" w:hAnsiTheme="majorHAnsi" w:cstheme="majorHAnsi"/>
          <w:sz w:val="24"/>
          <w:szCs w:val="24"/>
          <w:lang w:eastAsia="ru-RU"/>
        </w:rPr>
        <w:t xml:space="preserve">decid </w:t>
      </w:r>
      <w:r w:rsidR="000F51EC" w:rsidRPr="005405A7">
        <w:rPr>
          <w:rFonts w:asciiTheme="majorHAnsi" w:eastAsia="Times New Roman" w:hAnsiTheme="majorHAnsi" w:cstheme="majorHAnsi"/>
          <w:sz w:val="24"/>
          <w:szCs w:val="24"/>
          <w:lang w:eastAsia="ru-RU"/>
        </w:rPr>
        <w:t xml:space="preserve">individual </w:t>
      </w:r>
      <w:r w:rsidR="00F15779" w:rsidRPr="005405A7">
        <w:rPr>
          <w:rFonts w:asciiTheme="majorHAnsi" w:eastAsia="Times New Roman" w:hAnsiTheme="majorHAnsi" w:cstheme="majorHAnsi"/>
          <w:sz w:val="24"/>
          <w:szCs w:val="24"/>
          <w:lang w:eastAsia="ru-RU"/>
        </w:rPr>
        <w:t>referitor la aplicarea</w:t>
      </w:r>
      <w:r w:rsidR="00EE31C9">
        <w:rPr>
          <w:rFonts w:asciiTheme="majorHAnsi" w:eastAsia="Times New Roman" w:hAnsiTheme="majorHAnsi" w:cstheme="majorHAnsi"/>
          <w:sz w:val="24"/>
          <w:szCs w:val="24"/>
          <w:lang w:eastAsia="ru-RU"/>
        </w:rPr>
        <w:t xml:space="preserve"> lor</w:t>
      </w:r>
      <w:r w:rsidR="005C4443">
        <w:rPr>
          <w:rFonts w:asciiTheme="majorHAnsi" w:eastAsia="Times New Roman" w:hAnsiTheme="majorHAnsi" w:cstheme="majorHAnsi"/>
          <w:sz w:val="24"/>
          <w:szCs w:val="24"/>
          <w:lang w:eastAsia="ru-RU"/>
        </w:rPr>
        <w:t>.</w:t>
      </w:r>
      <w:r w:rsidR="000F51EC" w:rsidRPr="005405A7">
        <w:rPr>
          <w:rFonts w:asciiTheme="majorHAnsi" w:eastAsia="Times New Roman" w:hAnsiTheme="majorHAnsi" w:cstheme="majorHAnsi"/>
          <w:sz w:val="24"/>
          <w:szCs w:val="24"/>
          <w:lang w:eastAsia="ru-RU"/>
        </w:rPr>
        <w:t xml:space="preserve"> </w:t>
      </w:r>
    </w:p>
    <w:p w:rsidR="00633F17" w:rsidRPr="00CB5F81" w:rsidRDefault="00946605" w:rsidP="0064221A">
      <w:pPr>
        <w:spacing w:after="0" w:line="240" w:lineRule="auto"/>
        <w:jc w:val="both"/>
        <w:rPr>
          <w:rFonts w:asciiTheme="majorHAnsi" w:eastAsia="Times New Roman" w:hAnsiTheme="majorHAnsi" w:cstheme="majorHAnsi"/>
          <w:sz w:val="24"/>
          <w:szCs w:val="24"/>
          <w:lang w:eastAsia="ru-RU"/>
        </w:rPr>
      </w:pPr>
      <w:r w:rsidRPr="00CB5F81">
        <w:rPr>
          <w:rFonts w:asciiTheme="majorHAnsi" w:eastAsia="Times New Roman" w:hAnsiTheme="majorHAnsi" w:cstheme="majorHAnsi"/>
          <w:sz w:val="24"/>
          <w:szCs w:val="24"/>
          <w:lang w:eastAsia="ru-RU"/>
        </w:rPr>
        <w:t xml:space="preserve">Analizele </w:t>
      </w:r>
      <w:r w:rsidR="00EE31C9">
        <w:rPr>
          <w:rFonts w:asciiTheme="majorHAnsi" w:eastAsia="Times New Roman" w:hAnsiTheme="majorHAnsi" w:cstheme="majorHAnsi"/>
          <w:sz w:val="24"/>
          <w:szCs w:val="24"/>
          <w:lang w:eastAsia="ru-RU"/>
        </w:rPr>
        <w:t xml:space="preserve">efectuate </w:t>
      </w:r>
      <w:r w:rsidRPr="00CB5F81">
        <w:rPr>
          <w:rFonts w:asciiTheme="majorHAnsi" w:eastAsia="Times New Roman" w:hAnsiTheme="majorHAnsi" w:cstheme="majorHAnsi"/>
          <w:sz w:val="24"/>
          <w:szCs w:val="24"/>
          <w:lang w:eastAsia="ru-RU"/>
        </w:rPr>
        <w:t xml:space="preserve">de audit atestă </w:t>
      </w:r>
      <w:r w:rsidR="007145DC" w:rsidRPr="00CB5F81">
        <w:rPr>
          <w:rFonts w:asciiTheme="majorHAnsi" w:eastAsia="Times New Roman" w:hAnsiTheme="majorHAnsi" w:cstheme="majorHAnsi"/>
          <w:sz w:val="24"/>
          <w:szCs w:val="24"/>
          <w:lang w:eastAsia="ru-RU"/>
        </w:rPr>
        <w:t xml:space="preserve">deficiențe similare și în procesul </w:t>
      </w:r>
      <w:r w:rsidR="007145DC" w:rsidRPr="00A2724D">
        <w:rPr>
          <w:rFonts w:asciiTheme="majorHAnsi" w:eastAsia="Times New Roman" w:hAnsiTheme="majorHAnsi" w:cstheme="majorHAnsi"/>
          <w:sz w:val="24"/>
          <w:szCs w:val="24"/>
          <w:lang w:eastAsia="ru-RU"/>
        </w:rPr>
        <w:t>de acordare a</w:t>
      </w:r>
      <w:r w:rsidR="00A2724D">
        <w:rPr>
          <w:rFonts w:asciiTheme="majorHAnsi" w:eastAsia="Times New Roman" w:hAnsiTheme="majorHAnsi" w:cstheme="majorHAnsi"/>
          <w:sz w:val="24"/>
          <w:szCs w:val="24"/>
          <w:lang w:eastAsia="ru-RU"/>
        </w:rPr>
        <w:t xml:space="preserve"> </w:t>
      </w:r>
      <w:r w:rsidRPr="00A2724D">
        <w:rPr>
          <w:rFonts w:asciiTheme="majorHAnsi" w:eastAsia="Times New Roman" w:hAnsiTheme="majorHAnsi" w:cstheme="majorHAnsi"/>
          <w:sz w:val="24"/>
          <w:szCs w:val="24"/>
          <w:lang w:eastAsia="ru-RU"/>
        </w:rPr>
        <w:t>scutir</w:t>
      </w:r>
      <w:r w:rsidR="00A2724D">
        <w:rPr>
          <w:rFonts w:asciiTheme="majorHAnsi" w:eastAsia="Times New Roman" w:hAnsiTheme="majorHAnsi" w:cstheme="majorHAnsi"/>
          <w:sz w:val="24"/>
          <w:szCs w:val="24"/>
          <w:lang w:eastAsia="ru-RU"/>
        </w:rPr>
        <w:t>ii</w:t>
      </w:r>
      <w:r w:rsidRPr="00A2724D">
        <w:rPr>
          <w:rFonts w:asciiTheme="majorHAnsi" w:eastAsia="Times New Roman" w:hAnsiTheme="majorHAnsi" w:cstheme="majorHAnsi"/>
          <w:sz w:val="24"/>
          <w:szCs w:val="24"/>
          <w:lang w:eastAsia="ru-RU"/>
        </w:rPr>
        <w:t xml:space="preserve"> de plata acciz</w:t>
      </w:r>
      <w:r w:rsidR="00C70E4C">
        <w:rPr>
          <w:rFonts w:asciiTheme="majorHAnsi" w:eastAsia="Times New Roman" w:hAnsiTheme="majorHAnsi" w:cstheme="majorHAnsi"/>
          <w:sz w:val="24"/>
          <w:szCs w:val="24"/>
          <w:lang w:eastAsia="ru-RU"/>
        </w:rPr>
        <w:t>elor</w:t>
      </w:r>
      <w:r w:rsidRPr="00A2724D">
        <w:rPr>
          <w:rFonts w:asciiTheme="majorHAnsi" w:eastAsia="Times New Roman" w:hAnsiTheme="majorHAnsi" w:cstheme="majorHAnsi"/>
          <w:sz w:val="24"/>
          <w:szCs w:val="24"/>
          <w:lang w:eastAsia="ru-RU"/>
        </w:rPr>
        <w:t xml:space="preserve"> </w:t>
      </w:r>
      <w:r w:rsidR="00E45CBA" w:rsidRPr="00A2724D">
        <w:rPr>
          <w:rFonts w:asciiTheme="majorHAnsi" w:eastAsia="Times New Roman" w:hAnsiTheme="majorHAnsi" w:cstheme="majorHAnsi"/>
          <w:sz w:val="24"/>
          <w:szCs w:val="24"/>
          <w:lang w:eastAsia="ru-RU"/>
        </w:rPr>
        <w:t>l</w:t>
      </w:r>
      <w:r w:rsidRPr="00A2724D">
        <w:rPr>
          <w:rFonts w:asciiTheme="majorHAnsi" w:eastAsia="Times New Roman" w:hAnsiTheme="majorHAnsi" w:cstheme="majorHAnsi"/>
          <w:sz w:val="24"/>
          <w:szCs w:val="24"/>
          <w:lang w:eastAsia="ru-RU"/>
        </w:rPr>
        <w:t>a azotul</w:t>
      </w:r>
      <w:r w:rsidR="00B247E6" w:rsidRPr="00A2724D">
        <w:rPr>
          <w:rFonts w:asciiTheme="majorHAnsi" w:eastAsia="Times New Roman" w:hAnsiTheme="majorHAnsi" w:cstheme="majorHAnsi"/>
          <w:sz w:val="24"/>
          <w:szCs w:val="24"/>
          <w:lang w:eastAsia="ru-RU"/>
        </w:rPr>
        <w:t xml:space="preserve"> </w:t>
      </w:r>
      <w:r w:rsidRPr="00A2724D">
        <w:rPr>
          <w:rFonts w:asciiTheme="majorHAnsi" w:eastAsia="Times New Roman" w:hAnsiTheme="majorHAnsi" w:cstheme="majorHAnsi"/>
          <w:sz w:val="24"/>
          <w:szCs w:val="24"/>
          <w:lang w:eastAsia="ru-RU"/>
        </w:rPr>
        <w:t>și oxig</w:t>
      </w:r>
      <w:r w:rsidR="009C28A0" w:rsidRPr="00A2724D">
        <w:rPr>
          <w:rFonts w:asciiTheme="majorHAnsi" w:eastAsia="Times New Roman" w:hAnsiTheme="majorHAnsi" w:cstheme="majorHAnsi"/>
          <w:sz w:val="24"/>
          <w:szCs w:val="24"/>
          <w:lang w:eastAsia="ru-RU"/>
        </w:rPr>
        <w:t>enul produ</w:t>
      </w:r>
      <w:r w:rsidR="0088356E">
        <w:rPr>
          <w:rFonts w:asciiTheme="majorHAnsi" w:eastAsia="Times New Roman" w:hAnsiTheme="majorHAnsi" w:cstheme="majorHAnsi"/>
          <w:sz w:val="24"/>
          <w:szCs w:val="24"/>
          <w:lang w:eastAsia="ru-RU"/>
        </w:rPr>
        <w:t>și</w:t>
      </w:r>
      <w:r w:rsidR="009C28A0" w:rsidRPr="00A2724D">
        <w:rPr>
          <w:rFonts w:asciiTheme="majorHAnsi" w:eastAsia="Times New Roman" w:hAnsiTheme="majorHAnsi" w:cstheme="majorHAnsi"/>
          <w:sz w:val="24"/>
          <w:szCs w:val="24"/>
          <w:lang w:eastAsia="ru-RU"/>
        </w:rPr>
        <w:t xml:space="preserve"> pe teritoriul țării, statuată în art.124 alin.</w:t>
      </w:r>
      <w:r w:rsidR="00700040" w:rsidRPr="00A2724D">
        <w:rPr>
          <w:rFonts w:asciiTheme="majorHAnsi" w:eastAsia="Times New Roman" w:hAnsiTheme="majorHAnsi" w:cstheme="majorHAnsi"/>
          <w:sz w:val="24"/>
          <w:szCs w:val="24"/>
          <w:lang w:eastAsia="ru-RU"/>
        </w:rPr>
        <w:t>(</w:t>
      </w:r>
      <w:r w:rsidR="009C28A0" w:rsidRPr="00A2724D">
        <w:rPr>
          <w:rFonts w:asciiTheme="majorHAnsi" w:eastAsia="Times New Roman" w:hAnsiTheme="majorHAnsi" w:cstheme="majorHAnsi"/>
          <w:sz w:val="24"/>
          <w:szCs w:val="24"/>
          <w:lang w:eastAsia="ru-RU"/>
        </w:rPr>
        <w:t>16) din Codul fiscal.</w:t>
      </w:r>
      <w:r w:rsidRPr="00A2724D">
        <w:rPr>
          <w:rFonts w:asciiTheme="majorHAnsi" w:eastAsia="Times New Roman" w:hAnsiTheme="majorHAnsi" w:cstheme="majorHAnsi"/>
          <w:sz w:val="24"/>
          <w:szCs w:val="24"/>
          <w:lang w:eastAsia="ru-RU"/>
        </w:rPr>
        <w:t xml:space="preserve"> Facilitatea respectivă </w:t>
      </w:r>
      <w:r w:rsidR="00700040" w:rsidRPr="00A2724D">
        <w:rPr>
          <w:rFonts w:asciiTheme="majorHAnsi" w:eastAsia="Times New Roman" w:hAnsiTheme="majorHAnsi" w:cstheme="majorHAnsi"/>
          <w:sz w:val="24"/>
          <w:szCs w:val="24"/>
          <w:lang w:eastAsia="ru-RU"/>
        </w:rPr>
        <w:t>s-</w:t>
      </w:r>
      <w:r w:rsidRPr="00A2724D">
        <w:rPr>
          <w:rFonts w:asciiTheme="majorHAnsi" w:eastAsia="Times New Roman" w:hAnsiTheme="majorHAnsi" w:cstheme="majorHAnsi"/>
          <w:sz w:val="24"/>
          <w:szCs w:val="24"/>
          <w:lang w:eastAsia="ru-RU"/>
        </w:rPr>
        <w:t xml:space="preserve">a instituit în temeiul Legii </w:t>
      </w:r>
      <w:r w:rsidR="00E12CF6" w:rsidRPr="00A2724D">
        <w:rPr>
          <w:rFonts w:asciiTheme="majorHAnsi" w:eastAsia="Times New Roman" w:hAnsiTheme="majorHAnsi" w:cstheme="majorHAnsi"/>
          <w:sz w:val="24"/>
          <w:szCs w:val="24"/>
          <w:lang w:eastAsia="ru-RU"/>
        </w:rPr>
        <w:t xml:space="preserve">nr.267 din 23.12.2011 </w:t>
      </w:r>
      <w:r w:rsidRPr="00A2724D">
        <w:rPr>
          <w:rFonts w:asciiTheme="majorHAnsi" w:eastAsia="Times New Roman" w:hAnsiTheme="majorHAnsi" w:cstheme="majorHAnsi"/>
          <w:sz w:val="24"/>
          <w:szCs w:val="24"/>
          <w:lang w:eastAsia="ru-RU"/>
        </w:rPr>
        <w:t>pentru modificarea și com</w:t>
      </w:r>
      <w:r w:rsidR="005405A7" w:rsidRPr="00A2724D">
        <w:rPr>
          <w:rFonts w:asciiTheme="majorHAnsi" w:eastAsia="Times New Roman" w:hAnsiTheme="majorHAnsi" w:cstheme="majorHAnsi"/>
          <w:sz w:val="24"/>
          <w:szCs w:val="24"/>
          <w:lang w:eastAsia="ru-RU"/>
        </w:rPr>
        <w:t>pletarea unor acte legislative</w:t>
      </w:r>
      <w:r w:rsidR="00700040" w:rsidRPr="00A2724D">
        <w:rPr>
          <w:rFonts w:asciiTheme="majorHAnsi" w:eastAsia="Times New Roman" w:hAnsiTheme="majorHAnsi" w:cstheme="majorHAnsi"/>
          <w:sz w:val="24"/>
          <w:szCs w:val="24"/>
          <w:lang w:eastAsia="ru-RU"/>
        </w:rPr>
        <w:t>,</w:t>
      </w:r>
      <w:r w:rsidR="007145DC" w:rsidRPr="00A2724D">
        <w:rPr>
          <w:rFonts w:asciiTheme="majorHAnsi" w:eastAsia="Times New Roman" w:hAnsiTheme="majorHAnsi" w:cstheme="majorHAnsi"/>
          <w:sz w:val="24"/>
          <w:szCs w:val="24"/>
          <w:lang w:eastAsia="ru-RU"/>
        </w:rPr>
        <w:t xml:space="preserve"> </w:t>
      </w:r>
      <w:r w:rsidR="00D91434" w:rsidRPr="00A2724D">
        <w:rPr>
          <w:rFonts w:asciiTheme="majorHAnsi" w:eastAsia="Times New Roman" w:hAnsiTheme="majorHAnsi" w:cstheme="majorHAnsi"/>
          <w:sz w:val="24"/>
          <w:szCs w:val="24"/>
          <w:lang w:eastAsia="ru-RU"/>
        </w:rPr>
        <w:t>prin care</w:t>
      </w:r>
      <w:r w:rsidR="00D91434" w:rsidRPr="00CB5F81">
        <w:rPr>
          <w:rFonts w:asciiTheme="majorHAnsi" w:eastAsia="Times New Roman" w:hAnsiTheme="majorHAnsi" w:cstheme="majorHAnsi"/>
          <w:sz w:val="24"/>
          <w:szCs w:val="24"/>
          <w:lang w:eastAsia="ru-RU"/>
        </w:rPr>
        <w:t xml:space="preserve"> </w:t>
      </w:r>
      <w:r w:rsidR="005A74A6" w:rsidRPr="00CB5F81">
        <w:rPr>
          <w:rFonts w:asciiTheme="majorHAnsi" w:eastAsia="Times New Roman" w:hAnsiTheme="majorHAnsi" w:cstheme="majorHAnsi"/>
          <w:sz w:val="24"/>
          <w:szCs w:val="24"/>
          <w:lang w:eastAsia="ru-RU"/>
        </w:rPr>
        <w:t>a</w:t>
      </w:r>
      <w:r w:rsidR="00D91434" w:rsidRPr="00CB5F81">
        <w:rPr>
          <w:rFonts w:asciiTheme="majorHAnsi" w:eastAsia="Times New Roman" w:hAnsiTheme="majorHAnsi" w:cstheme="majorHAnsi"/>
          <w:sz w:val="24"/>
          <w:szCs w:val="24"/>
          <w:lang w:eastAsia="ru-RU"/>
        </w:rPr>
        <w:t xml:space="preserve"> fost</w:t>
      </w:r>
      <w:r w:rsidR="005A74A6" w:rsidRPr="00CB5F81">
        <w:rPr>
          <w:rFonts w:asciiTheme="majorHAnsi" w:eastAsia="Times New Roman" w:hAnsiTheme="majorHAnsi" w:cstheme="majorHAnsi"/>
          <w:sz w:val="24"/>
          <w:szCs w:val="24"/>
          <w:lang w:eastAsia="ru-RU"/>
        </w:rPr>
        <w:t xml:space="preserve"> </w:t>
      </w:r>
      <w:r w:rsidR="00D91434" w:rsidRPr="00CB5F81">
        <w:rPr>
          <w:rFonts w:asciiTheme="majorHAnsi" w:eastAsia="Times New Roman" w:hAnsiTheme="majorHAnsi" w:cstheme="majorHAnsi"/>
          <w:sz w:val="24"/>
          <w:szCs w:val="24"/>
          <w:lang w:eastAsia="ru-RU"/>
        </w:rPr>
        <w:t>promovată</w:t>
      </w:r>
      <w:r w:rsidR="00EC1EAF">
        <w:rPr>
          <w:rFonts w:asciiTheme="majorHAnsi" w:eastAsia="Times New Roman" w:hAnsiTheme="majorHAnsi" w:cstheme="majorHAnsi"/>
          <w:sz w:val="24"/>
          <w:szCs w:val="24"/>
          <w:lang w:eastAsia="ru-RU"/>
        </w:rPr>
        <w:t xml:space="preserve"> </w:t>
      </w:r>
      <w:r w:rsidR="005A74A6" w:rsidRPr="00CB5F81">
        <w:rPr>
          <w:rFonts w:asciiTheme="majorHAnsi" w:eastAsia="Times New Roman" w:hAnsiTheme="majorHAnsi" w:cstheme="majorHAnsi"/>
          <w:sz w:val="24"/>
          <w:szCs w:val="24"/>
          <w:lang w:eastAsia="ru-RU"/>
        </w:rPr>
        <w:t>politica bugetar-fiscală pentru anul 2012. De menționat că în proiectul legii</w:t>
      </w:r>
      <w:r w:rsidR="00700040">
        <w:rPr>
          <w:rFonts w:asciiTheme="majorHAnsi" w:eastAsia="Times New Roman" w:hAnsiTheme="majorHAnsi" w:cstheme="majorHAnsi"/>
          <w:sz w:val="24"/>
          <w:szCs w:val="24"/>
          <w:lang w:eastAsia="ru-RU"/>
        </w:rPr>
        <w:t>,</w:t>
      </w:r>
      <w:r w:rsidR="005A74A6" w:rsidRPr="00CB5F81">
        <w:rPr>
          <w:rFonts w:asciiTheme="majorHAnsi" w:eastAsia="Times New Roman" w:hAnsiTheme="majorHAnsi" w:cstheme="majorHAnsi"/>
          <w:sz w:val="24"/>
          <w:szCs w:val="24"/>
          <w:lang w:eastAsia="ru-RU"/>
        </w:rPr>
        <w:t xml:space="preserve"> prezentat de Guvern spre aprobare Parlamentului</w:t>
      </w:r>
      <w:r w:rsidR="00700040">
        <w:rPr>
          <w:rFonts w:asciiTheme="majorHAnsi" w:eastAsia="Times New Roman" w:hAnsiTheme="majorHAnsi" w:cstheme="majorHAnsi"/>
          <w:sz w:val="24"/>
          <w:szCs w:val="24"/>
          <w:lang w:eastAsia="ru-RU"/>
        </w:rPr>
        <w:t>,</w:t>
      </w:r>
      <w:r w:rsidR="005A74A6" w:rsidRPr="00CB5F81">
        <w:rPr>
          <w:rFonts w:asciiTheme="majorHAnsi" w:eastAsia="Times New Roman" w:hAnsiTheme="majorHAnsi" w:cstheme="majorHAnsi"/>
          <w:sz w:val="24"/>
          <w:szCs w:val="24"/>
          <w:lang w:eastAsia="ru-RU"/>
        </w:rPr>
        <w:t xml:space="preserve"> această</w:t>
      </w:r>
      <w:r w:rsidR="00EC1EAF">
        <w:rPr>
          <w:rFonts w:asciiTheme="majorHAnsi" w:eastAsia="Times New Roman" w:hAnsiTheme="majorHAnsi" w:cstheme="majorHAnsi"/>
          <w:sz w:val="24"/>
          <w:szCs w:val="24"/>
          <w:lang w:eastAsia="ru-RU"/>
        </w:rPr>
        <w:t xml:space="preserve"> </w:t>
      </w:r>
      <w:r w:rsidR="005A74A6" w:rsidRPr="00CB5F81">
        <w:rPr>
          <w:rFonts w:asciiTheme="majorHAnsi" w:eastAsia="Times New Roman" w:hAnsiTheme="majorHAnsi" w:cstheme="majorHAnsi"/>
          <w:sz w:val="24"/>
          <w:szCs w:val="24"/>
          <w:lang w:eastAsia="ru-RU"/>
        </w:rPr>
        <w:t>facilitate nu a fost prevăzută</w:t>
      </w:r>
      <w:r w:rsidR="007145DC" w:rsidRPr="00CB5F81">
        <w:rPr>
          <w:rFonts w:asciiTheme="majorHAnsi" w:eastAsia="Times New Roman" w:hAnsiTheme="majorHAnsi" w:cstheme="majorHAnsi"/>
          <w:sz w:val="24"/>
          <w:szCs w:val="24"/>
          <w:lang w:eastAsia="ru-RU"/>
        </w:rPr>
        <w:t>. Potrivit informației prezentate echipei de audit</w:t>
      </w:r>
      <w:r w:rsidR="007145DC" w:rsidRPr="00CB5F81">
        <w:rPr>
          <w:rStyle w:val="FootnoteReference"/>
          <w:rFonts w:asciiTheme="majorHAnsi" w:eastAsia="Times New Roman" w:hAnsiTheme="majorHAnsi" w:cstheme="majorHAnsi"/>
          <w:sz w:val="24"/>
          <w:szCs w:val="24"/>
          <w:lang w:eastAsia="ru-RU"/>
        </w:rPr>
        <w:footnoteReference w:id="39"/>
      </w:r>
      <w:r w:rsidR="00C26AE0" w:rsidRPr="00CB5F81">
        <w:rPr>
          <w:rFonts w:asciiTheme="majorHAnsi" w:eastAsia="Times New Roman" w:hAnsiTheme="majorHAnsi" w:cstheme="majorHAnsi"/>
          <w:sz w:val="24"/>
          <w:szCs w:val="24"/>
          <w:lang w:eastAsia="ru-RU"/>
        </w:rPr>
        <w:t xml:space="preserve">, înlesnirea respectivă </w:t>
      </w:r>
      <w:r w:rsidR="00485C3C" w:rsidRPr="00CB5F81">
        <w:rPr>
          <w:rFonts w:asciiTheme="majorHAnsi" w:eastAsia="Times New Roman" w:hAnsiTheme="majorHAnsi" w:cstheme="majorHAnsi"/>
          <w:sz w:val="24"/>
          <w:szCs w:val="24"/>
          <w:lang w:eastAsia="ru-RU"/>
        </w:rPr>
        <w:t xml:space="preserve">a fost </w:t>
      </w:r>
      <w:r w:rsidR="00C26AE0" w:rsidRPr="00CB5F81">
        <w:rPr>
          <w:rFonts w:asciiTheme="majorHAnsi" w:eastAsia="Times New Roman" w:hAnsiTheme="majorHAnsi" w:cstheme="majorHAnsi"/>
          <w:sz w:val="24"/>
          <w:szCs w:val="24"/>
          <w:lang w:eastAsia="ru-RU"/>
        </w:rPr>
        <w:t>introdusă</w:t>
      </w:r>
      <w:r w:rsidR="00EC1EAF">
        <w:rPr>
          <w:rFonts w:asciiTheme="majorHAnsi" w:eastAsia="Times New Roman" w:hAnsiTheme="majorHAnsi" w:cstheme="majorHAnsi"/>
          <w:sz w:val="24"/>
          <w:szCs w:val="24"/>
          <w:lang w:eastAsia="ru-RU"/>
        </w:rPr>
        <w:t xml:space="preserve"> </w:t>
      </w:r>
      <w:r w:rsidR="00934D2D" w:rsidRPr="00CB5F81">
        <w:rPr>
          <w:rFonts w:asciiTheme="majorHAnsi" w:eastAsia="Times New Roman" w:hAnsiTheme="majorHAnsi" w:cstheme="majorHAnsi"/>
          <w:sz w:val="24"/>
          <w:szCs w:val="24"/>
          <w:lang w:eastAsia="ru-RU"/>
        </w:rPr>
        <w:t>prin</w:t>
      </w:r>
      <w:r w:rsidR="00700040">
        <w:rPr>
          <w:rFonts w:asciiTheme="majorHAnsi" w:eastAsia="Times New Roman" w:hAnsiTheme="majorHAnsi" w:cstheme="majorHAnsi"/>
          <w:sz w:val="24"/>
          <w:szCs w:val="24"/>
          <w:lang w:eastAsia="ru-RU"/>
        </w:rPr>
        <w:t>tr</w:t>
      </w:r>
      <w:r w:rsidR="0064221A" w:rsidRPr="00CB5F81">
        <w:rPr>
          <w:rFonts w:asciiTheme="majorHAnsi" w:eastAsia="Times New Roman" w:hAnsiTheme="majorHAnsi" w:cstheme="majorHAnsi"/>
          <w:sz w:val="24"/>
          <w:szCs w:val="24"/>
          <w:lang w:eastAsia="ru-RU"/>
        </w:rPr>
        <w:t>-un</w:t>
      </w:r>
      <w:r w:rsidR="00934D2D" w:rsidRPr="00CB5F81">
        <w:rPr>
          <w:rFonts w:asciiTheme="majorHAnsi" w:eastAsia="Times New Roman" w:hAnsiTheme="majorHAnsi" w:cstheme="majorHAnsi"/>
          <w:sz w:val="24"/>
          <w:szCs w:val="24"/>
          <w:lang w:eastAsia="ru-RU"/>
        </w:rPr>
        <w:t xml:space="preserve"> a</w:t>
      </w:r>
      <w:r w:rsidR="00485C3C" w:rsidRPr="00CB5F81">
        <w:rPr>
          <w:rFonts w:asciiTheme="majorHAnsi" w:eastAsia="Times New Roman" w:hAnsiTheme="majorHAnsi" w:cstheme="majorHAnsi"/>
          <w:sz w:val="24"/>
          <w:szCs w:val="24"/>
          <w:lang w:eastAsia="ru-RU"/>
        </w:rPr>
        <w:t>mendament</w:t>
      </w:r>
      <w:r w:rsidR="0064221A" w:rsidRPr="00CB5F81">
        <w:rPr>
          <w:rFonts w:asciiTheme="majorHAnsi" w:eastAsia="Times New Roman" w:hAnsiTheme="majorHAnsi" w:cstheme="majorHAnsi"/>
          <w:sz w:val="24"/>
          <w:szCs w:val="24"/>
          <w:lang w:eastAsia="ru-RU"/>
        </w:rPr>
        <w:t xml:space="preserve"> propus pentru examinare </w:t>
      </w:r>
      <w:r w:rsidR="00D91434" w:rsidRPr="00CB5F81">
        <w:rPr>
          <w:rFonts w:asciiTheme="majorHAnsi" w:eastAsia="Times New Roman" w:hAnsiTheme="majorHAnsi" w:cstheme="majorHAnsi"/>
          <w:sz w:val="24"/>
          <w:szCs w:val="24"/>
          <w:lang w:eastAsia="ru-RU"/>
        </w:rPr>
        <w:t>în</w:t>
      </w:r>
      <w:r w:rsidR="00485C3C" w:rsidRPr="00CB5F81">
        <w:rPr>
          <w:rFonts w:asciiTheme="majorHAnsi" w:eastAsia="Times New Roman" w:hAnsiTheme="majorHAnsi" w:cstheme="majorHAnsi"/>
          <w:sz w:val="24"/>
          <w:szCs w:val="24"/>
          <w:lang w:eastAsia="ru-RU"/>
        </w:rPr>
        <w:t xml:space="preserve"> </w:t>
      </w:r>
      <w:r w:rsidR="007145DC" w:rsidRPr="00CB5F81">
        <w:rPr>
          <w:rFonts w:asciiTheme="majorHAnsi" w:eastAsia="Times New Roman" w:hAnsiTheme="majorHAnsi" w:cstheme="majorHAnsi"/>
          <w:sz w:val="24"/>
          <w:szCs w:val="24"/>
          <w:lang w:eastAsia="ru-RU"/>
        </w:rPr>
        <w:t>le</w:t>
      </w:r>
      <w:r w:rsidR="00C26AE0" w:rsidRPr="00CB5F81">
        <w:rPr>
          <w:rFonts w:asciiTheme="majorHAnsi" w:eastAsia="Times New Roman" w:hAnsiTheme="majorHAnsi" w:cstheme="majorHAnsi"/>
          <w:sz w:val="24"/>
          <w:szCs w:val="24"/>
          <w:lang w:eastAsia="ru-RU"/>
        </w:rPr>
        <w:t>ctura a doua</w:t>
      </w:r>
      <w:r w:rsidR="00934D2D" w:rsidRPr="00CB5F81">
        <w:rPr>
          <w:rFonts w:asciiTheme="majorHAnsi" w:eastAsia="Times New Roman" w:hAnsiTheme="majorHAnsi" w:cstheme="majorHAnsi"/>
          <w:sz w:val="24"/>
          <w:szCs w:val="24"/>
          <w:lang w:eastAsia="ru-RU"/>
        </w:rPr>
        <w:t>,</w:t>
      </w:r>
      <w:r w:rsidR="00C26AE0" w:rsidRPr="00CB5F81">
        <w:rPr>
          <w:rFonts w:asciiTheme="majorHAnsi" w:eastAsia="Times New Roman" w:hAnsiTheme="majorHAnsi" w:cstheme="majorHAnsi"/>
          <w:sz w:val="24"/>
          <w:szCs w:val="24"/>
          <w:lang w:eastAsia="ru-RU"/>
        </w:rPr>
        <w:t xml:space="preserve"> în lipsa </w:t>
      </w:r>
      <w:r w:rsidR="00485C3C" w:rsidRPr="00CB5F81">
        <w:rPr>
          <w:rFonts w:asciiTheme="majorHAnsi" w:eastAsia="Times New Roman" w:hAnsiTheme="majorHAnsi" w:cstheme="majorHAnsi"/>
          <w:sz w:val="24"/>
          <w:szCs w:val="24"/>
          <w:lang w:eastAsia="ru-RU"/>
        </w:rPr>
        <w:t>motiv</w:t>
      </w:r>
      <w:r w:rsidR="00C26AE0" w:rsidRPr="00CB5F81">
        <w:rPr>
          <w:rFonts w:asciiTheme="majorHAnsi" w:eastAsia="Times New Roman" w:hAnsiTheme="majorHAnsi" w:cstheme="majorHAnsi"/>
          <w:sz w:val="24"/>
          <w:szCs w:val="24"/>
          <w:lang w:eastAsia="ru-RU"/>
        </w:rPr>
        <w:t>ări</w:t>
      </w:r>
      <w:r w:rsidR="00700040">
        <w:rPr>
          <w:rFonts w:asciiTheme="majorHAnsi" w:eastAsia="Times New Roman" w:hAnsiTheme="majorHAnsi" w:cstheme="majorHAnsi"/>
          <w:sz w:val="24"/>
          <w:szCs w:val="24"/>
          <w:lang w:eastAsia="ru-RU"/>
        </w:rPr>
        <w:t>i</w:t>
      </w:r>
      <w:r w:rsidR="00934D2D" w:rsidRPr="00CB5F81">
        <w:rPr>
          <w:rStyle w:val="FootnoteReference"/>
          <w:rFonts w:asciiTheme="majorHAnsi" w:eastAsia="Times New Roman" w:hAnsiTheme="majorHAnsi" w:cstheme="majorHAnsi"/>
          <w:sz w:val="24"/>
          <w:szCs w:val="24"/>
          <w:lang w:eastAsia="ru-RU"/>
        </w:rPr>
        <w:footnoteReference w:id="40"/>
      </w:r>
      <w:r w:rsidR="00C26AE0" w:rsidRPr="00CB5F81">
        <w:rPr>
          <w:rFonts w:asciiTheme="majorHAnsi" w:eastAsia="Times New Roman" w:hAnsiTheme="majorHAnsi" w:cstheme="majorHAnsi"/>
          <w:sz w:val="24"/>
          <w:szCs w:val="24"/>
          <w:lang w:eastAsia="ru-RU"/>
        </w:rPr>
        <w:t xml:space="preserve"> privind necesitatea instituirii</w:t>
      </w:r>
      <w:r w:rsidR="0064221A" w:rsidRPr="00CB5F81">
        <w:rPr>
          <w:rFonts w:asciiTheme="majorHAnsi" w:eastAsia="Times New Roman" w:hAnsiTheme="majorHAnsi" w:cstheme="majorHAnsi"/>
          <w:sz w:val="24"/>
          <w:szCs w:val="24"/>
          <w:lang w:eastAsia="ru-RU"/>
        </w:rPr>
        <w:t xml:space="preserve"> acesteia</w:t>
      </w:r>
      <w:r w:rsidR="00D91434" w:rsidRPr="00CB5F81">
        <w:rPr>
          <w:rFonts w:asciiTheme="majorHAnsi" w:eastAsia="Times New Roman" w:hAnsiTheme="majorHAnsi" w:cstheme="majorHAnsi"/>
          <w:sz w:val="24"/>
          <w:szCs w:val="24"/>
          <w:lang w:eastAsia="ru-RU"/>
        </w:rPr>
        <w:t>, costurile suportate de buget</w:t>
      </w:r>
      <w:r w:rsidR="0064221A" w:rsidRPr="00CB5F81">
        <w:rPr>
          <w:rFonts w:asciiTheme="majorHAnsi" w:eastAsia="Times New Roman" w:hAnsiTheme="majorHAnsi" w:cstheme="majorHAnsi"/>
          <w:sz w:val="24"/>
          <w:szCs w:val="24"/>
          <w:lang w:eastAsia="ru-RU"/>
        </w:rPr>
        <w:t xml:space="preserve"> și beneficiile scontate ale statului</w:t>
      </w:r>
      <w:r w:rsidR="00E45CBA" w:rsidRPr="00CB5F81">
        <w:rPr>
          <w:rFonts w:asciiTheme="majorHAnsi" w:eastAsia="Times New Roman" w:hAnsiTheme="majorHAnsi" w:cstheme="majorHAnsi"/>
          <w:sz w:val="24"/>
          <w:szCs w:val="24"/>
          <w:lang w:eastAsia="ru-RU"/>
        </w:rPr>
        <w:t xml:space="preserve"> în legătură cu stabilirea înlesnirii</w:t>
      </w:r>
      <w:r w:rsidR="00D91434" w:rsidRPr="00CB5F81">
        <w:rPr>
          <w:rFonts w:asciiTheme="majorHAnsi" w:eastAsia="Times New Roman" w:hAnsiTheme="majorHAnsi" w:cstheme="majorHAnsi"/>
          <w:sz w:val="24"/>
          <w:szCs w:val="24"/>
          <w:lang w:eastAsia="ru-RU"/>
        </w:rPr>
        <w:t>.</w:t>
      </w:r>
      <w:r w:rsidR="005C4443">
        <w:rPr>
          <w:rFonts w:asciiTheme="majorHAnsi" w:eastAsia="Times New Roman" w:hAnsiTheme="majorHAnsi" w:cstheme="majorHAnsi"/>
          <w:sz w:val="24"/>
          <w:szCs w:val="24"/>
          <w:lang w:eastAsia="ru-RU"/>
        </w:rPr>
        <w:t xml:space="preserve"> </w:t>
      </w:r>
      <w:r w:rsidR="0064221A" w:rsidRPr="00CB5F81">
        <w:rPr>
          <w:rFonts w:asciiTheme="majorHAnsi" w:eastAsia="Times New Roman" w:hAnsiTheme="majorHAnsi" w:cstheme="majorHAnsi"/>
          <w:sz w:val="24"/>
          <w:szCs w:val="24"/>
          <w:lang w:eastAsia="ru-RU"/>
        </w:rPr>
        <w:t xml:space="preserve">Potrivit datelor raportate de SFS în </w:t>
      </w:r>
      <w:r w:rsidR="0064221A" w:rsidRPr="00526D44">
        <w:rPr>
          <w:rFonts w:asciiTheme="majorHAnsi" w:eastAsia="Times New Roman" w:hAnsiTheme="majorHAnsi" w:cstheme="majorHAnsi"/>
          <w:sz w:val="24"/>
          <w:szCs w:val="24"/>
          <w:lang w:eastAsia="ru-RU"/>
        </w:rPr>
        <w:t>Registrul unic al facilităților</w:t>
      </w:r>
      <w:r w:rsidR="006D7C36" w:rsidRPr="000B0D94">
        <w:rPr>
          <w:rFonts w:asciiTheme="majorHAnsi" w:eastAsia="Times New Roman" w:hAnsiTheme="majorHAnsi" w:cstheme="majorHAnsi"/>
          <w:sz w:val="24"/>
          <w:szCs w:val="24"/>
          <w:lang w:eastAsia="ru-RU"/>
        </w:rPr>
        <w:t xml:space="preserve"> fiscale</w:t>
      </w:r>
      <w:r w:rsidR="00700040" w:rsidRPr="00526D44">
        <w:rPr>
          <w:rFonts w:asciiTheme="majorHAnsi" w:eastAsia="Times New Roman" w:hAnsiTheme="majorHAnsi" w:cstheme="majorHAnsi"/>
          <w:sz w:val="24"/>
          <w:szCs w:val="24"/>
          <w:lang w:eastAsia="ru-RU"/>
        </w:rPr>
        <w:t>,</w:t>
      </w:r>
      <w:r w:rsidR="0064221A" w:rsidRPr="00526D44">
        <w:rPr>
          <w:rFonts w:asciiTheme="majorHAnsi" w:eastAsia="Times New Roman" w:hAnsiTheme="majorHAnsi" w:cstheme="majorHAnsi"/>
          <w:sz w:val="24"/>
          <w:szCs w:val="24"/>
          <w:lang w:eastAsia="ru-RU"/>
        </w:rPr>
        <w:t xml:space="preserve"> suma</w:t>
      </w:r>
      <w:r w:rsidR="0064221A" w:rsidRPr="00CB5F81">
        <w:rPr>
          <w:rFonts w:asciiTheme="majorHAnsi" w:eastAsia="Times New Roman" w:hAnsiTheme="majorHAnsi" w:cstheme="majorHAnsi"/>
          <w:sz w:val="24"/>
          <w:szCs w:val="24"/>
          <w:lang w:eastAsia="ru-RU"/>
        </w:rPr>
        <w:t xml:space="preserve"> scutirilor respective în anul 2020 a constituit 8,9 </w:t>
      </w:r>
      <w:r w:rsidR="00726434" w:rsidRPr="00CB5F81">
        <w:rPr>
          <w:rFonts w:asciiTheme="majorHAnsi" w:eastAsia="Times New Roman" w:hAnsiTheme="majorHAnsi" w:cstheme="majorHAnsi"/>
          <w:sz w:val="24"/>
          <w:szCs w:val="24"/>
          <w:lang w:eastAsia="ru-RU"/>
        </w:rPr>
        <w:t>mil.</w:t>
      </w:r>
      <w:r w:rsidR="0064221A" w:rsidRPr="00CB5F81">
        <w:rPr>
          <w:rFonts w:asciiTheme="majorHAnsi" w:eastAsia="Times New Roman" w:hAnsiTheme="majorHAnsi" w:cstheme="majorHAnsi"/>
          <w:sz w:val="24"/>
          <w:szCs w:val="24"/>
          <w:lang w:eastAsia="ru-RU"/>
        </w:rPr>
        <w:t>lei</w:t>
      </w:r>
      <w:r w:rsidR="00D91434" w:rsidRPr="00CB5F81">
        <w:rPr>
          <w:rFonts w:asciiTheme="majorHAnsi" w:eastAsia="Times New Roman" w:hAnsiTheme="majorHAnsi" w:cstheme="majorHAnsi"/>
          <w:sz w:val="24"/>
          <w:szCs w:val="24"/>
          <w:lang w:eastAsia="ru-RU"/>
        </w:rPr>
        <w:t xml:space="preserve">, </w:t>
      </w:r>
      <w:r w:rsidR="00E45CBA" w:rsidRPr="00CB5F81">
        <w:rPr>
          <w:rFonts w:asciiTheme="majorHAnsi" w:eastAsia="Times New Roman" w:hAnsiTheme="majorHAnsi" w:cstheme="majorHAnsi"/>
          <w:sz w:val="24"/>
          <w:szCs w:val="24"/>
          <w:lang w:eastAsia="ru-RU"/>
        </w:rPr>
        <w:t xml:space="preserve">iar </w:t>
      </w:r>
      <w:r w:rsidR="00D91434" w:rsidRPr="00CB5F81">
        <w:rPr>
          <w:rFonts w:asciiTheme="majorHAnsi" w:eastAsia="Times New Roman" w:hAnsiTheme="majorHAnsi" w:cstheme="majorHAnsi"/>
          <w:sz w:val="24"/>
          <w:szCs w:val="24"/>
          <w:lang w:eastAsia="ru-RU"/>
        </w:rPr>
        <w:t>de la instituirea acestora</w:t>
      </w:r>
      <w:r w:rsidR="00E45CBA" w:rsidRPr="00CB5F81">
        <w:rPr>
          <w:rFonts w:asciiTheme="majorHAnsi" w:eastAsia="Times New Roman" w:hAnsiTheme="majorHAnsi" w:cstheme="majorHAnsi"/>
          <w:sz w:val="24"/>
          <w:szCs w:val="24"/>
          <w:lang w:eastAsia="ru-RU"/>
        </w:rPr>
        <w:t xml:space="preserve"> </w:t>
      </w:r>
      <w:r w:rsidR="000630D7">
        <w:rPr>
          <w:rFonts w:asciiTheme="majorHAnsi" w:eastAsia="Times New Roman" w:hAnsiTheme="majorHAnsi" w:cstheme="majorHAnsi"/>
          <w:sz w:val="24"/>
          <w:szCs w:val="24"/>
          <w:lang w:eastAsia="ru-RU"/>
        </w:rPr>
        <w:t>-</w:t>
      </w:r>
      <w:r w:rsidR="00D91434" w:rsidRPr="00CB5F81">
        <w:rPr>
          <w:rFonts w:asciiTheme="majorHAnsi" w:eastAsia="Times New Roman" w:hAnsiTheme="majorHAnsi" w:cstheme="majorHAnsi"/>
          <w:sz w:val="24"/>
          <w:szCs w:val="24"/>
          <w:lang w:eastAsia="ru-RU"/>
        </w:rPr>
        <w:t xml:space="preserve"> 53,2 </w:t>
      </w:r>
      <w:r w:rsidR="00726434" w:rsidRPr="00CB5F81">
        <w:rPr>
          <w:rFonts w:asciiTheme="majorHAnsi" w:eastAsia="Times New Roman" w:hAnsiTheme="majorHAnsi" w:cstheme="majorHAnsi"/>
          <w:sz w:val="24"/>
          <w:szCs w:val="24"/>
          <w:lang w:eastAsia="ru-RU"/>
        </w:rPr>
        <w:t>mil.</w:t>
      </w:r>
      <w:r w:rsidR="00D91434" w:rsidRPr="00CB5F81">
        <w:rPr>
          <w:rFonts w:asciiTheme="majorHAnsi" w:eastAsia="Times New Roman" w:hAnsiTheme="majorHAnsi" w:cstheme="majorHAnsi"/>
          <w:sz w:val="24"/>
          <w:szCs w:val="24"/>
          <w:lang w:eastAsia="ru-RU"/>
        </w:rPr>
        <w:t>lei</w:t>
      </w:r>
      <w:r w:rsidR="0064221A" w:rsidRPr="00CB5F81">
        <w:rPr>
          <w:rFonts w:asciiTheme="majorHAnsi" w:eastAsia="Times New Roman" w:hAnsiTheme="majorHAnsi" w:cstheme="majorHAnsi"/>
          <w:sz w:val="24"/>
          <w:szCs w:val="24"/>
          <w:lang w:eastAsia="ru-RU"/>
        </w:rPr>
        <w:t>. La solicitarea echipei de audit</w:t>
      </w:r>
      <w:r w:rsidR="000630D7">
        <w:rPr>
          <w:rFonts w:asciiTheme="majorHAnsi" w:eastAsia="Times New Roman" w:hAnsiTheme="majorHAnsi" w:cstheme="majorHAnsi"/>
          <w:sz w:val="24"/>
          <w:szCs w:val="24"/>
          <w:lang w:eastAsia="ru-RU"/>
        </w:rPr>
        <w:t>,</w:t>
      </w:r>
      <w:r w:rsidR="0064221A" w:rsidRPr="00CB5F81">
        <w:rPr>
          <w:rFonts w:asciiTheme="majorHAnsi" w:eastAsia="Times New Roman" w:hAnsiTheme="majorHAnsi" w:cstheme="majorHAnsi"/>
          <w:sz w:val="24"/>
          <w:szCs w:val="24"/>
          <w:lang w:eastAsia="ru-RU"/>
        </w:rPr>
        <w:t xml:space="preserve"> responsabilii din cadrul SFS au explicat că nu dețin date privind beneficiarii </w:t>
      </w:r>
      <w:r w:rsidR="00E45CBA" w:rsidRPr="00CB5F81">
        <w:rPr>
          <w:rFonts w:asciiTheme="majorHAnsi" w:eastAsia="Times New Roman" w:hAnsiTheme="majorHAnsi" w:cstheme="majorHAnsi"/>
          <w:sz w:val="24"/>
          <w:szCs w:val="24"/>
          <w:lang w:eastAsia="ru-RU"/>
        </w:rPr>
        <w:t>acestei</w:t>
      </w:r>
      <w:r w:rsidR="00EC1EAF">
        <w:rPr>
          <w:rFonts w:asciiTheme="majorHAnsi" w:eastAsia="Times New Roman" w:hAnsiTheme="majorHAnsi" w:cstheme="majorHAnsi"/>
          <w:sz w:val="24"/>
          <w:szCs w:val="24"/>
          <w:lang w:eastAsia="ru-RU"/>
        </w:rPr>
        <w:t xml:space="preserve"> </w:t>
      </w:r>
      <w:r w:rsidR="0064221A" w:rsidRPr="00CB5F81">
        <w:rPr>
          <w:rFonts w:asciiTheme="majorHAnsi" w:eastAsia="Times New Roman" w:hAnsiTheme="majorHAnsi" w:cstheme="majorHAnsi"/>
          <w:sz w:val="24"/>
          <w:szCs w:val="24"/>
          <w:lang w:eastAsia="ru-RU"/>
        </w:rPr>
        <w:t>facilități, datele fiind extrase</w:t>
      </w:r>
      <w:r w:rsidR="00D91434" w:rsidRPr="00CB5F81">
        <w:rPr>
          <w:rFonts w:asciiTheme="majorHAnsi" w:eastAsia="Times New Roman" w:hAnsiTheme="majorHAnsi" w:cstheme="majorHAnsi"/>
          <w:sz w:val="24"/>
          <w:szCs w:val="24"/>
          <w:lang w:eastAsia="ru-RU"/>
        </w:rPr>
        <w:t xml:space="preserve"> în sumă agregată di</w:t>
      </w:r>
      <w:r w:rsidR="00E45CBA" w:rsidRPr="00CB5F81">
        <w:rPr>
          <w:rFonts w:asciiTheme="majorHAnsi" w:eastAsia="Times New Roman" w:hAnsiTheme="majorHAnsi" w:cstheme="majorHAnsi"/>
          <w:sz w:val="24"/>
          <w:szCs w:val="24"/>
          <w:lang w:eastAsia="ru-RU"/>
        </w:rPr>
        <w:t>n</w:t>
      </w:r>
      <w:r w:rsidR="00D91434" w:rsidRPr="00CB5F81">
        <w:rPr>
          <w:rFonts w:asciiTheme="majorHAnsi" w:eastAsia="Times New Roman" w:hAnsiTheme="majorHAnsi" w:cstheme="majorHAnsi"/>
          <w:sz w:val="24"/>
          <w:szCs w:val="24"/>
          <w:lang w:eastAsia="ru-RU"/>
        </w:rPr>
        <w:t xml:space="preserve"> SI a</w:t>
      </w:r>
      <w:r w:rsidR="000630D7">
        <w:rPr>
          <w:rFonts w:asciiTheme="majorHAnsi" w:eastAsia="Times New Roman" w:hAnsiTheme="majorHAnsi" w:cstheme="majorHAnsi"/>
          <w:sz w:val="24"/>
          <w:szCs w:val="24"/>
          <w:lang w:eastAsia="ru-RU"/>
        </w:rPr>
        <w:t>l</w:t>
      </w:r>
      <w:r w:rsidR="00D91434" w:rsidRPr="00CB5F81">
        <w:rPr>
          <w:rFonts w:asciiTheme="majorHAnsi" w:eastAsia="Times New Roman" w:hAnsiTheme="majorHAnsi" w:cstheme="majorHAnsi"/>
          <w:sz w:val="24"/>
          <w:szCs w:val="24"/>
          <w:lang w:eastAsia="ru-RU"/>
        </w:rPr>
        <w:t xml:space="preserve"> SFS</w:t>
      </w:r>
      <w:r w:rsidR="00D91434" w:rsidRPr="005405A7">
        <w:rPr>
          <w:rFonts w:asciiTheme="majorHAnsi" w:eastAsia="Times New Roman" w:hAnsiTheme="majorHAnsi" w:cstheme="majorHAnsi"/>
          <w:sz w:val="24"/>
          <w:szCs w:val="24"/>
          <w:lang w:eastAsia="ru-RU"/>
        </w:rPr>
        <w:t xml:space="preserve">. </w:t>
      </w:r>
      <w:r w:rsidR="00E12CF6" w:rsidRPr="005405A7">
        <w:rPr>
          <w:rFonts w:asciiTheme="majorHAnsi" w:eastAsia="Times New Roman" w:hAnsiTheme="majorHAnsi" w:cstheme="majorHAnsi"/>
          <w:sz w:val="24"/>
          <w:szCs w:val="24"/>
          <w:lang w:eastAsia="ru-RU"/>
        </w:rPr>
        <w:t>Verificările</w:t>
      </w:r>
      <w:r w:rsidR="00E12CF6">
        <w:rPr>
          <w:rFonts w:asciiTheme="majorHAnsi" w:eastAsia="Times New Roman" w:hAnsiTheme="majorHAnsi" w:cstheme="majorHAnsi"/>
          <w:sz w:val="24"/>
          <w:szCs w:val="24"/>
          <w:lang w:eastAsia="ru-RU"/>
        </w:rPr>
        <w:t xml:space="preserve"> </w:t>
      </w:r>
      <w:r w:rsidR="000630D7">
        <w:rPr>
          <w:rFonts w:asciiTheme="majorHAnsi" w:eastAsia="Times New Roman" w:hAnsiTheme="majorHAnsi" w:cstheme="majorHAnsi"/>
          <w:sz w:val="24"/>
          <w:szCs w:val="24"/>
          <w:lang w:eastAsia="ru-RU"/>
        </w:rPr>
        <w:t xml:space="preserve">efectuate </w:t>
      </w:r>
      <w:r w:rsidR="0064221A" w:rsidRPr="00CB5F81">
        <w:rPr>
          <w:rFonts w:asciiTheme="majorHAnsi" w:eastAsia="Times New Roman" w:hAnsiTheme="majorHAnsi" w:cstheme="majorHAnsi"/>
          <w:sz w:val="24"/>
          <w:szCs w:val="24"/>
          <w:lang w:eastAsia="ru-RU"/>
        </w:rPr>
        <w:t>de audit a</w:t>
      </w:r>
      <w:r w:rsidR="000630D7">
        <w:rPr>
          <w:rFonts w:asciiTheme="majorHAnsi" w:eastAsia="Times New Roman" w:hAnsiTheme="majorHAnsi" w:cstheme="majorHAnsi"/>
          <w:sz w:val="24"/>
          <w:szCs w:val="24"/>
          <w:lang w:eastAsia="ru-RU"/>
        </w:rPr>
        <w:t>supra</w:t>
      </w:r>
      <w:r w:rsidR="0064221A" w:rsidRPr="00CB5F81">
        <w:rPr>
          <w:rFonts w:asciiTheme="majorHAnsi" w:eastAsia="Times New Roman" w:hAnsiTheme="majorHAnsi" w:cstheme="majorHAnsi"/>
          <w:sz w:val="24"/>
          <w:szCs w:val="24"/>
          <w:lang w:eastAsia="ru-RU"/>
        </w:rPr>
        <w:t xml:space="preserve"> informației din Declarațiile privind accizele depuse de contribuabili în anul 2020 și înregistrate în SI</w:t>
      </w:r>
      <w:r w:rsidR="00EC1EAF">
        <w:rPr>
          <w:rFonts w:asciiTheme="majorHAnsi" w:eastAsia="Times New Roman" w:hAnsiTheme="majorHAnsi" w:cstheme="majorHAnsi"/>
          <w:sz w:val="24"/>
          <w:szCs w:val="24"/>
          <w:lang w:eastAsia="ru-RU"/>
        </w:rPr>
        <w:t xml:space="preserve"> </w:t>
      </w:r>
      <w:r w:rsidR="0064221A" w:rsidRPr="00CB5F81">
        <w:rPr>
          <w:rFonts w:asciiTheme="majorHAnsi" w:eastAsia="Times New Roman" w:hAnsiTheme="majorHAnsi" w:cstheme="majorHAnsi"/>
          <w:sz w:val="24"/>
          <w:szCs w:val="24"/>
          <w:lang w:eastAsia="ru-RU"/>
        </w:rPr>
        <w:t>relevă</w:t>
      </w:r>
      <w:r w:rsidR="0067175A" w:rsidRPr="00CB5F81">
        <w:rPr>
          <w:rFonts w:asciiTheme="majorHAnsi" w:eastAsia="Times New Roman" w:hAnsiTheme="majorHAnsi" w:cstheme="majorHAnsi"/>
          <w:sz w:val="24"/>
          <w:szCs w:val="24"/>
          <w:lang w:eastAsia="ru-RU"/>
        </w:rPr>
        <w:t xml:space="preserve"> că de scutirile respective </w:t>
      </w:r>
      <w:r w:rsidR="00E45CBA" w:rsidRPr="00CB5F81">
        <w:rPr>
          <w:rFonts w:asciiTheme="majorHAnsi" w:eastAsia="Times New Roman" w:hAnsiTheme="majorHAnsi" w:cstheme="majorHAnsi"/>
          <w:sz w:val="24"/>
          <w:szCs w:val="24"/>
          <w:lang w:eastAsia="ru-RU"/>
        </w:rPr>
        <w:t>au beneficiat doi agenți economici</w:t>
      </w:r>
      <w:r w:rsidR="000630D7">
        <w:rPr>
          <w:rFonts w:asciiTheme="majorHAnsi" w:eastAsia="Times New Roman" w:hAnsiTheme="majorHAnsi" w:cstheme="majorHAnsi"/>
          <w:sz w:val="24"/>
          <w:szCs w:val="24"/>
          <w:lang w:eastAsia="ru-RU"/>
        </w:rPr>
        <w:t>, î</w:t>
      </w:r>
      <w:r w:rsidR="0067175A" w:rsidRPr="00CB5F81">
        <w:rPr>
          <w:rFonts w:asciiTheme="majorHAnsi" w:eastAsia="Times New Roman" w:hAnsiTheme="majorHAnsi" w:cstheme="majorHAnsi"/>
          <w:sz w:val="24"/>
          <w:szCs w:val="24"/>
          <w:lang w:eastAsia="ru-RU"/>
        </w:rPr>
        <w:t xml:space="preserve">nsă </w:t>
      </w:r>
      <w:r w:rsidR="0064221A" w:rsidRPr="00CB5F81">
        <w:rPr>
          <w:rFonts w:asciiTheme="majorHAnsi" w:eastAsia="Times New Roman" w:hAnsiTheme="majorHAnsi" w:cstheme="majorHAnsi"/>
          <w:sz w:val="24"/>
          <w:szCs w:val="24"/>
          <w:lang w:eastAsia="ru-RU"/>
        </w:rPr>
        <w:t xml:space="preserve">scutirea de 8,9 </w:t>
      </w:r>
      <w:r w:rsidR="00726434" w:rsidRPr="00CB5F81">
        <w:rPr>
          <w:rFonts w:asciiTheme="majorHAnsi" w:eastAsia="Times New Roman" w:hAnsiTheme="majorHAnsi" w:cstheme="majorHAnsi"/>
          <w:sz w:val="24"/>
          <w:szCs w:val="24"/>
          <w:lang w:eastAsia="ru-RU"/>
        </w:rPr>
        <w:t>mil.</w:t>
      </w:r>
      <w:r w:rsidR="0064221A" w:rsidRPr="00CB5F81">
        <w:rPr>
          <w:rFonts w:asciiTheme="majorHAnsi" w:eastAsia="Times New Roman" w:hAnsiTheme="majorHAnsi" w:cstheme="majorHAnsi"/>
          <w:sz w:val="24"/>
          <w:szCs w:val="24"/>
          <w:lang w:eastAsia="ru-RU"/>
        </w:rPr>
        <w:t>lei</w:t>
      </w:r>
      <w:r w:rsidR="0067175A" w:rsidRPr="00CB5F81">
        <w:rPr>
          <w:rFonts w:asciiTheme="majorHAnsi" w:eastAsia="Times New Roman" w:hAnsiTheme="majorHAnsi" w:cstheme="majorHAnsi"/>
          <w:sz w:val="24"/>
          <w:szCs w:val="24"/>
          <w:lang w:eastAsia="ru-RU"/>
        </w:rPr>
        <w:t xml:space="preserve"> este aferentă</w:t>
      </w:r>
      <w:r w:rsidR="00D91434" w:rsidRPr="00CB5F81">
        <w:rPr>
          <w:rFonts w:asciiTheme="majorHAnsi" w:eastAsia="Times New Roman" w:hAnsiTheme="majorHAnsi" w:cstheme="majorHAnsi"/>
          <w:sz w:val="24"/>
          <w:szCs w:val="24"/>
          <w:lang w:eastAsia="ru-RU"/>
        </w:rPr>
        <w:t xml:space="preserve"> doar</w:t>
      </w:r>
      <w:r w:rsidR="0064221A" w:rsidRPr="00CB5F81">
        <w:rPr>
          <w:rFonts w:asciiTheme="majorHAnsi" w:eastAsia="Times New Roman" w:hAnsiTheme="majorHAnsi" w:cstheme="majorHAnsi"/>
          <w:sz w:val="24"/>
          <w:szCs w:val="24"/>
          <w:lang w:eastAsia="ru-RU"/>
        </w:rPr>
        <w:t xml:space="preserve"> unui singur contribuabil, care </w:t>
      </w:r>
      <w:r w:rsidR="000630D7">
        <w:rPr>
          <w:rFonts w:asciiTheme="majorHAnsi" w:eastAsia="Times New Roman" w:hAnsiTheme="majorHAnsi" w:cstheme="majorHAnsi"/>
          <w:sz w:val="24"/>
          <w:szCs w:val="24"/>
          <w:lang w:eastAsia="ru-RU"/>
        </w:rPr>
        <w:t>figurează</w:t>
      </w:r>
      <w:r w:rsidR="0064221A" w:rsidRPr="00CB5F81">
        <w:rPr>
          <w:rFonts w:asciiTheme="majorHAnsi" w:eastAsia="Times New Roman" w:hAnsiTheme="majorHAnsi" w:cstheme="majorHAnsi"/>
          <w:sz w:val="24"/>
          <w:szCs w:val="24"/>
          <w:lang w:eastAsia="ru-RU"/>
        </w:rPr>
        <w:t xml:space="preserve"> ca producător local, dar </w:t>
      </w:r>
      <w:r w:rsidR="000630D7">
        <w:rPr>
          <w:rFonts w:asciiTheme="majorHAnsi" w:eastAsia="Times New Roman" w:hAnsiTheme="majorHAnsi" w:cstheme="majorHAnsi"/>
          <w:sz w:val="24"/>
          <w:szCs w:val="24"/>
          <w:lang w:eastAsia="ru-RU"/>
        </w:rPr>
        <w:t xml:space="preserve">și </w:t>
      </w:r>
      <w:r w:rsidR="00E45CBA" w:rsidRPr="00CB5F81">
        <w:rPr>
          <w:rFonts w:asciiTheme="majorHAnsi" w:eastAsia="Times New Roman" w:hAnsiTheme="majorHAnsi" w:cstheme="majorHAnsi"/>
          <w:sz w:val="24"/>
          <w:szCs w:val="24"/>
          <w:lang w:eastAsia="ru-RU"/>
        </w:rPr>
        <w:t>care</w:t>
      </w:r>
      <w:r w:rsidR="0064221A" w:rsidRPr="00CB5F81">
        <w:rPr>
          <w:rFonts w:asciiTheme="majorHAnsi" w:eastAsia="Times New Roman" w:hAnsiTheme="majorHAnsi" w:cstheme="majorHAnsi"/>
          <w:sz w:val="24"/>
          <w:szCs w:val="24"/>
          <w:lang w:eastAsia="ru-RU"/>
        </w:rPr>
        <w:t xml:space="preserve"> importă oxigen. Acest agent economic a calculat și </w:t>
      </w:r>
      <w:r w:rsidR="00E45CBA" w:rsidRPr="00CB5F81">
        <w:rPr>
          <w:rFonts w:asciiTheme="majorHAnsi" w:eastAsia="Times New Roman" w:hAnsiTheme="majorHAnsi" w:cstheme="majorHAnsi"/>
          <w:sz w:val="24"/>
          <w:szCs w:val="24"/>
          <w:lang w:eastAsia="ru-RU"/>
        </w:rPr>
        <w:t xml:space="preserve">a </w:t>
      </w:r>
      <w:r w:rsidR="0064221A" w:rsidRPr="00CB5F81">
        <w:rPr>
          <w:rFonts w:asciiTheme="majorHAnsi" w:eastAsia="Times New Roman" w:hAnsiTheme="majorHAnsi" w:cstheme="majorHAnsi"/>
          <w:sz w:val="24"/>
          <w:szCs w:val="24"/>
          <w:lang w:eastAsia="ru-RU"/>
        </w:rPr>
        <w:t>declarat valoarea accizului la azotul și oxigenul produ</w:t>
      </w:r>
      <w:r w:rsidR="001469A4">
        <w:rPr>
          <w:rFonts w:asciiTheme="majorHAnsi" w:eastAsia="Times New Roman" w:hAnsiTheme="majorHAnsi" w:cstheme="majorHAnsi"/>
          <w:sz w:val="24"/>
          <w:szCs w:val="24"/>
          <w:lang w:eastAsia="ru-RU"/>
        </w:rPr>
        <w:t xml:space="preserve">și </w:t>
      </w:r>
      <w:r w:rsidR="0064221A" w:rsidRPr="00CB5F81">
        <w:rPr>
          <w:rFonts w:asciiTheme="majorHAnsi" w:eastAsia="Times New Roman" w:hAnsiTheme="majorHAnsi" w:cstheme="majorHAnsi"/>
          <w:sz w:val="24"/>
          <w:szCs w:val="24"/>
          <w:lang w:eastAsia="ru-RU"/>
        </w:rPr>
        <w:t xml:space="preserve"> în </w:t>
      </w:r>
      <w:r w:rsidR="00D91434" w:rsidRPr="00CB5F81">
        <w:rPr>
          <w:rFonts w:asciiTheme="majorHAnsi" w:eastAsia="Times New Roman" w:hAnsiTheme="majorHAnsi" w:cstheme="majorHAnsi"/>
          <w:sz w:val="24"/>
          <w:szCs w:val="24"/>
          <w:lang w:eastAsia="ru-RU"/>
        </w:rPr>
        <w:t>suma indicată</w:t>
      </w:r>
      <w:r w:rsidR="000630D7">
        <w:rPr>
          <w:rFonts w:asciiTheme="majorHAnsi" w:eastAsia="Times New Roman" w:hAnsiTheme="majorHAnsi" w:cstheme="majorHAnsi"/>
          <w:sz w:val="24"/>
          <w:szCs w:val="24"/>
          <w:lang w:eastAsia="ru-RU"/>
        </w:rPr>
        <w:t>,</w:t>
      </w:r>
      <w:r w:rsidR="0064221A" w:rsidRPr="00CB5F81">
        <w:rPr>
          <w:rFonts w:asciiTheme="majorHAnsi" w:eastAsia="Times New Roman" w:hAnsiTheme="majorHAnsi" w:cstheme="majorHAnsi"/>
          <w:sz w:val="24"/>
          <w:szCs w:val="24"/>
          <w:lang w:eastAsia="ru-RU"/>
        </w:rPr>
        <w:t xml:space="preserve"> care</w:t>
      </w:r>
      <w:r w:rsidR="00E45CBA" w:rsidRPr="00CB5F81">
        <w:rPr>
          <w:rFonts w:asciiTheme="majorHAnsi" w:eastAsia="Times New Roman" w:hAnsiTheme="majorHAnsi" w:cstheme="majorHAnsi"/>
          <w:sz w:val="24"/>
          <w:szCs w:val="24"/>
          <w:lang w:eastAsia="ru-RU"/>
        </w:rPr>
        <w:t>,</w:t>
      </w:r>
      <w:r w:rsidR="0064221A" w:rsidRPr="00CB5F81">
        <w:rPr>
          <w:rFonts w:asciiTheme="majorHAnsi" w:eastAsia="Times New Roman" w:hAnsiTheme="majorHAnsi" w:cstheme="majorHAnsi"/>
          <w:sz w:val="24"/>
          <w:szCs w:val="24"/>
          <w:lang w:eastAsia="ru-RU"/>
        </w:rPr>
        <w:t xml:space="preserve"> în conidiile Codului fiscal</w:t>
      </w:r>
      <w:r w:rsidR="000630D7">
        <w:rPr>
          <w:rFonts w:asciiTheme="majorHAnsi" w:eastAsia="Times New Roman" w:hAnsiTheme="majorHAnsi" w:cstheme="majorHAnsi"/>
          <w:sz w:val="24"/>
          <w:szCs w:val="24"/>
          <w:lang w:eastAsia="ru-RU"/>
        </w:rPr>
        <w:t>,</w:t>
      </w:r>
      <w:r w:rsidR="0064221A" w:rsidRPr="00CB5F81">
        <w:rPr>
          <w:rFonts w:asciiTheme="majorHAnsi" w:eastAsia="Times New Roman" w:hAnsiTheme="majorHAnsi" w:cstheme="majorHAnsi"/>
          <w:sz w:val="24"/>
          <w:szCs w:val="24"/>
          <w:lang w:eastAsia="ru-RU"/>
        </w:rPr>
        <w:t xml:space="preserve"> nu a fost achitată la buget, rămânând la dispoziția contribuabilului. </w:t>
      </w:r>
      <w:r w:rsidR="0067175A" w:rsidRPr="00CB5F81">
        <w:rPr>
          <w:rFonts w:asciiTheme="majorHAnsi" w:eastAsia="Times New Roman" w:hAnsiTheme="majorHAnsi" w:cstheme="majorHAnsi"/>
          <w:sz w:val="24"/>
          <w:szCs w:val="24"/>
          <w:lang w:eastAsia="ru-RU"/>
        </w:rPr>
        <w:t xml:space="preserve">De relatat că agentul economic a beneficiat de înlesniri în sumă de 8,9 </w:t>
      </w:r>
      <w:r w:rsidR="00726434" w:rsidRPr="00CB5F81">
        <w:rPr>
          <w:rFonts w:asciiTheme="majorHAnsi" w:eastAsia="Times New Roman" w:hAnsiTheme="majorHAnsi" w:cstheme="majorHAnsi"/>
          <w:sz w:val="24"/>
          <w:szCs w:val="24"/>
          <w:lang w:eastAsia="ru-RU"/>
        </w:rPr>
        <w:t>mil.</w:t>
      </w:r>
      <w:r w:rsidR="0067175A" w:rsidRPr="00CB5F81">
        <w:rPr>
          <w:rFonts w:asciiTheme="majorHAnsi" w:eastAsia="Times New Roman" w:hAnsiTheme="majorHAnsi" w:cstheme="majorHAnsi"/>
          <w:sz w:val="24"/>
          <w:szCs w:val="24"/>
          <w:lang w:eastAsia="ru-RU"/>
        </w:rPr>
        <w:t>lei,</w:t>
      </w:r>
      <w:r w:rsidR="0064221A" w:rsidRPr="00CB5F81">
        <w:rPr>
          <w:rFonts w:asciiTheme="majorHAnsi" w:eastAsia="Times New Roman" w:hAnsiTheme="majorHAnsi" w:cstheme="majorHAnsi"/>
          <w:sz w:val="24"/>
          <w:szCs w:val="24"/>
          <w:lang w:eastAsia="ru-RU"/>
        </w:rPr>
        <w:t xml:space="preserve"> </w:t>
      </w:r>
      <w:r w:rsidR="000630D7">
        <w:rPr>
          <w:rFonts w:asciiTheme="majorHAnsi" w:eastAsia="Times New Roman" w:hAnsiTheme="majorHAnsi" w:cstheme="majorHAnsi"/>
          <w:sz w:val="24"/>
          <w:szCs w:val="24"/>
          <w:lang w:eastAsia="ru-RU"/>
        </w:rPr>
        <w:t xml:space="preserve">dar </w:t>
      </w:r>
      <w:r w:rsidR="0064221A" w:rsidRPr="00CB5F81">
        <w:rPr>
          <w:rFonts w:asciiTheme="majorHAnsi" w:eastAsia="Times New Roman" w:hAnsiTheme="majorHAnsi" w:cstheme="majorHAnsi"/>
          <w:sz w:val="24"/>
          <w:szCs w:val="24"/>
          <w:lang w:eastAsia="ru-RU"/>
        </w:rPr>
        <w:t xml:space="preserve">suma impozitelor și taxelor calculate și achitate </w:t>
      </w:r>
      <w:r w:rsidR="0067175A" w:rsidRPr="00CB5F81">
        <w:rPr>
          <w:rFonts w:asciiTheme="majorHAnsi" w:eastAsia="Times New Roman" w:hAnsiTheme="majorHAnsi" w:cstheme="majorHAnsi"/>
          <w:sz w:val="24"/>
          <w:szCs w:val="24"/>
          <w:lang w:eastAsia="ru-RU"/>
        </w:rPr>
        <w:t xml:space="preserve">la buget </w:t>
      </w:r>
      <w:r w:rsidR="0064221A" w:rsidRPr="00CB5F81">
        <w:rPr>
          <w:rFonts w:asciiTheme="majorHAnsi" w:eastAsia="Times New Roman" w:hAnsiTheme="majorHAnsi" w:cstheme="majorHAnsi"/>
          <w:sz w:val="24"/>
          <w:szCs w:val="24"/>
          <w:lang w:eastAsia="ru-RU"/>
        </w:rPr>
        <w:t xml:space="preserve">constituie 5,7 </w:t>
      </w:r>
      <w:r w:rsidR="00726434" w:rsidRPr="00CB5F81">
        <w:rPr>
          <w:rFonts w:asciiTheme="majorHAnsi" w:eastAsia="Times New Roman" w:hAnsiTheme="majorHAnsi" w:cstheme="majorHAnsi"/>
          <w:sz w:val="24"/>
          <w:szCs w:val="24"/>
          <w:lang w:eastAsia="ru-RU"/>
        </w:rPr>
        <w:t>mil.</w:t>
      </w:r>
      <w:r w:rsidR="0064221A" w:rsidRPr="00CB5F81">
        <w:rPr>
          <w:rFonts w:asciiTheme="majorHAnsi" w:eastAsia="Times New Roman" w:hAnsiTheme="majorHAnsi" w:cstheme="majorHAnsi"/>
          <w:sz w:val="24"/>
          <w:szCs w:val="24"/>
          <w:lang w:eastAsia="ru-RU"/>
        </w:rPr>
        <w:t xml:space="preserve">lei, sau cu 3,2 mil. lei mai puțin decât costul facilității acordate. </w:t>
      </w:r>
      <w:r w:rsidR="00D91434" w:rsidRPr="00CB5F81">
        <w:rPr>
          <w:rFonts w:asciiTheme="majorHAnsi" w:eastAsia="Times New Roman" w:hAnsiTheme="majorHAnsi" w:cstheme="majorHAnsi"/>
          <w:sz w:val="24"/>
          <w:szCs w:val="24"/>
          <w:lang w:eastAsia="ru-RU"/>
        </w:rPr>
        <w:t>Un alt aspect relevant</w:t>
      </w:r>
      <w:r w:rsidR="000630D7">
        <w:rPr>
          <w:rFonts w:asciiTheme="majorHAnsi" w:eastAsia="Times New Roman" w:hAnsiTheme="majorHAnsi" w:cstheme="majorHAnsi"/>
          <w:sz w:val="24"/>
          <w:szCs w:val="24"/>
          <w:lang w:eastAsia="ru-RU"/>
        </w:rPr>
        <w:t xml:space="preserve">, </w:t>
      </w:r>
      <w:r w:rsidR="00633F17" w:rsidRPr="00CB5F81">
        <w:rPr>
          <w:rFonts w:asciiTheme="majorHAnsi" w:eastAsia="Times New Roman" w:hAnsiTheme="majorHAnsi" w:cstheme="majorHAnsi"/>
          <w:sz w:val="24"/>
          <w:szCs w:val="24"/>
          <w:lang w:eastAsia="ru-RU"/>
        </w:rPr>
        <w:t>neces</w:t>
      </w:r>
      <w:r w:rsidR="000630D7">
        <w:rPr>
          <w:rFonts w:asciiTheme="majorHAnsi" w:eastAsia="Times New Roman" w:hAnsiTheme="majorHAnsi" w:cstheme="majorHAnsi"/>
          <w:sz w:val="24"/>
          <w:szCs w:val="24"/>
          <w:lang w:eastAsia="ru-RU"/>
        </w:rPr>
        <w:t>ar de</w:t>
      </w:r>
      <w:r w:rsidR="00633F17" w:rsidRPr="00CB5F81">
        <w:rPr>
          <w:rFonts w:asciiTheme="majorHAnsi" w:eastAsia="Times New Roman" w:hAnsiTheme="majorHAnsi" w:cstheme="majorHAnsi"/>
          <w:sz w:val="24"/>
          <w:szCs w:val="24"/>
          <w:lang w:eastAsia="ru-RU"/>
        </w:rPr>
        <w:t xml:space="preserve"> a fi menționat</w:t>
      </w:r>
      <w:r w:rsidR="000630D7">
        <w:rPr>
          <w:rFonts w:asciiTheme="majorHAnsi" w:eastAsia="Times New Roman" w:hAnsiTheme="majorHAnsi" w:cstheme="majorHAnsi"/>
          <w:sz w:val="24"/>
          <w:szCs w:val="24"/>
          <w:lang w:eastAsia="ru-RU"/>
        </w:rPr>
        <w:t>,</w:t>
      </w:r>
      <w:r w:rsidR="00633F17" w:rsidRPr="00CB5F81">
        <w:rPr>
          <w:rFonts w:asciiTheme="majorHAnsi" w:eastAsia="Times New Roman" w:hAnsiTheme="majorHAnsi" w:cstheme="majorHAnsi"/>
          <w:sz w:val="24"/>
          <w:szCs w:val="24"/>
          <w:lang w:eastAsia="ru-RU"/>
        </w:rPr>
        <w:t xml:space="preserve"> </w:t>
      </w:r>
      <w:r w:rsidR="00E45CBA" w:rsidRPr="00CB5F81">
        <w:rPr>
          <w:rFonts w:asciiTheme="majorHAnsi" w:eastAsia="Times New Roman" w:hAnsiTheme="majorHAnsi" w:cstheme="majorHAnsi"/>
          <w:sz w:val="24"/>
          <w:szCs w:val="24"/>
          <w:lang w:eastAsia="ru-RU"/>
        </w:rPr>
        <w:t xml:space="preserve">este </w:t>
      </w:r>
      <w:r w:rsidR="000630D7">
        <w:rPr>
          <w:rFonts w:asciiTheme="majorHAnsi" w:eastAsia="Times New Roman" w:hAnsiTheme="majorHAnsi" w:cstheme="majorHAnsi"/>
          <w:sz w:val="24"/>
          <w:szCs w:val="24"/>
          <w:lang w:eastAsia="ru-RU"/>
        </w:rPr>
        <w:t xml:space="preserve">faptul </w:t>
      </w:r>
      <w:r w:rsidR="00E45CBA" w:rsidRPr="00CB5F81">
        <w:rPr>
          <w:rFonts w:asciiTheme="majorHAnsi" w:eastAsia="Times New Roman" w:hAnsiTheme="majorHAnsi" w:cstheme="majorHAnsi"/>
          <w:sz w:val="24"/>
          <w:szCs w:val="24"/>
          <w:lang w:eastAsia="ru-RU"/>
        </w:rPr>
        <w:t>c</w:t>
      </w:r>
      <w:r w:rsidR="00D91434" w:rsidRPr="00CB5F81">
        <w:rPr>
          <w:rFonts w:asciiTheme="majorHAnsi" w:eastAsia="Times New Roman" w:hAnsiTheme="majorHAnsi" w:cstheme="majorHAnsi"/>
          <w:sz w:val="24"/>
          <w:szCs w:val="24"/>
          <w:lang w:eastAsia="ru-RU"/>
        </w:rPr>
        <w:t xml:space="preserve">ă </w:t>
      </w:r>
      <w:r w:rsidR="00633F17" w:rsidRPr="00CB5F81">
        <w:rPr>
          <w:rFonts w:asciiTheme="majorHAnsi" w:eastAsia="Times New Roman" w:hAnsiTheme="majorHAnsi" w:cstheme="majorHAnsi"/>
          <w:sz w:val="24"/>
          <w:szCs w:val="24"/>
          <w:lang w:eastAsia="ru-RU"/>
        </w:rPr>
        <w:t>acest agent economic</w:t>
      </w:r>
      <w:r w:rsidR="00877A4E" w:rsidRPr="00CB5F81">
        <w:rPr>
          <w:rFonts w:asciiTheme="majorHAnsi" w:eastAsia="Times New Roman" w:hAnsiTheme="majorHAnsi" w:cstheme="majorHAnsi"/>
          <w:sz w:val="24"/>
          <w:szCs w:val="24"/>
          <w:lang w:eastAsia="ru-RU"/>
        </w:rPr>
        <w:t xml:space="preserve"> este </w:t>
      </w:r>
      <w:r w:rsidR="00084AEC" w:rsidRPr="00CB5F81">
        <w:rPr>
          <w:rFonts w:asciiTheme="majorHAnsi" w:eastAsia="Times New Roman" w:hAnsiTheme="majorHAnsi" w:cstheme="majorHAnsi"/>
          <w:sz w:val="24"/>
          <w:szCs w:val="24"/>
          <w:lang w:eastAsia="ru-RU"/>
        </w:rPr>
        <w:t xml:space="preserve">unicul </w:t>
      </w:r>
      <w:r w:rsidR="00912A8A">
        <w:rPr>
          <w:rFonts w:asciiTheme="majorHAnsi" w:eastAsia="Times New Roman" w:hAnsiTheme="majorHAnsi" w:cstheme="majorHAnsi"/>
          <w:sz w:val="24"/>
          <w:szCs w:val="24"/>
          <w:lang w:eastAsia="ru-RU"/>
        </w:rPr>
        <w:t>î</w:t>
      </w:r>
      <w:r w:rsidR="000630D7" w:rsidRPr="00CB5F81">
        <w:rPr>
          <w:rFonts w:asciiTheme="majorHAnsi" w:eastAsia="Times New Roman" w:hAnsiTheme="majorHAnsi" w:cstheme="majorHAnsi"/>
          <w:sz w:val="24"/>
          <w:szCs w:val="24"/>
          <w:lang w:eastAsia="ru-RU"/>
        </w:rPr>
        <w:t xml:space="preserve">n țară </w:t>
      </w:r>
      <w:r w:rsidR="00084AEC" w:rsidRPr="00CB5F81">
        <w:rPr>
          <w:rFonts w:asciiTheme="majorHAnsi" w:eastAsia="Times New Roman" w:hAnsiTheme="majorHAnsi" w:cstheme="majorHAnsi"/>
          <w:sz w:val="24"/>
          <w:szCs w:val="24"/>
          <w:lang w:eastAsia="ru-RU"/>
        </w:rPr>
        <w:t>producător</w:t>
      </w:r>
      <w:r w:rsidR="00877A4E" w:rsidRPr="00CB5F81">
        <w:rPr>
          <w:rFonts w:asciiTheme="majorHAnsi" w:eastAsia="Times New Roman" w:hAnsiTheme="majorHAnsi" w:cstheme="majorHAnsi"/>
          <w:sz w:val="24"/>
          <w:szCs w:val="24"/>
          <w:lang w:eastAsia="ru-RU"/>
        </w:rPr>
        <w:t xml:space="preserve"> de azot și oxigen și activează fără a avea concurență pe piața locală</w:t>
      </w:r>
      <w:r w:rsidR="00600C34">
        <w:rPr>
          <w:rFonts w:asciiTheme="majorHAnsi" w:eastAsia="Times New Roman" w:hAnsiTheme="majorHAnsi" w:cstheme="majorHAnsi"/>
          <w:sz w:val="24"/>
          <w:szCs w:val="24"/>
          <w:lang w:eastAsia="ru-RU"/>
        </w:rPr>
        <w:t>. F</w:t>
      </w:r>
      <w:r w:rsidR="00877A4E" w:rsidRPr="00CB5F81">
        <w:rPr>
          <w:rFonts w:asciiTheme="majorHAnsi" w:eastAsia="Times New Roman" w:hAnsiTheme="majorHAnsi" w:cstheme="majorHAnsi"/>
          <w:sz w:val="24"/>
          <w:szCs w:val="24"/>
          <w:lang w:eastAsia="ru-RU"/>
        </w:rPr>
        <w:t>iind facilitat</w:t>
      </w:r>
      <w:r w:rsidR="009A6580" w:rsidRPr="00CB5F81">
        <w:rPr>
          <w:rFonts w:asciiTheme="majorHAnsi" w:eastAsia="Times New Roman" w:hAnsiTheme="majorHAnsi" w:cstheme="majorHAnsi"/>
          <w:sz w:val="24"/>
          <w:szCs w:val="24"/>
          <w:lang w:eastAsia="ru-RU"/>
        </w:rPr>
        <w:t>,</w:t>
      </w:r>
      <w:r w:rsidR="00877A4E" w:rsidRPr="00CB5F81">
        <w:rPr>
          <w:rFonts w:asciiTheme="majorHAnsi" w:eastAsia="Times New Roman" w:hAnsiTheme="majorHAnsi" w:cstheme="majorHAnsi"/>
          <w:sz w:val="24"/>
          <w:szCs w:val="24"/>
          <w:lang w:eastAsia="ru-RU"/>
        </w:rPr>
        <w:t xml:space="preserve"> </w:t>
      </w:r>
      <w:r w:rsidR="00600C34">
        <w:rPr>
          <w:rFonts w:asciiTheme="majorHAnsi" w:eastAsia="Times New Roman" w:hAnsiTheme="majorHAnsi" w:cstheme="majorHAnsi"/>
          <w:sz w:val="24"/>
          <w:szCs w:val="24"/>
          <w:lang w:eastAsia="ru-RU"/>
        </w:rPr>
        <w:t>acesta are</w:t>
      </w:r>
      <w:r w:rsidR="00633F17" w:rsidRPr="00CB5F81">
        <w:rPr>
          <w:rFonts w:asciiTheme="majorHAnsi" w:eastAsia="Times New Roman" w:hAnsiTheme="majorHAnsi" w:cstheme="majorHAnsi"/>
          <w:sz w:val="24"/>
          <w:szCs w:val="24"/>
          <w:lang w:eastAsia="ru-RU"/>
        </w:rPr>
        <w:t xml:space="preserve"> </w:t>
      </w:r>
      <w:r w:rsidR="00084AEC" w:rsidRPr="00CB5F81">
        <w:rPr>
          <w:rFonts w:asciiTheme="majorHAnsi" w:eastAsia="Times New Roman" w:hAnsiTheme="majorHAnsi" w:cstheme="majorHAnsi"/>
          <w:sz w:val="24"/>
          <w:szCs w:val="24"/>
          <w:lang w:eastAsia="ru-RU"/>
        </w:rPr>
        <w:t>posibilitatea de a</w:t>
      </w:r>
      <w:r w:rsidR="00EC1EAF">
        <w:rPr>
          <w:rFonts w:asciiTheme="majorHAnsi" w:eastAsia="Times New Roman" w:hAnsiTheme="majorHAnsi" w:cstheme="majorHAnsi"/>
          <w:sz w:val="24"/>
          <w:szCs w:val="24"/>
          <w:lang w:eastAsia="ru-RU"/>
        </w:rPr>
        <w:t xml:space="preserve"> </w:t>
      </w:r>
      <w:r w:rsidR="00084AEC" w:rsidRPr="00CB5F81">
        <w:rPr>
          <w:rFonts w:asciiTheme="majorHAnsi" w:eastAsia="Times New Roman" w:hAnsiTheme="majorHAnsi" w:cstheme="majorHAnsi"/>
          <w:sz w:val="24"/>
          <w:szCs w:val="24"/>
          <w:lang w:eastAsia="ru-RU"/>
        </w:rPr>
        <w:t xml:space="preserve">manevra </w:t>
      </w:r>
      <w:r w:rsidR="00633F17" w:rsidRPr="00CB5F81">
        <w:rPr>
          <w:rFonts w:asciiTheme="majorHAnsi" w:eastAsia="Times New Roman" w:hAnsiTheme="majorHAnsi" w:cstheme="majorHAnsi"/>
          <w:sz w:val="24"/>
          <w:szCs w:val="24"/>
          <w:lang w:eastAsia="ru-RU"/>
        </w:rPr>
        <w:t xml:space="preserve">cu </w:t>
      </w:r>
      <w:r w:rsidR="00084AEC" w:rsidRPr="00CB5F81">
        <w:rPr>
          <w:rFonts w:asciiTheme="majorHAnsi" w:eastAsia="Times New Roman" w:hAnsiTheme="majorHAnsi" w:cstheme="majorHAnsi"/>
          <w:sz w:val="24"/>
          <w:szCs w:val="24"/>
          <w:lang w:eastAsia="ru-RU"/>
        </w:rPr>
        <w:t xml:space="preserve">prețurile </w:t>
      </w:r>
      <w:r w:rsidR="00633F17" w:rsidRPr="00CB5F81">
        <w:rPr>
          <w:rFonts w:asciiTheme="majorHAnsi" w:eastAsia="Times New Roman" w:hAnsiTheme="majorHAnsi" w:cstheme="majorHAnsi"/>
          <w:sz w:val="24"/>
          <w:szCs w:val="24"/>
          <w:lang w:eastAsia="ru-RU"/>
        </w:rPr>
        <w:t>de vânzare a</w:t>
      </w:r>
      <w:r w:rsidR="00912A8A">
        <w:rPr>
          <w:rFonts w:asciiTheme="majorHAnsi" w:eastAsia="Times New Roman" w:hAnsiTheme="majorHAnsi" w:cstheme="majorHAnsi"/>
          <w:sz w:val="24"/>
          <w:szCs w:val="24"/>
          <w:lang w:eastAsia="ru-RU"/>
        </w:rPr>
        <w:t>le</w:t>
      </w:r>
      <w:r w:rsidR="00633F17" w:rsidRPr="00CB5F81">
        <w:rPr>
          <w:rFonts w:asciiTheme="majorHAnsi" w:eastAsia="Times New Roman" w:hAnsiTheme="majorHAnsi" w:cstheme="majorHAnsi"/>
          <w:sz w:val="24"/>
          <w:szCs w:val="24"/>
          <w:lang w:eastAsia="ru-RU"/>
        </w:rPr>
        <w:t xml:space="preserve"> produselor</w:t>
      </w:r>
      <w:r w:rsidR="00877A4E" w:rsidRPr="00CB5F81">
        <w:rPr>
          <w:rFonts w:asciiTheme="majorHAnsi" w:eastAsia="Times New Roman" w:hAnsiTheme="majorHAnsi" w:cstheme="majorHAnsi"/>
          <w:sz w:val="24"/>
          <w:szCs w:val="24"/>
          <w:lang w:eastAsia="ru-RU"/>
        </w:rPr>
        <w:t xml:space="preserve"> sale. </w:t>
      </w:r>
      <w:r w:rsidR="00633F17" w:rsidRPr="00CB5F81">
        <w:rPr>
          <w:rFonts w:asciiTheme="majorHAnsi" w:eastAsia="Times New Roman" w:hAnsiTheme="majorHAnsi" w:cstheme="majorHAnsi"/>
          <w:sz w:val="24"/>
          <w:szCs w:val="24"/>
          <w:lang w:eastAsia="ru-RU"/>
        </w:rPr>
        <w:t xml:space="preserve">Astfel, </w:t>
      </w:r>
      <w:r w:rsidR="00084AEC" w:rsidRPr="00CB5F81">
        <w:rPr>
          <w:rFonts w:asciiTheme="majorHAnsi" w:eastAsia="Times New Roman" w:hAnsiTheme="majorHAnsi" w:cstheme="majorHAnsi"/>
          <w:sz w:val="24"/>
          <w:szCs w:val="24"/>
          <w:lang w:eastAsia="ru-RU"/>
        </w:rPr>
        <w:t>în cadrul licitațiilor publice</w:t>
      </w:r>
      <w:r w:rsidR="00600C34">
        <w:rPr>
          <w:rFonts w:asciiTheme="majorHAnsi" w:eastAsia="Times New Roman" w:hAnsiTheme="majorHAnsi" w:cstheme="majorHAnsi"/>
          <w:sz w:val="24"/>
          <w:szCs w:val="24"/>
          <w:lang w:eastAsia="ru-RU"/>
        </w:rPr>
        <w:t>,</w:t>
      </w:r>
      <w:r w:rsidR="00084AEC" w:rsidRPr="00CB5F81">
        <w:rPr>
          <w:rFonts w:asciiTheme="majorHAnsi" w:eastAsia="Times New Roman" w:hAnsiTheme="majorHAnsi" w:cstheme="majorHAnsi"/>
          <w:sz w:val="24"/>
          <w:szCs w:val="24"/>
          <w:lang w:eastAsia="ru-RU"/>
        </w:rPr>
        <w:t xml:space="preserve"> organizate de instituțiile medicale</w:t>
      </w:r>
      <w:r w:rsidR="00633F17" w:rsidRPr="00CB5F81">
        <w:rPr>
          <w:rFonts w:asciiTheme="majorHAnsi" w:eastAsia="Times New Roman" w:hAnsiTheme="majorHAnsi" w:cstheme="majorHAnsi"/>
          <w:sz w:val="24"/>
          <w:szCs w:val="24"/>
          <w:lang w:eastAsia="ru-RU"/>
        </w:rPr>
        <w:t xml:space="preserve"> </w:t>
      </w:r>
      <w:r w:rsidR="00B25B3E" w:rsidRPr="00CB5F81">
        <w:rPr>
          <w:rFonts w:asciiTheme="majorHAnsi" w:eastAsia="Times New Roman" w:hAnsiTheme="majorHAnsi" w:cstheme="majorHAnsi"/>
          <w:sz w:val="24"/>
          <w:szCs w:val="24"/>
          <w:lang w:eastAsia="ru-RU"/>
        </w:rPr>
        <w:t>de stat</w:t>
      </w:r>
      <w:r w:rsidR="00600C34">
        <w:rPr>
          <w:rFonts w:asciiTheme="majorHAnsi" w:eastAsia="Times New Roman" w:hAnsiTheme="majorHAnsi" w:cstheme="majorHAnsi"/>
          <w:sz w:val="24"/>
          <w:szCs w:val="24"/>
          <w:lang w:eastAsia="ru-RU"/>
        </w:rPr>
        <w:t>,</w:t>
      </w:r>
      <w:r w:rsidR="00B25B3E" w:rsidRPr="00CB5F81">
        <w:rPr>
          <w:rFonts w:asciiTheme="majorHAnsi" w:eastAsia="Times New Roman" w:hAnsiTheme="majorHAnsi" w:cstheme="majorHAnsi"/>
          <w:sz w:val="24"/>
          <w:szCs w:val="24"/>
          <w:lang w:eastAsia="ru-RU"/>
        </w:rPr>
        <w:t xml:space="preserve"> </w:t>
      </w:r>
      <w:r w:rsidR="00633F17" w:rsidRPr="00CB5F81">
        <w:rPr>
          <w:rFonts w:asciiTheme="majorHAnsi" w:eastAsia="Times New Roman" w:hAnsiTheme="majorHAnsi" w:cstheme="majorHAnsi"/>
          <w:sz w:val="24"/>
          <w:szCs w:val="24"/>
          <w:lang w:eastAsia="ru-RU"/>
        </w:rPr>
        <w:t>privind achiziționarea acestor bunuri</w:t>
      </w:r>
      <w:r w:rsidR="00084AEC" w:rsidRPr="00CB5F81">
        <w:rPr>
          <w:rFonts w:asciiTheme="majorHAnsi" w:eastAsia="Times New Roman" w:hAnsiTheme="majorHAnsi" w:cstheme="majorHAnsi"/>
          <w:sz w:val="24"/>
          <w:szCs w:val="24"/>
          <w:lang w:eastAsia="ru-RU"/>
        </w:rPr>
        <w:t>,</w:t>
      </w:r>
      <w:r w:rsidR="00633F17" w:rsidRPr="00CB5F81">
        <w:rPr>
          <w:rFonts w:asciiTheme="majorHAnsi" w:eastAsia="Times New Roman" w:hAnsiTheme="majorHAnsi" w:cstheme="majorHAnsi"/>
          <w:sz w:val="24"/>
          <w:szCs w:val="24"/>
          <w:lang w:eastAsia="ru-RU"/>
        </w:rPr>
        <w:t xml:space="preserve"> în ma</w:t>
      </w:r>
      <w:r w:rsidR="00912A8A">
        <w:rPr>
          <w:rFonts w:asciiTheme="majorHAnsi" w:eastAsia="Times New Roman" w:hAnsiTheme="majorHAnsi" w:cstheme="majorHAnsi"/>
          <w:sz w:val="24"/>
          <w:szCs w:val="24"/>
          <w:lang w:eastAsia="ru-RU"/>
        </w:rPr>
        <w:t>joritatea cazurilor,</w:t>
      </w:r>
      <w:r w:rsidR="00633F17" w:rsidRPr="00CB5F81">
        <w:rPr>
          <w:rFonts w:asciiTheme="majorHAnsi" w:eastAsia="Times New Roman" w:hAnsiTheme="majorHAnsi" w:cstheme="majorHAnsi"/>
          <w:sz w:val="24"/>
          <w:szCs w:val="24"/>
          <w:lang w:eastAsia="ru-RU"/>
        </w:rPr>
        <w:t xml:space="preserve"> </w:t>
      </w:r>
      <w:r w:rsidR="000E39A8" w:rsidRPr="00CB5F81">
        <w:rPr>
          <w:rFonts w:asciiTheme="majorHAnsi" w:eastAsia="Times New Roman" w:hAnsiTheme="majorHAnsi" w:cstheme="majorHAnsi"/>
          <w:sz w:val="24"/>
          <w:szCs w:val="24"/>
          <w:lang w:eastAsia="ru-RU"/>
        </w:rPr>
        <w:t xml:space="preserve">acest </w:t>
      </w:r>
      <w:r w:rsidR="00633F17" w:rsidRPr="00CB5F81">
        <w:rPr>
          <w:rFonts w:asciiTheme="majorHAnsi" w:eastAsia="Times New Roman" w:hAnsiTheme="majorHAnsi" w:cstheme="majorHAnsi"/>
          <w:sz w:val="24"/>
          <w:szCs w:val="24"/>
          <w:lang w:eastAsia="ru-RU"/>
        </w:rPr>
        <w:t xml:space="preserve">agent economic </w:t>
      </w:r>
      <w:r w:rsidR="00877A4E" w:rsidRPr="00CB5F81">
        <w:rPr>
          <w:rFonts w:asciiTheme="majorHAnsi" w:eastAsia="Times New Roman" w:hAnsiTheme="majorHAnsi" w:cstheme="majorHAnsi"/>
          <w:sz w:val="24"/>
          <w:szCs w:val="24"/>
          <w:lang w:eastAsia="ru-RU"/>
        </w:rPr>
        <w:t xml:space="preserve">este desemnat ca </w:t>
      </w:r>
      <w:r w:rsidR="00600C34">
        <w:rPr>
          <w:rFonts w:asciiTheme="majorHAnsi" w:eastAsia="Times New Roman" w:hAnsiTheme="majorHAnsi" w:cstheme="majorHAnsi"/>
          <w:sz w:val="24"/>
          <w:szCs w:val="24"/>
          <w:lang w:eastAsia="ru-RU"/>
        </w:rPr>
        <w:t>câști</w:t>
      </w:r>
      <w:r w:rsidR="00877A4E" w:rsidRPr="00CB5F81">
        <w:rPr>
          <w:rFonts w:asciiTheme="majorHAnsi" w:eastAsia="Times New Roman" w:hAnsiTheme="majorHAnsi" w:cstheme="majorHAnsi"/>
          <w:sz w:val="24"/>
          <w:szCs w:val="24"/>
          <w:lang w:eastAsia="ru-RU"/>
        </w:rPr>
        <w:t>gător</w:t>
      </w:r>
      <w:r w:rsidR="00600C34">
        <w:rPr>
          <w:rFonts w:asciiTheme="majorHAnsi" w:eastAsia="Times New Roman" w:hAnsiTheme="majorHAnsi" w:cstheme="majorHAnsi"/>
          <w:sz w:val="24"/>
          <w:szCs w:val="24"/>
          <w:lang w:eastAsia="ru-RU"/>
        </w:rPr>
        <w:t>,</w:t>
      </w:r>
      <w:r w:rsidR="00877A4E" w:rsidRPr="00CB5F81">
        <w:rPr>
          <w:rFonts w:asciiTheme="majorHAnsi" w:eastAsia="Times New Roman" w:hAnsiTheme="majorHAnsi" w:cstheme="majorHAnsi"/>
          <w:sz w:val="24"/>
          <w:szCs w:val="24"/>
          <w:lang w:eastAsia="ru-RU"/>
        </w:rPr>
        <w:t xml:space="preserve"> întrucât </w:t>
      </w:r>
      <w:r w:rsidR="00633F17" w:rsidRPr="00CB5F81">
        <w:rPr>
          <w:rFonts w:asciiTheme="majorHAnsi" w:eastAsia="Times New Roman" w:hAnsiTheme="majorHAnsi" w:cstheme="majorHAnsi"/>
          <w:sz w:val="24"/>
          <w:szCs w:val="24"/>
          <w:lang w:eastAsia="ru-RU"/>
        </w:rPr>
        <w:t xml:space="preserve">propune prețuri </w:t>
      </w:r>
      <w:r w:rsidR="00084AEC" w:rsidRPr="00CB5F81">
        <w:rPr>
          <w:rFonts w:asciiTheme="majorHAnsi" w:eastAsia="Times New Roman" w:hAnsiTheme="majorHAnsi" w:cstheme="majorHAnsi"/>
          <w:sz w:val="24"/>
          <w:szCs w:val="24"/>
          <w:lang w:eastAsia="ru-RU"/>
        </w:rPr>
        <w:t xml:space="preserve">mai </w:t>
      </w:r>
      <w:r w:rsidR="00877A4E" w:rsidRPr="00CB5F81">
        <w:rPr>
          <w:rFonts w:asciiTheme="majorHAnsi" w:eastAsia="Times New Roman" w:hAnsiTheme="majorHAnsi" w:cstheme="majorHAnsi"/>
          <w:sz w:val="24"/>
          <w:szCs w:val="24"/>
          <w:lang w:eastAsia="ru-RU"/>
        </w:rPr>
        <w:t>joase</w:t>
      </w:r>
      <w:r w:rsidR="00600C34">
        <w:rPr>
          <w:rFonts w:asciiTheme="majorHAnsi" w:eastAsia="Times New Roman" w:hAnsiTheme="majorHAnsi" w:cstheme="majorHAnsi"/>
          <w:sz w:val="24"/>
          <w:szCs w:val="24"/>
          <w:lang w:eastAsia="ru-RU"/>
        </w:rPr>
        <w:t xml:space="preserve"> decât cele pe care le oferă</w:t>
      </w:r>
      <w:r w:rsidR="00877A4E" w:rsidRPr="00CB5F81">
        <w:rPr>
          <w:rFonts w:asciiTheme="majorHAnsi" w:eastAsia="Times New Roman" w:hAnsiTheme="majorHAnsi" w:cstheme="majorHAnsi"/>
          <w:sz w:val="24"/>
          <w:szCs w:val="24"/>
          <w:lang w:eastAsia="ru-RU"/>
        </w:rPr>
        <w:t xml:space="preserve"> </w:t>
      </w:r>
      <w:r w:rsidR="00E12CF6" w:rsidRPr="005405A7">
        <w:rPr>
          <w:rFonts w:asciiTheme="majorHAnsi" w:eastAsia="Times New Roman" w:hAnsiTheme="majorHAnsi" w:cstheme="majorHAnsi"/>
          <w:sz w:val="24"/>
          <w:szCs w:val="24"/>
          <w:lang w:eastAsia="ru-RU"/>
        </w:rPr>
        <w:t>concurenții</w:t>
      </w:r>
      <w:r w:rsidR="00E12CF6">
        <w:rPr>
          <w:rFonts w:asciiTheme="majorHAnsi" w:eastAsia="Times New Roman" w:hAnsiTheme="majorHAnsi" w:cstheme="majorHAnsi"/>
          <w:sz w:val="24"/>
          <w:szCs w:val="24"/>
          <w:lang w:eastAsia="ru-RU"/>
        </w:rPr>
        <w:t xml:space="preserve"> </w:t>
      </w:r>
      <w:r w:rsidR="00A34E03" w:rsidRPr="00CB5F81">
        <w:rPr>
          <w:rFonts w:asciiTheme="majorHAnsi" w:eastAsia="Times New Roman" w:hAnsiTheme="majorHAnsi" w:cstheme="majorHAnsi"/>
          <w:sz w:val="24"/>
          <w:szCs w:val="24"/>
          <w:lang w:eastAsia="ru-RU"/>
        </w:rPr>
        <w:t>care impo</w:t>
      </w:r>
      <w:r w:rsidR="000E39A8" w:rsidRPr="00CB5F81">
        <w:rPr>
          <w:rFonts w:asciiTheme="majorHAnsi" w:eastAsia="Times New Roman" w:hAnsiTheme="majorHAnsi" w:cstheme="majorHAnsi"/>
          <w:sz w:val="24"/>
          <w:szCs w:val="24"/>
          <w:lang w:eastAsia="ru-RU"/>
        </w:rPr>
        <w:t>rtă marfa indicată.</w:t>
      </w:r>
      <w:r w:rsidR="00EC1EAF">
        <w:rPr>
          <w:rFonts w:asciiTheme="majorHAnsi" w:eastAsia="Times New Roman" w:hAnsiTheme="majorHAnsi" w:cstheme="majorHAnsi"/>
          <w:sz w:val="24"/>
          <w:szCs w:val="24"/>
          <w:lang w:eastAsia="ru-RU"/>
        </w:rPr>
        <w:t xml:space="preserve"> </w:t>
      </w:r>
      <w:r w:rsidR="000E39A8" w:rsidRPr="00CB5F81">
        <w:rPr>
          <w:rFonts w:asciiTheme="majorHAnsi" w:eastAsia="Times New Roman" w:hAnsiTheme="majorHAnsi" w:cstheme="majorHAnsi"/>
          <w:sz w:val="24"/>
          <w:szCs w:val="24"/>
          <w:lang w:eastAsia="ru-RU"/>
        </w:rPr>
        <w:t>Î</w:t>
      </w:r>
      <w:r w:rsidR="00A34E03" w:rsidRPr="00CB5F81">
        <w:rPr>
          <w:rFonts w:asciiTheme="majorHAnsi" w:eastAsia="Times New Roman" w:hAnsiTheme="majorHAnsi" w:cstheme="majorHAnsi"/>
          <w:sz w:val="24"/>
          <w:szCs w:val="24"/>
          <w:lang w:eastAsia="ru-RU"/>
        </w:rPr>
        <w:t>n același timp</w:t>
      </w:r>
      <w:r w:rsidR="000E39A8" w:rsidRPr="00CB5F81">
        <w:rPr>
          <w:rFonts w:asciiTheme="majorHAnsi" w:eastAsia="Times New Roman" w:hAnsiTheme="majorHAnsi" w:cstheme="majorHAnsi"/>
          <w:sz w:val="24"/>
          <w:szCs w:val="24"/>
          <w:lang w:eastAsia="ru-RU"/>
        </w:rPr>
        <w:t>, prețurile de</w:t>
      </w:r>
      <w:r w:rsidR="00633F17" w:rsidRPr="00CB5F81">
        <w:rPr>
          <w:rFonts w:asciiTheme="majorHAnsi" w:eastAsia="Times New Roman" w:hAnsiTheme="majorHAnsi" w:cstheme="majorHAnsi"/>
          <w:sz w:val="24"/>
          <w:szCs w:val="24"/>
          <w:lang w:eastAsia="ru-RU"/>
        </w:rPr>
        <w:t xml:space="preserve"> </w:t>
      </w:r>
      <w:r w:rsidR="00A34E03" w:rsidRPr="00CB5F81">
        <w:rPr>
          <w:rFonts w:asciiTheme="majorHAnsi" w:eastAsia="Times New Roman" w:hAnsiTheme="majorHAnsi" w:cstheme="majorHAnsi"/>
          <w:sz w:val="24"/>
          <w:szCs w:val="24"/>
          <w:lang w:eastAsia="ru-RU"/>
        </w:rPr>
        <w:t>vânzare</w:t>
      </w:r>
      <w:r w:rsidR="000E39A8" w:rsidRPr="00CB5F81">
        <w:rPr>
          <w:rFonts w:asciiTheme="majorHAnsi" w:eastAsia="Times New Roman" w:hAnsiTheme="majorHAnsi" w:cstheme="majorHAnsi"/>
          <w:sz w:val="24"/>
          <w:szCs w:val="24"/>
          <w:lang w:eastAsia="ru-RU"/>
        </w:rPr>
        <w:t xml:space="preserve"> a</w:t>
      </w:r>
      <w:r w:rsidR="00600C34">
        <w:rPr>
          <w:rFonts w:asciiTheme="majorHAnsi" w:eastAsia="Times New Roman" w:hAnsiTheme="majorHAnsi" w:cstheme="majorHAnsi"/>
          <w:sz w:val="24"/>
          <w:szCs w:val="24"/>
          <w:lang w:eastAsia="ru-RU"/>
        </w:rPr>
        <w:t>le</w:t>
      </w:r>
      <w:r w:rsidR="000E39A8" w:rsidRPr="00CB5F81">
        <w:rPr>
          <w:rFonts w:asciiTheme="majorHAnsi" w:eastAsia="Times New Roman" w:hAnsiTheme="majorHAnsi" w:cstheme="majorHAnsi"/>
          <w:sz w:val="24"/>
          <w:szCs w:val="24"/>
          <w:lang w:eastAsia="ru-RU"/>
        </w:rPr>
        <w:t xml:space="preserve"> azotului și oxigenului</w:t>
      </w:r>
      <w:r w:rsidR="00EC1EAF">
        <w:rPr>
          <w:rFonts w:asciiTheme="majorHAnsi" w:eastAsia="Times New Roman" w:hAnsiTheme="majorHAnsi" w:cstheme="majorHAnsi"/>
          <w:sz w:val="24"/>
          <w:szCs w:val="24"/>
          <w:lang w:eastAsia="ru-RU"/>
        </w:rPr>
        <w:t xml:space="preserve"> </w:t>
      </w:r>
      <w:r w:rsidR="00A34E03" w:rsidRPr="00CB5F81">
        <w:rPr>
          <w:rFonts w:asciiTheme="majorHAnsi" w:eastAsia="Times New Roman" w:hAnsiTheme="majorHAnsi" w:cstheme="majorHAnsi"/>
          <w:sz w:val="24"/>
          <w:szCs w:val="24"/>
          <w:lang w:eastAsia="ru-RU"/>
        </w:rPr>
        <w:t xml:space="preserve">către sectorul </w:t>
      </w:r>
      <w:r w:rsidR="000E39A8" w:rsidRPr="00CB5F81">
        <w:rPr>
          <w:rFonts w:asciiTheme="majorHAnsi" w:eastAsia="Times New Roman" w:hAnsiTheme="majorHAnsi" w:cstheme="majorHAnsi"/>
          <w:sz w:val="24"/>
          <w:szCs w:val="24"/>
          <w:lang w:eastAsia="ru-RU"/>
        </w:rPr>
        <w:t xml:space="preserve">privat sunt mai mici comparativ cu cele </w:t>
      </w:r>
      <w:r w:rsidR="009A6580" w:rsidRPr="00CB5F81">
        <w:rPr>
          <w:rFonts w:asciiTheme="majorHAnsi" w:eastAsia="Times New Roman" w:hAnsiTheme="majorHAnsi" w:cstheme="majorHAnsi"/>
          <w:sz w:val="24"/>
          <w:szCs w:val="24"/>
          <w:lang w:eastAsia="ru-RU"/>
        </w:rPr>
        <w:t xml:space="preserve">propuse și comercializate </w:t>
      </w:r>
      <w:r w:rsidR="000E39A8" w:rsidRPr="00CB5F81">
        <w:rPr>
          <w:rFonts w:asciiTheme="majorHAnsi" w:eastAsia="Times New Roman" w:hAnsiTheme="majorHAnsi" w:cstheme="majorHAnsi"/>
          <w:sz w:val="24"/>
          <w:szCs w:val="24"/>
          <w:lang w:eastAsia="ru-RU"/>
        </w:rPr>
        <w:t>instituțiilor publice.</w:t>
      </w:r>
    </w:p>
    <w:p w:rsidR="00633F17" w:rsidRPr="00CB5F81" w:rsidRDefault="00633F17" w:rsidP="0064221A">
      <w:pPr>
        <w:spacing w:after="0" w:line="240" w:lineRule="auto"/>
        <w:jc w:val="both"/>
        <w:rPr>
          <w:rFonts w:asciiTheme="majorHAnsi" w:eastAsia="Times New Roman" w:hAnsiTheme="majorHAnsi" w:cstheme="majorHAnsi"/>
          <w:sz w:val="24"/>
          <w:szCs w:val="24"/>
          <w:lang w:eastAsia="ru-RU"/>
        </w:rPr>
      </w:pPr>
    </w:p>
    <w:p w:rsidR="006E4F10" w:rsidRPr="00CB5F81" w:rsidRDefault="008A74F5" w:rsidP="00D04386">
      <w:pPr>
        <w:pStyle w:val="Heading3"/>
        <w:numPr>
          <w:ilvl w:val="2"/>
          <w:numId w:val="22"/>
        </w:numPr>
        <w:tabs>
          <w:tab w:val="left" w:pos="630"/>
        </w:tabs>
        <w:spacing w:after="120"/>
        <w:ind w:left="0" w:firstLine="0"/>
        <w:jc w:val="both"/>
        <w:rPr>
          <w:rFonts w:eastAsia="Times New Roman" w:cstheme="majorHAnsi"/>
          <w:b/>
          <w:color w:val="2E74B5" w:themeColor="accent1" w:themeShade="BF"/>
          <w:lang w:eastAsia="ru-RU"/>
        </w:rPr>
      </w:pPr>
      <w:bookmarkStart w:id="32" w:name="_Toc111467876"/>
      <w:r w:rsidRPr="00CB5F81">
        <w:rPr>
          <w:rFonts w:eastAsia="Times New Roman" w:cstheme="majorHAnsi"/>
          <w:b/>
          <w:color w:val="2E74B5" w:themeColor="accent1" w:themeShade="BF"/>
          <w:lang w:eastAsia="ru-RU"/>
        </w:rPr>
        <w:t>P</w:t>
      </w:r>
      <w:r w:rsidR="00A82EAF" w:rsidRPr="00CB5F81">
        <w:rPr>
          <w:rFonts w:eastAsia="Times New Roman" w:cstheme="majorHAnsi"/>
          <w:b/>
          <w:color w:val="2E74B5" w:themeColor="accent1" w:themeShade="BF"/>
          <w:lang w:eastAsia="ru-RU"/>
        </w:rPr>
        <w:t xml:space="preserve">rocesul de </w:t>
      </w:r>
      <w:r w:rsidR="006E4F10" w:rsidRPr="00CB5F81">
        <w:rPr>
          <w:rFonts w:eastAsia="Times New Roman" w:cstheme="majorHAnsi"/>
          <w:b/>
          <w:color w:val="2E74B5" w:themeColor="accent1" w:themeShade="BF"/>
          <w:lang w:eastAsia="ru-RU"/>
        </w:rPr>
        <w:t>acord</w:t>
      </w:r>
      <w:r w:rsidR="00A82EAF" w:rsidRPr="00CB5F81">
        <w:rPr>
          <w:rFonts w:eastAsia="Times New Roman" w:cstheme="majorHAnsi"/>
          <w:b/>
          <w:color w:val="2E74B5" w:themeColor="accent1" w:themeShade="BF"/>
          <w:lang w:eastAsia="ru-RU"/>
        </w:rPr>
        <w:t>are a scutirii de</w:t>
      </w:r>
      <w:r w:rsidR="006E4F10" w:rsidRPr="00CB5F81">
        <w:rPr>
          <w:rFonts w:eastAsia="Times New Roman" w:cstheme="majorHAnsi"/>
          <w:b/>
          <w:color w:val="2E74B5" w:themeColor="accent1" w:themeShade="BF"/>
          <w:lang w:eastAsia="ru-RU"/>
        </w:rPr>
        <w:t xml:space="preserve"> plata accizelor </w:t>
      </w:r>
      <w:r w:rsidR="0072457C">
        <w:rPr>
          <w:rFonts w:eastAsia="Times New Roman" w:cstheme="majorHAnsi"/>
          <w:b/>
          <w:color w:val="2E74B5" w:themeColor="accent1" w:themeShade="BF"/>
          <w:lang w:eastAsia="ru-RU"/>
        </w:rPr>
        <w:t>l</w:t>
      </w:r>
      <w:r w:rsidR="006E4F10" w:rsidRPr="00CB5F81">
        <w:rPr>
          <w:rFonts w:eastAsia="Times New Roman" w:cstheme="majorHAnsi"/>
          <w:b/>
          <w:color w:val="2E74B5" w:themeColor="accent1" w:themeShade="BF"/>
          <w:lang w:eastAsia="ru-RU"/>
        </w:rPr>
        <w:t xml:space="preserve">a </w:t>
      </w:r>
      <w:r w:rsidR="004D0748" w:rsidRPr="00CB5F81">
        <w:rPr>
          <w:rFonts w:eastAsia="Times New Roman" w:cstheme="majorHAnsi"/>
          <w:b/>
          <w:color w:val="2E74B5" w:themeColor="accent1" w:themeShade="BF"/>
          <w:lang w:eastAsia="ru-RU"/>
        </w:rPr>
        <w:t>a</w:t>
      </w:r>
      <w:r w:rsidR="006E4F10" w:rsidRPr="00CB5F81">
        <w:rPr>
          <w:rFonts w:eastAsia="Times New Roman" w:cstheme="majorHAnsi"/>
          <w:b/>
          <w:color w:val="2E74B5" w:themeColor="accent1" w:themeShade="BF"/>
          <w:lang w:eastAsia="ru-RU"/>
        </w:rPr>
        <w:t>lcoolul etilic</w:t>
      </w:r>
      <w:r w:rsidR="0072457C">
        <w:rPr>
          <w:rFonts w:eastAsia="Times New Roman" w:cstheme="majorHAnsi"/>
          <w:b/>
          <w:color w:val="2E74B5" w:themeColor="accent1" w:themeShade="BF"/>
          <w:lang w:eastAsia="ru-RU"/>
        </w:rPr>
        <w:t>,</w:t>
      </w:r>
      <w:r w:rsidR="00402B2F" w:rsidRPr="00CB5F81">
        <w:rPr>
          <w:rFonts w:eastAsia="Times New Roman" w:cstheme="majorHAnsi"/>
          <w:b/>
          <w:color w:val="2E74B5" w:themeColor="accent1" w:themeShade="BF"/>
          <w:lang w:eastAsia="ru-RU"/>
        </w:rPr>
        <w:t xml:space="preserve"> utilizat</w:t>
      </w:r>
      <w:r w:rsidR="00EC1EAF">
        <w:rPr>
          <w:rFonts w:eastAsia="Times New Roman" w:cstheme="majorHAnsi"/>
          <w:b/>
          <w:color w:val="2E74B5" w:themeColor="accent1" w:themeShade="BF"/>
          <w:lang w:eastAsia="ru-RU"/>
        </w:rPr>
        <w:t xml:space="preserve"> </w:t>
      </w:r>
      <w:r w:rsidR="00402B2F" w:rsidRPr="00CB5F81">
        <w:rPr>
          <w:rFonts w:eastAsia="Times New Roman" w:cstheme="majorHAnsi"/>
          <w:b/>
          <w:color w:val="2E74B5" w:themeColor="accent1" w:themeShade="BF"/>
        </w:rPr>
        <w:t xml:space="preserve">în domeniul </w:t>
      </w:r>
      <w:r w:rsidR="00402B2F" w:rsidRPr="00CB5F81">
        <w:rPr>
          <w:rStyle w:val="Bodytext2Italic"/>
          <w:rFonts w:asciiTheme="majorHAnsi" w:eastAsiaTheme="minorHAnsi" w:hAnsiTheme="majorHAnsi" w:cstheme="majorHAnsi"/>
          <w:b/>
          <w:i w:val="0"/>
          <w:color w:val="2E74B5" w:themeColor="accent1" w:themeShade="BF"/>
          <w:sz w:val="24"/>
          <w:szCs w:val="24"/>
          <w:lang w:val="ro-MD"/>
        </w:rPr>
        <w:t>de parfumerie și cosmetică,</w:t>
      </w:r>
      <w:r w:rsidR="00402B2F" w:rsidRPr="00CB5F81">
        <w:rPr>
          <w:rFonts w:eastAsia="Times New Roman" w:cstheme="majorHAnsi"/>
          <w:b/>
          <w:color w:val="2E74B5" w:themeColor="accent1" w:themeShade="BF"/>
          <w:lang w:eastAsia="ru-RU"/>
        </w:rPr>
        <w:t xml:space="preserve"> </w:t>
      </w:r>
      <w:r w:rsidRPr="00CB5F81">
        <w:rPr>
          <w:rFonts w:eastAsia="Times New Roman" w:cstheme="majorHAnsi"/>
          <w:b/>
          <w:color w:val="2E74B5" w:themeColor="accent1" w:themeShade="BF"/>
          <w:lang w:eastAsia="ru-RU"/>
        </w:rPr>
        <w:t>a fost unul vulnerabil</w:t>
      </w:r>
      <w:r w:rsidRPr="00CB5F81">
        <w:rPr>
          <w:rFonts w:eastAsia="Times New Roman" w:cstheme="majorHAnsi"/>
          <w:b/>
          <w:color w:val="2E74B5" w:themeColor="accent1" w:themeShade="BF"/>
        </w:rPr>
        <w:t xml:space="preserve"> și afectat de neconformități, fapt ce a </w:t>
      </w:r>
      <w:r w:rsidR="004D0748" w:rsidRPr="00CB5F81">
        <w:rPr>
          <w:rFonts w:eastAsia="Times New Roman" w:cstheme="majorHAnsi"/>
          <w:b/>
          <w:color w:val="2E74B5" w:themeColor="accent1" w:themeShade="BF"/>
        </w:rPr>
        <w:t>priva</w:t>
      </w:r>
      <w:r w:rsidR="00A82EAF" w:rsidRPr="00CB5F81">
        <w:rPr>
          <w:rFonts w:eastAsia="Times New Roman" w:cstheme="majorHAnsi"/>
          <w:b/>
          <w:color w:val="2E74B5" w:themeColor="accent1" w:themeShade="BF"/>
        </w:rPr>
        <w:t>t</w:t>
      </w:r>
      <w:r w:rsidR="00EC1EAF">
        <w:rPr>
          <w:rFonts w:eastAsia="Times New Roman" w:cstheme="majorHAnsi"/>
          <w:b/>
          <w:color w:val="2E74B5" w:themeColor="accent1" w:themeShade="BF"/>
        </w:rPr>
        <w:t xml:space="preserve"> </w:t>
      </w:r>
      <w:r w:rsidR="006E4F10" w:rsidRPr="00CB5F81">
        <w:rPr>
          <w:rFonts w:eastAsia="Times New Roman" w:cstheme="majorHAnsi"/>
          <w:b/>
          <w:color w:val="2E74B5" w:themeColor="accent1" w:themeShade="BF"/>
        </w:rPr>
        <w:t>bugetul statului de venituri substanțiale</w:t>
      </w:r>
      <w:bookmarkEnd w:id="32"/>
      <w:r w:rsidR="00EC1EAF">
        <w:rPr>
          <w:rFonts w:eastAsia="Times New Roman" w:cstheme="majorHAnsi"/>
          <w:b/>
          <w:color w:val="2E74B5" w:themeColor="accent1" w:themeShade="BF"/>
          <w:lang w:eastAsia="ru-RU"/>
        </w:rPr>
        <w:t xml:space="preserve"> </w:t>
      </w:r>
    </w:p>
    <w:p w:rsidR="00331A24" w:rsidRPr="00CB5F81" w:rsidRDefault="007D6A86" w:rsidP="00D04386">
      <w:pPr>
        <w:pStyle w:val="ListParagraph"/>
        <w:numPr>
          <w:ilvl w:val="0"/>
          <w:numId w:val="14"/>
        </w:numPr>
        <w:tabs>
          <w:tab w:val="left" w:pos="540"/>
        </w:tabs>
        <w:spacing w:after="120"/>
        <w:ind w:left="450" w:hanging="180"/>
        <w:contextualSpacing w:val="0"/>
        <w:jc w:val="both"/>
        <w:rPr>
          <w:rFonts w:asciiTheme="majorHAnsi" w:hAnsiTheme="majorHAnsi" w:cstheme="majorHAnsi"/>
          <w:sz w:val="24"/>
          <w:szCs w:val="24"/>
          <w:lang w:val="ro-MD"/>
        </w:rPr>
      </w:pPr>
      <w:r w:rsidRPr="00CB5F81">
        <w:rPr>
          <w:rFonts w:asciiTheme="majorHAnsi" w:eastAsia="Times New Roman" w:hAnsiTheme="majorHAnsi" w:cstheme="majorHAnsi"/>
          <w:color w:val="2E74B5" w:themeColor="accent1" w:themeShade="BF"/>
          <w:sz w:val="24"/>
          <w:szCs w:val="24"/>
          <w:lang w:val="ro-MD"/>
        </w:rPr>
        <w:t>Prevederile</w:t>
      </w:r>
      <w:r w:rsidRPr="00CB5F81">
        <w:rPr>
          <w:rFonts w:asciiTheme="majorHAnsi" w:hAnsiTheme="majorHAnsi" w:cstheme="majorHAnsi"/>
          <w:color w:val="2E74B5" w:themeColor="accent1" w:themeShade="BF"/>
          <w:sz w:val="24"/>
          <w:szCs w:val="24"/>
          <w:lang w:val="ro-MD"/>
        </w:rPr>
        <w:t xml:space="preserve"> legale în baza cărora se acordă facilitatea fiscală sunt depășite </w:t>
      </w:r>
    </w:p>
    <w:p w:rsidR="00BB4657" w:rsidRPr="00CB5F81" w:rsidRDefault="00250E74" w:rsidP="00305A24">
      <w:pPr>
        <w:pStyle w:val="ListParagraph"/>
        <w:tabs>
          <w:tab w:val="left" w:pos="450"/>
        </w:tabs>
        <w:spacing w:after="120"/>
        <w:ind w:left="0"/>
        <w:contextualSpacing w:val="0"/>
        <w:jc w:val="both"/>
        <w:rPr>
          <w:rFonts w:asciiTheme="majorHAnsi" w:eastAsia="Times New Roman" w:hAnsiTheme="majorHAnsi" w:cstheme="majorHAnsi"/>
          <w:sz w:val="24"/>
          <w:szCs w:val="24"/>
          <w:lang w:val="ro-MD"/>
        </w:rPr>
      </w:pPr>
      <w:r w:rsidRPr="00C65E39">
        <w:rPr>
          <w:rFonts w:asciiTheme="majorHAnsi" w:hAnsiTheme="majorHAnsi" w:cstheme="majorHAnsi"/>
          <w:sz w:val="24"/>
          <w:szCs w:val="24"/>
          <w:lang w:val="ro-MD"/>
        </w:rPr>
        <w:t>A</w:t>
      </w:r>
      <w:r w:rsidR="009A6580" w:rsidRPr="00C65E39">
        <w:rPr>
          <w:rFonts w:asciiTheme="majorHAnsi" w:eastAsia="Times New Roman" w:hAnsiTheme="majorHAnsi" w:cstheme="majorHAnsi"/>
          <w:sz w:val="24"/>
          <w:szCs w:val="24"/>
          <w:lang w:val="ro-MD"/>
        </w:rPr>
        <w:t>rt.124</w:t>
      </w:r>
      <w:r w:rsidR="009A6580" w:rsidRPr="00CB5F81">
        <w:rPr>
          <w:rFonts w:asciiTheme="majorHAnsi" w:eastAsia="Times New Roman" w:hAnsiTheme="majorHAnsi" w:cstheme="majorHAnsi"/>
          <w:sz w:val="24"/>
          <w:szCs w:val="24"/>
          <w:lang w:val="ro-MD"/>
        </w:rPr>
        <w:t xml:space="preserve"> alin.(16) din Codul f</w:t>
      </w:r>
      <w:r w:rsidRPr="00CB5F81">
        <w:rPr>
          <w:rFonts w:asciiTheme="majorHAnsi" w:eastAsia="Times New Roman" w:hAnsiTheme="majorHAnsi" w:cstheme="majorHAnsi"/>
          <w:sz w:val="24"/>
          <w:szCs w:val="24"/>
          <w:lang w:val="ro-MD"/>
        </w:rPr>
        <w:t xml:space="preserve">iscal statuează că „alcoolul etilic nedenaturat de la poziția tarifară 220710000, destinat utilizării în industria de parfumerie și cosmetică, este scutit de plata accizelor în limita volumului stabilit de ministerul de ramură, coordonat cu Serviciul Fiscal de Stat și Serviciul Vamal, </w:t>
      </w:r>
      <w:r w:rsidRPr="00C65E39">
        <w:rPr>
          <w:rFonts w:asciiTheme="majorHAnsi" w:eastAsia="Times New Roman" w:hAnsiTheme="majorHAnsi" w:cstheme="majorHAnsi"/>
          <w:i/>
          <w:sz w:val="24"/>
          <w:szCs w:val="24"/>
          <w:lang w:val="ro-MD"/>
        </w:rPr>
        <w:t>în vederea realizării programului de activitate al industriei de parfumerie și cosmetică pe anul respectiv</w:t>
      </w:r>
      <w:r w:rsidRPr="00CB5F81">
        <w:rPr>
          <w:rFonts w:asciiTheme="majorHAnsi" w:eastAsia="Times New Roman" w:hAnsiTheme="majorHAnsi" w:cstheme="majorHAnsi"/>
          <w:sz w:val="24"/>
          <w:szCs w:val="24"/>
          <w:lang w:val="ro-MD"/>
        </w:rPr>
        <w:t>”.</w:t>
      </w:r>
      <w:r w:rsidR="00244651" w:rsidRPr="00CB5F81">
        <w:rPr>
          <w:rFonts w:asciiTheme="majorHAnsi" w:eastAsia="Times New Roman" w:hAnsiTheme="majorHAnsi" w:cstheme="majorHAnsi"/>
          <w:sz w:val="24"/>
          <w:szCs w:val="24"/>
          <w:lang w:val="ro-MD"/>
        </w:rPr>
        <w:t xml:space="preserve"> </w:t>
      </w:r>
      <w:r w:rsidR="00DD2E98">
        <w:rPr>
          <w:rFonts w:asciiTheme="majorHAnsi" w:eastAsia="Times New Roman" w:hAnsiTheme="majorHAnsi" w:cstheme="majorHAnsi"/>
          <w:sz w:val="24"/>
          <w:szCs w:val="24"/>
          <w:lang w:val="ro-MD"/>
        </w:rPr>
        <w:t>P</w:t>
      </w:r>
      <w:r w:rsidR="00F26DD0" w:rsidRPr="00CB5F81">
        <w:rPr>
          <w:rFonts w:asciiTheme="majorHAnsi" w:eastAsia="Times New Roman" w:hAnsiTheme="majorHAnsi" w:cstheme="majorHAnsi"/>
          <w:sz w:val="24"/>
          <w:szCs w:val="24"/>
          <w:lang w:val="ro-MD"/>
        </w:rPr>
        <w:t>ct.</w:t>
      </w:r>
      <w:r w:rsidR="00A36559" w:rsidRPr="00CB5F81">
        <w:rPr>
          <w:rFonts w:asciiTheme="majorHAnsi" w:eastAsia="Times New Roman" w:hAnsiTheme="majorHAnsi" w:cstheme="majorHAnsi"/>
          <w:sz w:val="24"/>
          <w:szCs w:val="24"/>
          <w:lang w:val="ro-MD"/>
        </w:rPr>
        <w:t xml:space="preserve">2 din </w:t>
      </w:r>
      <w:r w:rsidR="00A36559" w:rsidRPr="00CB5F81">
        <w:rPr>
          <w:rStyle w:val="Bodytext2Italic"/>
          <w:rFonts w:asciiTheme="majorHAnsi" w:eastAsiaTheme="minorHAnsi" w:hAnsiTheme="majorHAnsi" w:cstheme="majorHAnsi"/>
          <w:i w:val="0"/>
          <w:sz w:val="24"/>
          <w:szCs w:val="24"/>
          <w:lang w:val="ro-MD"/>
        </w:rPr>
        <w:t>Hotărârea Guvernului nr.1574/2002</w:t>
      </w:r>
      <w:r w:rsidR="00EC1EAF">
        <w:rPr>
          <w:rStyle w:val="Bodytext2Italic"/>
          <w:rFonts w:asciiTheme="majorHAnsi" w:eastAsiaTheme="minorHAnsi" w:hAnsiTheme="majorHAnsi" w:cstheme="majorHAnsi"/>
          <w:i w:val="0"/>
          <w:sz w:val="24"/>
          <w:szCs w:val="24"/>
          <w:lang w:val="ro-MD"/>
        </w:rPr>
        <w:t xml:space="preserve"> </w:t>
      </w:r>
      <w:r w:rsidR="00A36559" w:rsidRPr="00CB5F81">
        <w:rPr>
          <w:rStyle w:val="Bodytext2Italic"/>
          <w:rFonts w:asciiTheme="majorHAnsi" w:eastAsiaTheme="minorHAnsi" w:hAnsiTheme="majorHAnsi" w:cstheme="majorHAnsi"/>
          <w:i w:val="0"/>
          <w:sz w:val="24"/>
          <w:szCs w:val="24"/>
          <w:lang w:val="ro-MD"/>
        </w:rPr>
        <w:t xml:space="preserve">prevede că </w:t>
      </w:r>
      <w:r w:rsidR="00DD2E98">
        <w:rPr>
          <w:rStyle w:val="Bodytext2Italic"/>
          <w:rFonts w:asciiTheme="majorHAnsi" w:eastAsiaTheme="minorHAnsi" w:hAnsiTheme="majorHAnsi" w:cstheme="majorHAnsi"/>
          <w:i w:val="0"/>
          <w:sz w:val="24"/>
          <w:szCs w:val="24"/>
          <w:lang w:val="ro-MD"/>
        </w:rPr>
        <w:t>„</w:t>
      </w:r>
      <w:r w:rsidR="006C30D3" w:rsidRPr="00CB5F81">
        <w:rPr>
          <w:rFonts w:asciiTheme="majorHAnsi" w:hAnsiTheme="majorHAnsi" w:cstheme="majorHAnsi"/>
          <w:sz w:val="24"/>
          <w:szCs w:val="24"/>
          <w:lang w:val="ro-MD"/>
        </w:rPr>
        <w:t xml:space="preserve">Ministerul Agriculturii și Industriei Alimentare va întocmi anual, în funcție de necesitățile de producere, lista agenților economici și mărimea cotei respective de alcool etilic nedenaturat, destinat fabricării articolelor de parfumerie </w:t>
      </w:r>
      <w:r w:rsidR="005E06EB" w:rsidRPr="00CB5F81">
        <w:rPr>
          <w:rFonts w:asciiTheme="majorHAnsi" w:hAnsiTheme="majorHAnsi" w:cstheme="majorHAnsi"/>
          <w:sz w:val="24"/>
          <w:szCs w:val="24"/>
          <w:lang w:val="ro-MD"/>
        </w:rPr>
        <w:t>și</w:t>
      </w:r>
      <w:r w:rsidR="006C30D3" w:rsidRPr="00CB5F81">
        <w:rPr>
          <w:rFonts w:asciiTheme="majorHAnsi" w:hAnsiTheme="majorHAnsi" w:cstheme="majorHAnsi"/>
          <w:sz w:val="24"/>
          <w:szCs w:val="24"/>
          <w:lang w:val="ro-MD"/>
        </w:rPr>
        <w:t xml:space="preserve"> cosmetică</w:t>
      </w:r>
      <w:r w:rsidR="005E06EB" w:rsidRPr="00CB5F81">
        <w:rPr>
          <w:rFonts w:asciiTheme="majorHAnsi" w:hAnsiTheme="majorHAnsi" w:cstheme="majorHAnsi"/>
          <w:sz w:val="24"/>
          <w:szCs w:val="24"/>
          <w:lang w:val="ro-MD"/>
        </w:rPr>
        <w:t>”</w:t>
      </w:r>
      <w:r w:rsidR="006C30D3" w:rsidRPr="00CB5F81">
        <w:rPr>
          <w:rFonts w:asciiTheme="majorHAnsi" w:hAnsiTheme="majorHAnsi" w:cstheme="majorHAnsi"/>
          <w:sz w:val="24"/>
          <w:szCs w:val="24"/>
          <w:lang w:val="ro-MD"/>
        </w:rPr>
        <w:t>.</w:t>
      </w:r>
    </w:p>
    <w:p w:rsidR="00CA7C36" w:rsidRPr="00CB5F81" w:rsidRDefault="00D168BD" w:rsidP="007D6A86">
      <w:pPr>
        <w:pStyle w:val="ListParagraph"/>
        <w:tabs>
          <w:tab w:val="left" w:pos="360"/>
        </w:tabs>
        <w:spacing w:after="120"/>
        <w:ind w:left="0"/>
        <w:contextualSpacing w:val="0"/>
        <w:jc w:val="both"/>
        <w:rPr>
          <w:rFonts w:asciiTheme="majorHAnsi" w:eastAsia="Times New Roman" w:hAnsiTheme="majorHAnsi" w:cstheme="majorHAnsi"/>
          <w:sz w:val="24"/>
          <w:szCs w:val="24"/>
          <w:lang w:val="ro-MD"/>
        </w:rPr>
      </w:pPr>
      <w:r w:rsidRPr="00CB5F81">
        <w:rPr>
          <w:rFonts w:asciiTheme="majorHAnsi" w:eastAsia="Times New Roman" w:hAnsiTheme="majorHAnsi" w:cstheme="majorHAnsi"/>
          <w:sz w:val="24"/>
          <w:szCs w:val="24"/>
          <w:lang w:val="ro-MD"/>
        </w:rPr>
        <w:lastRenderedPageBreak/>
        <w:t xml:space="preserve">Verificările </w:t>
      </w:r>
      <w:r w:rsidR="00DD2E98">
        <w:rPr>
          <w:rFonts w:asciiTheme="majorHAnsi" w:eastAsia="Times New Roman" w:hAnsiTheme="majorHAnsi" w:cstheme="majorHAnsi"/>
          <w:sz w:val="24"/>
          <w:szCs w:val="24"/>
          <w:lang w:val="ro-MD"/>
        </w:rPr>
        <w:t xml:space="preserve">efectuate </w:t>
      </w:r>
      <w:r w:rsidRPr="00CB5F81">
        <w:rPr>
          <w:rFonts w:asciiTheme="majorHAnsi" w:eastAsia="Times New Roman" w:hAnsiTheme="majorHAnsi" w:cstheme="majorHAnsi"/>
          <w:sz w:val="24"/>
          <w:szCs w:val="24"/>
          <w:lang w:val="ro-MD"/>
        </w:rPr>
        <w:t>de audit au rel</w:t>
      </w:r>
      <w:r w:rsidR="00BC470F">
        <w:rPr>
          <w:rFonts w:asciiTheme="majorHAnsi" w:eastAsia="Times New Roman" w:hAnsiTheme="majorHAnsi" w:cstheme="majorHAnsi"/>
          <w:sz w:val="24"/>
          <w:szCs w:val="24"/>
          <w:lang w:val="ro-MD"/>
        </w:rPr>
        <w:t>ev</w:t>
      </w:r>
      <w:r w:rsidRPr="00CB5F81">
        <w:rPr>
          <w:rFonts w:asciiTheme="majorHAnsi" w:eastAsia="Times New Roman" w:hAnsiTheme="majorHAnsi" w:cstheme="majorHAnsi"/>
          <w:sz w:val="24"/>
          <w:szCs w:val="24"/>
          <w:lang w:val="ro-MD"/>
        </w:rPr>
        <w:t>at</w:t>
      </w:r>
      <w:r w:rsidR="00EC1EAF">
        <w:rPr>
          <w:rFonts w:asciiTheme="majorHAnsi" w:eastAsia="Times New Roman" w:hAnsiTheme="majorHAnsi" w:cstheme="majorHAnsi"/>
          <w:sz w:val="24"/>
          <w:szCs w:val="24"/>
          <w:lang w:val="ro-MD"/>
        </w:rPr>
        <w:t xml:space="preserve"> </w:t>
      </w:r>
      <w:r w:rsidRPr="00CB5F81">
        <w:rPr>
          <w:rFonts w:asciiTheme="majorHAnsi" w:eastAsia="Times New Roman" w:hAnsiTheme="majorHAnsi" w:cstheme="majorHAnsi"/>
          <w:sz w:val="24"/>
          <w:szCs w:val="24"/>
          <w:lang w:val="ro-MD"/>
        </w:rPr>
        <w:t>că a</w:t>
      </w:r>
      <w:r w:rsidR="00A30F3B" w:rsidRPr="00CB5F81">
        <w:rPr>
          <w:rFonts w:asciiTheme="majorHAnsi" w:eastAsia="Times New Roman" w:hAnsiTheme="majorHAnsi" w:cstheme="majorHAnsi"/>
          <w:sz w:val="24"/>
          <w:szCs w:val="24"/>
          <w:lang w:val="ro-MD"/>
        </w:rPr>
        <w:t xml:space="preserve">ceastă facilitate </w:t>
      </w:r>
      <w:r w:rsidR="00750F56" w:rsidRPr="00CB5F81">
        <w:rPr>
          <w:rFonts w:asciiTheme="majorHAnsi" w:eastAsia="Times New Roman" w:hAnsiTheme="majorHAnsi" w:cstheme="majorHAnsi"/>
          <w:sz w:val="24"/>
          <w:szCs w:val="24"/>
          <w:lang w:val="ro-MD"/>
        </w:rPr>
        <w:t xml:space="preserve">a </w:t>
      </w:r>
      <w:r w:rsidR="006E3F25" w:rsidRPr="00CB5F81">
        <w:rPr>
          <w:rFonts w:asciiTheme="majorHAnsi" w:eastAsia="Times New Roman" w:hAnsiTheme="majorHAnsi" w:cstheme="majorHAnsi"/>
          <w:sz w:val="24"/>
          <w:szCs w:val="24"/>
          <w:lang w:val="ro-MD"/>
        </w:rPr>
        <w:t xml:space="preserve">fost </w:t>
      </w:r>
      <w:r w:rsidR="00750F56" w:rsidRPr="00CB5F81">
        <w:rPr>
          <w:rFonts w:asciiTheme="majorHAnsi" w:eastAsia="Times New Roman" w:hAnsiTheme="majorHAnsi" w:cstheme="majorHAnsi"/>
          <w:sz w:val="24"/>
          <w:szCs w:val="24"/>
          <w:lang w:val="ro-MD"/>
        </w:rPr>
        <w:t>instituită în</w:t>
      </w:r>
      <w:r w:rsidR="003E5D70" w:rsidRPr="00CB5F81">
        <w:rPr>
          <w:rFonts w:asciiTheme="majorHAnsi" w:eastAsia="Times New Roman" w:hAnsiTheme="majorHAnsi" w:cstheme="majorHAnsi"/>
          <w:sz w:val="24"/>
          <w:szCs w:val="24"/>
          <w:lang w:val="ro-MD"/>
        </w:rPr>
        <w:t xml:space="preserve">că în </w:t>
      </w:r>
      <w:r w:rsidR="00A30F3B" w:rsidRPr="00CB5F81">
        <w:rPr>
          <w:rFonts w:asciiTheme="majorHAnsi" w:eastAsia="Times New Roman" w:hAnsiTheme="majorHAnsi" w:cstheme="majorHAnsi"/>
          <w:sz w:val="24"/>
          <w:szCs w:val="24"/>
          <w:lang w:val="ro-MD"/>
        </w:rPr>
        <w:t>anul 2002,</w:t>
      </w:r>
      <w:r w:rsidR="003E5D70" w:rsidRPr="00CB5F81">
        <w:rPr>
          <w:rFonts w:asciiTheme="majorHAnsi" w:eastAsia="Times New Roman" w:hAnsiTheme="majorHAnsi" w:cstheme="majorHAnsi"/>
          <w:sz w:val="24"/>
          <w:szCs w:val="24"/>
          <w:lang w:val="ro-MD"/>
        </w:rPr>
        <w:t xml:space="preserve"> </w:t>
      </w:r>
      <w:r w:rsidR="00BB4657" w:rsidRPr="00CB5F81">
        <w:rPr>
          <w:rFonts w:asciiTheme="majorHAnsi" w:eastAsia="Times New Roman" w:hAnsiTheme="majorHAnsi" w:cstheme="majorHAnsi"/>
          <w:sz w:val="24"/>
          <w:szCs w:val="24"/>
          <w:lang w:val="ro-MD"/>
        </w:rPr>
        <w:t>în temeiul</w:t>
      </w:r>
      <w:r w:rsidR="00EC1EAF">
        <w:rPr>
          <w:rFonts w:asciiTheme="majorHAnsi" w:eastAsia="Times New Roman" w:hAnsiTheme="majorHAnsi" w:cstheme="majorHAnsi"/>
          <w:sz w:val="24"/>
          <w:szCs w:val="24"/>
          <w:lang w:val="ro-MD"/>
        </w:rPr>
        <w:t xml:space="preserve"> </w:t>
      </w:r>
      <w:r w:rsidR="003E5D70" w:rsidRPr="00CB5F81">
        <w:rPr>
          <w:rFonts w:asciiTheme="majorHAnsi" w:eastAsia="Times New Roman" w:hAnsiTheme="majorHAnsi" w:cstheme="majorHAnsi"/>
          <w:sz w:val="24"/>
          <w:szCs w:val="24"/>
          <w:lang w:val="ro-MD"/>
        </w:rPr>
        <w:t>Leg</w:t>
      </w:r>
      <w:r w:rsidR="00A3449A" w:rsidRPr="00CB5F81">
        <w:rPr>
          <w:rFonts w:asciiTheme="majorHAnsi" w:eastAsia="Times New Roman" w:hAnsiTheme="majorHAnsi" w:cstheme="majorHAnsi"/>
          <w:sz w:val="24"/>
          <w:szCs w:val="24"/>
          <w:lang w:val="ro-MD"/>
        </w:rPr>
        <w:t>ii</w:t>
      </w:r>
      <w:r w:rsidR="003E5D70" w:rsidRPr="00CB5F81">
        <w:rPr>
          <w:rFonts w:asciiTheme="majorHAnsi" w:eastAsia="Times New Roman" w:hAnsiTheme="majorHAnsi" w:cstheme="majorHAnsi"/>
          <w:sz w:val="24"/>
          <w:szCs w:val="24"/>
          <w:lang w:val="ro-MD"/>
        </w:rPr>
        <w:t xml:space="preserve"> nr.1128-XV din 14 iunie 2002</w:t>
      </w:r>
      <w:r w:rsidR="003E5D70" w:rsidRPr="00CB5F81">
        <w:rPr>
          <w:rStyle w:val="FootnoteReference"/>
          <w:rFonts w:asciiTheme="majorHAnsi" w:eastAsia="Times New Roman" w:hAnsiTheme="majorHAnsi" w:cstheme="majorHAnsi"/>
          <w:sz w:val="24"/>
          <w:szCs w:val="24"/>
          <w:lang w:val="ro-MD"/>
        </w:rPr>
        <w:footnoteReference w:id="41"/>
      </w:r>
      <w:r w:rsidR="00BB4657" w:rsidRPr="00CB5F81">
        <w:rPr>
          <w:rFonts w:asciiTheme="majorHAnsi" w:eastAsia="Times New Roman" w:hAnsiTheme="majorHAnsi" w:cstheme="majorHAnsi"/>
          <w:sz w:val="24"/>
          <w:szCs w:val="24"/>
          <w:lang w:val="ro-MD"/>
        </w:rPr>
        <w:t xml:space="preserve">, </w:t>
      </w:r>
      <w:r w:rsidR="00F65344" w:rsidRPr="00CB5F81">
        <w:rPr>
          <w:rFonts w:asciiTheme="majorHAnsi" w:eastAsia="Times New Roman" w:hAnsiTheme="majorHAnsi" w:cstheme="majorHAnsi"/>
          <w:sz w:val="24"/>
          <w:szCs w:val="24"/>
          <w:lang w:val="ro-MD"/>
        </w:rPr>
        <w:t>sau</w:t>
      </w:r>
      <w:r w:rsidR="00EC1EAF">
        <w:rPr>
          <w:rFonts w:asciiTheme="majorHAnsi" w:eastAsia="Times New Roman" w:hAnsiTheme="majorHAnsi" w:cstheme="majorHAnsi"/>
          <w:sz w:val="24"/>
          <w:szCs w:val="24"/>
          <w:lang w:val="ro-MD"/>
        </w:rPr>
        <w:t xml:space="preserve"> </w:t>
      </w:r>
      <w:r w:rsidR="00BC470F">
        <w:rPr>
          <w:rFonts w:asciiTheme="majorHAnsi" w:eastAsia="Times New Roman" w:hAnsiTheme="majorHAnsi" w:cstheme="majorHAnsi"/>
          <w:sz w:val="24"/>
          <w:szCs w:val="24"/>
          <w:lang w:val="ro-MD"/>
        </w:rPr>
        <w:t xml:space="preserve">s-a </w:t>
      </w:r>
      <w:r w:rsidR="00BB4657" w:rsidRPr="00CB5F81">
        <w:rPr>
          <w:rFonts w:asciiTheme="majorHAnsi" w:eastAsia="Times New Roman" w:hAnsiTheme="majorHAnsi" w:cstheme="majorHAnsi"/>
          <w:sz w:val="24"/>
          <w:szCs w:val="24"/>
          <w:lang w:val="ro-MD"/>
        </w:rPr>
        <w:t xml:space="preserve">aplicat </w:t>
      </w:r>
      <w:r w:rsidR="00F674DB" w:rsidRPr="00CB5F81">
        <w:rPr>
          <w:rFonts w:asciiTheme="majorHAnsi" w:eastAsia="Times New Roman" w:hAnsiTheme="majorHAnsi" w:cstheme="majorHAnsi"/>
          <w:sz w:val="24"/>
          <w:szCs w:val="24"/>
          <w:lang w:val="ro-MD"/>
        </w:rPr>
        <w:t>pe parcursul a douăzeci de ani</w:t>
      </w:r>
      <w:r w:rsidR="00F65344" w:rsidRPr="00CB5F81">
        <w:rPr>
          <w:rFonts w:asciiTheme="majorHAnsi" w:eastAsia="Times New Roman" w:hAnsiTheme="majorHAnsi" w:cstheme="majorHAnsi"/>
          <w:sz w:val="24"/>
          <w:szCs w:val="24"/>
          <w:lang w:val="ro-MD"/>
        </w:rPr>
        <w:t xml:space="preserve"> în lipsa unui document de politici/strategi</w:t>
      </w:r>
      <w:r w:rsidR="00BC470F">
        <w:rPr>
          <w:rFonts w:asciiTheme="majorHAnsi" w:eastAsia="Times New Roman" w:hAnsiTheme="majorHAnsi" w:cstheme="majorHAnsi"/>
          <w:sz w:val="24"/>
          <w:szCs w:val="24"/>
          <w:lang w:val="ro-MD"/>
        </w:rPr>
        <w:t>i</w:t>
      </w:r>
      <w:r w:rsidR="00F65344" w:rsidRPr="00CB5F81">
        <w:rPr>
          <w:rFonts w:asciiTheme="majorHAnsi" w:eastAsia="Times New Roman" w:hAnsiTheme="majorHAnsi" w:cstheme="majorHAnsi"/>
          <w:sz w:val="24"/>
          <w:szCs w:val="24"/>
          <w:lang w:val="ro-MD"/>
        </w:rPr>
        <w:t xml:space="preserve"> care să prevadă dezvoltarea industriei de parfumerie și cosmetică din țară și impactul</w:t>
      </w:r>
      <w:r w:rsidR="00A032C4" w:rsidRPr="00CB5F81">
        <w:rPr>
          <w:rFonts w:asciiTheme="majorHAnsi" w:eastAsia="Times New Roman" w:hAnsiTheme="majorHAnsi" w:cstheme="majorHAnsi"/>
          <w:sz w:val="24"/>
          <w:szCs w:val="24"/>
          <w:lang w:val="ro-MD"/>
        </w:rPr>
        <w:t xml:space="preserve"> facilității asupra procesului de reproducție în ramura respectivă, inclusiv </w:t>
      </w:r>
      <w:r w:rsidR="00ED6488" w:rsidRPr="00CB5F81">
        <w:rPr>
          <w:rFonts w:asciiTheme="majorHAnsi" w:eastAsia="Times New Roman" w:hAnsiTheme="majorHAnsi" w:cstheme="majorHAnsi"/>
          <w:sz w:val="24"/>
          <w:szCs w:val="24"/>
          <w:lang w:val="ro-MD"/>
        </w:rPr>
        <w:t>n</w:t>
      </w:r>
      <w:r w:rsidR="00BC470F">
        <w:rPr>
          <w:rFonts w:asciiTheme="majorHAnsi" w:eastAsia="Times New Roman" w:hAnsiTheme="majorHAnsi" w:cstheme="majorHAnsi"/>
          <w:sz w:val="24"/>
          <w:szCs w:val="24"/>
          <w:lang w:val="ro-MD"/>
        </w:rPr>
        <w:t>-a fost</w:t>
      </w:r>
      <w:r w:rsidR="00EC1EAF">
        <w:rPr>
          <w:rFonts w:asciiTheme="majorHAnsi" w:eastAsia="Times New Roman" w:hAnsiTheme="majorHAnsi" w:cstheme="majorHAnsi"/>
          <w:sz w:val="24"/>
          <w:szCs w:val="24"/>
          <w:lang w:val="ro-MD"/>
        </w:rPr>
        <w:t xml:space="preserve"> </w:t>
      </w:r>
      <w:r w:rsidR="00ED6488" w:rsidRPr="00CB5F81">
        <w:rPr>
          <w:rFonts w:asciiTheme="majorHAnsi" w:eastAsia="Times New Roman" w:hAnsiTheme="majorHAnsi" w:cstheme="majorHAnsi"/>
          <w:sz w:val="24"/>
          <w:szCs w:val="24"/>
          <w:lang w:val="ro-MD"/>
        </w:rPr>
        <w:t>evaluată concordanța</w:t>
      </w:r>
      <w:r w:rsidR="00A032C4" w:rsidRPr="00CB5F81">
        <w:rPr>
          <w:rFonts w:asciiTheme="majorHAnsi" w:eastAsia="Times New Roman" w:hAnsiTheme="majorHAnsi" w:cstheme="majorHAnsi"/>
          <w:sz w:val="24"/>
          <w:szCs w:val="24"/>
          <w:lang w:val="ro-MD"/>
        </w:rPr>
        <w:t xml:space="preserve"> facilității cu politica economică a statului.</w:t>
      </w:r>
      <w:r w:rsidR="001245AC" w:rsidRPr="00CB5F81">
        <w:rPr>
          <w:rFonts w:asciiTheme="majorHAnsi" w:eastAsia="Times New Roman" w:hAnsiTheme="majorHAnsi" w:cstheme="majorHAnsi"/>
          <w:sz w:val="24"/>
          <w:szCs w:val="24"/>
          <w:lang w:val="ro-MD"/>
        </w:rPr>
        <w:t xml:space="preserve"> Or, în condițiile actuale</w:t>
      </w:r>
      <w:r w:rsidR="00BC470F">
        <w:rPr>
          <w:rFonts w:asciiTheme="majorHAnsi" w:eastAsia="Times New Roman" w:hAnsiTheme="majorHAnsi" w:cstheme="majorHAnsi"/>
          <w:sz w:val="24"/>
          <w:szCs w:val="24"/>
          <w:lang w:val="ro-MD"/>
        </w:rPr>
        <w:t>,</w:t>
      </w:r>
      <w:r w:rsidR="00EC1EAF">
        <w:rPr>
          <w:rFonts w:asciiTheme="majorHAnsi" w:eastAsia="Times New Roman" w:hAnsiTheme="majorHAnsi" w:cstheme="majorHAnsi"/>
          <w:sz w:val="24"/>
          <w:szCs w:val="24"/>
          <w:lang w:val="ro-MD"/>
        </w:rPr>
        <w:t xml:space="preserve"> </w:t>
      </w:r>
      <w:r w:rsidR="001245AC" w:rsidRPr="00CB5F81">
        <w:rPr>
          <w:rFonts w:asciiTheme="majorHAnsi" w:eastAsia="Times New Roman" w:hAnsiTheme="majorHAnsi" w:cstheme="majorHAnsi"/>
          <w:sz w:val="24"/>
          <w:szCs w:val="24"/>
          <w:lang w:val="ro-MD"/>
        </w:rPr>
        <w:t>dezvoltarea sectorială a unei ramuri nu poate fi acoperită</w:t>
      </w:r>
      <w:r w:rsidR="00EC1EAF">
        <w:rPr>
          <w:rFonts w:asciiTheme="majorHAnsi" w:eastAsia="Times New Roman" w:hAnsiTheme="majorHAnsi" w:cstheme="majorHAnsi"/>
          <w:sz w:val="24"/>
          <w:szCs w:val="24"/>
          <w:lang w:val="ro-MD"/>
        </w:rPr>
        <w:t xml:space="preserve"> </w:t>
      </w:r>
      <w:r w:rsidR="001245AC" w:rsidRPr="00CB5F81">
        <w:rPr>
          <w:rFonts w:asciiTheme="majorHAnsi" w:eastAsia="Times New Roman" w:hAnsiTheme="majorHAnsi" w:cstheme="majorHAnsi"/>
          <w:sz w:val="24"/>
          <w:szCs w:val="24"/>
          <w:lang w:val="ro-MD"/>
        </w:rPr>
        <w:t xml:space="preserve">de un </w:t>
      </w:r>
      <w:r w:rsidR="00767B95" w:rsidRPr="00CB5F81">
        <w:rPr>
          <w:rFonts w:asciiTheme="majorHAnsi" w:eastAsia="Times New Roman" w:hAnsiTheme="majorHAnsi" w:cstheme="majorHAnsi"/>
          <w:sz w:val="24"/>
          <w:szCs w:val="24"/>
          <w:lang w:val="ro-MD"/>
        </w:rPr>
        <w:t>Program</w:t>
      </w:r>
      <w:r w:rsidR="001245AC" w:rsidRPr="00CB5F81">
        <w:rPr>
          <w:rFonts w:asciiTheme="majorHAnsi" w:eastAsia="Times New Roman" w:hAnsiTheme="majorHAnsi" w:cstheme="majorHAnsi"/>
          <w:sz w:val="24"/>
          <w:szCs w:val="24"/>
          <w:lang w:val="ro-MD"/>
        </w:rPr>
        <w:t xml:space="preserve"> </w:t>
      </w:r>
      <w:r w:rsidR="00767B95" w:rsidRPr="00CB5F81">
        <w:rPr>
          <w:rFonts w:asciiTheme="majorHAnsi" w:eastAsia="Times New Roman" w:hAnsiTheme="majorHAnsi" w:cstheme="majorHAnsi"/>
          <w:sz w:val="24"/>
          <w:szCs w:val="24"/>
          <w:lang w:val="ro-MD"/>
        </w:rPr>
        <w:t xml:space="preserve">de activitate al industriei de parfumerie și cosmetică, </w:t>
      </w:r>
      <w:r w:rsidR="00BC470F">
        <w:rPr>
          <w:rFonts w:asciiTheme="majorHAnsi" w:eastAsia="Times New Roman" w:hAnsiTheme="majorHAnsi" w:cstheme="majorHAnsi"/>
          <w:sz w:val="24"/>
          <w:szCs w:val="24"/>
          <w:lang w:val="ro-MD"/>
        </w:rPr>
        <w:t>aceasta fiind</w:t>
      </w:r>
      <w:r w:rsidR="001245AC" w:rsidRPr="00CB5F81">
        <w:rPr>
          <w:rFonts w:asciiTheme="majorHAnsi" w:eastAsia="Times New Roman" w:hAnsiTheme="majorHAnsi" w:cstheme="majorHAnsi"/>
          <w:sz w:val="24"/>
          <w:szCs w:val="24"/>
          <w:lang w:val="ro-MD"/>
        </w:rPr>
        <w:t xml:space="preserve"> o abordare depășită în timp. </w:t>
      </w:r>
      <w:r w:rsidR="00BC470F">
        <w:rPr>
          <w:rFonts w:asciiTheme="majorHAnsi" w:eastAsia="Times New Roman" w:hAnsiTheme="majorHAnsi" w:cstheme="majorHAnsi"/>
          <w:sz w:val="24"/>
          <w:szCs w:val="24"/>
          <w:lang w:val="ro-MD"/>
        </w:rPr>
        <w:t>D</w:t>
      </w:r>
      <w:r w:rsidR="001245AC" w:rsidRPr="00CB5F81">
        <w:rPr>
          <w:rFonts w:asciiTheme="majorHAnsi" w:eastAsia="Times New Roman" w:hAnsiTheme="majorHAnsi" w:cstheme="majorHAnsi"/>
          <w:sz w:val="24"/>
          <w:szCs w:val="24"/>
          <w:lang w:val="ro-MD"/>
        </w:rPr>
        <w:t>ocument</w:t>
      </w:r>
      <w:r w:rsidR="00BC470F">
        <w:rPr>
          <w:rFonts w:asciiTheme="majorHAnsi" w:eastAsia="Times New Roman" w:hAnsiTheme="majorHAnsi" w:cstheme="majorHAnsi"/>
          <w:sz w:val="24"/>
          <w:szCs w:val="24"/>
          <w:lang w:val="ro-MD"/>
        </w:rPr>
        <w:t xml:space="preserve">ul dat </w:t>
      </w:r>
      <w:r w:rsidR="00CA7C36" w:rsidRPr="00CB5F81">
        <w:rPr>
          <w:rStyle w:val="Bodytext20"/>
          <w:rFonts w:asciiTheme="majorHAnsi" w:eastAsiaTheme="minorHAnsi" w:hAnsiTheme="majorHAnsi" w:cstheme="majorHAnsi"/>
          <w:color w:val="auto"/>
          <w:sz w:val="24"/>
          <w:szCs w:val="24"/>
          <w:lang w:val="ro-MD"/>
        </w:rPr>
        <w:t xml:space="preserve"> </w:t>
      </w:r>
      <w:r w:rsidR="00331A24" w:rsidRPr="00CB5F81">
        <w:rPr>
          <w:rStyle w:val="Bodytext20"/>
          <w:rFonts w:asciiTheme="majorHAnsi" w:eastAsiaTheme="minorHAnsi" w:hAnsiTheme="majorHAnsi" w:cstheme="majorHAnsi"/>
          <w:color w:val="auto"/>
          <w:sz w:val="24"/>
          <w:szCs w:val="24"/>
          <w:lang w:val="ro-MD"/>
        </w:rPr>
        <w:t xml:space="preserve">nici </w:t>
      </w:r>
      <w:r w:rsidR="00CA7C36" w:rsidRPr="00CB5F81">
        <w:rPr>
          <w:rStyle w:val="Bodytext20"/>
          <w:rFonts w:asciiTheme="majorHAnsi" w:eastAsiaTheme="minorHAnsi" w:hAnsiTheme="majorHAnsi" w:cstheme="majorHAnsi"/>
          <w:color w:val="auto"/>
          <w:sz w:val="24"/>
          <w:szCs w:val="24"/>
          <w:lang w:val="ro-MD"/>
        </w:rPr>
        <w:t xml:space="preserve">nu </w:t>
      </w:r>
      <w:r w:rsidR="00331A24" w:rsidRPr="00CB5F81">
        <w:rPr>
          <w:rStyle w:val="Bodytext20"/>
          <w:rFonts w:asciiTheme="majorHAnsi" w:eastAsiaTheme="minorHAnsi" w:hAnsiTheme="majorHAnsi" w:cstheme="majorHAnsi"/>
          <w:color w:val="auto"/>
          <w:sz w:val="24"/>
          <w:szCs w:val="24"/>
          <w:lang w:val="ro-MD"/>
        </w:rPr>
        <w:t>a</w:t>
      </w:r>
      <w:r w:rsidR="00EC1EAF">
        <w:rPr>
          <w:rStyle w:val="Bodytext20"/>
          <w:rFonts w:asciiTheme="majorHAnsi" w:eastAsiaTheme="minorHAnsi" w:hAnsiTheme="majorHAnsi" w:cstheme="majorHAnsi"/>
          <w:color w:val="auto"/>
          <w:sz w:val="24"/>
          <w:szCs w:val="24"/>
          <w:lang w:val="ro-MD"/>
        </w:rPr>
        <w:t xml:space="preserve"> </w:t>
      </w:r>
      <w:r w:rsidR="001245AC" w:rsidRPr="00CB5F81">
        <w:rPr>
          <w:rStyle w:val="Bodytext20"/>
          <w:rFonts w:asciiTheme="majorHAnsi" w:eastAsiaTheme="minorHAnsi" w:hAnsiTheme="majorHAnsi" w:cstheme="majorHAnsi"/>
          <w:color w:val="auto"/>
          <w:sz w:val="24"/>
          <w:szCs w:val="24"/>
          <w:lang w:val="ro-MD"/>
        </w:rPr>
        <w:t>existat</w:t>
      </w:r>
      <w:r w:rsidR="00BC470F">
        <w:rPr>
          <w:rStyle w:val="Bodytext20"/>
          <w:rFonts w:asciiTheme="majorHAnsi" w:eastAsiaTheme="minorHAnsi" w:hAnsiTheme="majorHAnsi" w:cstheme="majorHAnsi"/>
          <w:color w:val="auto"/>
          <w:sz w:val="24"/>
          <w:szCs w:val="24"/>
          <w:lang w:val="ro-MD"/>
        </w:rPr>
        <w:t>,</w:t>
      </w:r>
      <w:r w:rsidR="001245AC" w:rsidRPr="00CB5F81">
        <w:rPr>
          <w:rStyle w:val="Bodytext20"/>
          <w:rFonts w:asciiTheme="majorHAnsi" w:eastAsiaTheme="minorHAnsi" w:hAnsiTheme="majorHAnsi" w:cstheme="majorHAnsi"/>
          <w:color w:val="auto"/>
          <w:sz w:val="24"/>
          <w:szCs w:val="24"/>
          <w:lang w:val="ro-MD"/>
        </w:rPr>
        <w:t xml:space="preserve"> pentru a sta la baza</w:t>
      </w:r>
      <w:r w:rsidR="00EC1EAF">
        <w:rPr>
          <w:rStyle w:val="Bodytext20"/>
          <w:rFonts w:asciiTheme="majorHAnsi" w:eastAsiaTheme="minorHAnsi" w:hAnsiTheme="majorHAnsi" w:cstheme="majorHAnsi"/>
          <w:color w:val="auto"/>
          <w:sz w:val="24"/>
          <w:szCs w:val="24"/>
          <w:lang w:val="ro-MD"/>
        </w:rPr>
        <w:t xml:space="preserve"> </w:t>
      </w:r>
      <w:r w:rsidR="001245AC" w:rsidRPr="00CB5F81">
        <w:rPr>
          <w:rStyle w:val="Bodytext20"/>
          <w:rFonts w:asciiTheme="majorHAnsi" w:eastAsiaTheme="minorHAnsi" w:hAnsiTheme="majorHAnsi" w:cstheme="majorHAnsi"/>
          <w:color w:val="auto"/>
          <w:sz w:val="24"/>
          <w:szCs w:val="24"/>
          <w:lang w:val="ro-MD"/>
        </w:rPr>
        <w:t>acordării justificate a acestei facilități, inclusiv</w:t>
      </w:r>
      <w:r w:rsidR="00EC1EAF">
        <w:rPr>
          <w:rStyle w:val="Bodytext20"/>
          <w:rFonts w:asciiTheme="majorHAnsi" w:eastAsiaTheme="minorHAnsi" w:hAnsiTheme="majorHAnsi" w:cstheme="majorHAnsi"/>
          <w:color w:val="auto"/>
          <w:sz w:val="24"/>
          <w:szCs w:val="24"/>
          <w:lang w:val="ro-MD"/>
        </w:rPr>
        <w:t xml:space="preserve"> </w:t>
      </w:r>
      <w:r w:rsidR="009A6580" w:rsidRPr="00CB5F81">
        <w:rPr>
          <w:rStyle w:val="Bodytext20"/>
          <w:rFonts w:asciiTheme="majorHAnsi" w:eastAsiaTheme="minorHAnsi" w:hAnsiTheme="majorHAnsi" w:cstheme="majorHAnsi"/>
          <w:color w:val="auto"/>
          <w:sz w:val="24"/>
          <w:szCs w:val="24"/>
          <w:lang w:val="ro-MD"/>
        </w:rPr>
        <w:t xml:space="preserve">pentru </w:t>
      </w:r>
      <w:r w:rsidR="00331A24" w:rsidRPr="00CB5F81">
        <w:rPr>
          <w:rStyle w:val="Bodytext20"/>
          <w:rFonts w:asciiTheme="majorHAnsi" w:eastAsiaTheme="minorHAnsi" w:hAnsiTheme="majorHAnsi" w:cstheme="majorHAnsi"/>
          <w:color w:val="auto"/>
          <w:sz w:val="24"/>
          <w:szCs w:val="24"/>
          <w:lang w:val="ro-MD"/>
        </w:rPr>
        <w:t xml:space="preserve">anii 2020 </w:t>
      </w:r>
      <w:r w:rsidR="007D6A86" w:rsidRPr="00CB5F81">
        <w:rPr>
          <w:rStyle w:val="Bodytext20"/>
          <w:rFonts w:asciiTheme="majorHAnsi" w:eastAsiaTheme="minorHAnsi" w:hAnsiTheme="majorHAnsi" w:cstheme="majorHAnsi"/>
          <w:color w:val="auto"/>
          <w:sz w:val="24"/>
          <w:szCs w:val="24"/>
          <w:lang w:val="ro-MD"/>
        </w:rPr>
        <w:t>și</w:t>
      </w:r>
      <w:r w:rsidR="00331A24" w:rsidRPr="00CB5F81">
        <w:rPr>
          <w:rStyle w:val="Bodytext20"/>
          <w:rFonts w:asciiTheme="majorHAnsi" w:eastAsiaTheme="minorHAnsi" w:hAnsiTheme="majorHAnsi" w:cstheme="majorHAnsi"/>
          <w:color w:val="auto"/>
          <w:sz w:val="24"/>
          <w:szCs w:val="24"/>
          <w:lang w:val="ro-MD"/>
        </w:rPr>
        <w:t xml:space="preserve"> 2021</w:t>
      </w:r>
      <w:r w:rsidR="007D6A86" w:rsidRPr="00CB5F81">
        <w:rPr>
          <w:rStyle w:val="Bodytext20"/>
          <w:rFonts w:asciiTheme="majorHAnsi" w:eastAsiaTheme="minorHAnsi" w:hAnsiTheme="majorHAnsi" w:cstheme="majorHAnsi"/>
          <w:color w:val="auto"/>
          <w:sz w:val="24"/>
          <w:szCs w:val="24"/>
          <w:lang w:val="ro-MD"/>
        </w:rPr>
        <w:t xml:space="preserve">. </w:t>
      </w:r>
    </w:p>
    <w:p w:rsidR="00891D83" w:rsidRPr="00CB5F81" w:rsidRDefault="006D0C33" w:rsidP="00217B0E">
      <w:pPr>
        <w:pStyle w:val="ListParagraph"/>
        <w:tabs>
          <w:tab w:val="left" w:pos="0"/>
        </w:tabs>
        <w:ind w:left="0"/>
        <w:jc w:val="both"/>
        <w:rPr>
          <w:rFonts w:asciiTheme="majorHAnsi" w:eastAsia="Times New Roman" w:hAnsiTheme="majorHAnsi" w:cstheme="majorHAnsi"/>
          <w:sz w:val="24"/>
          <w:szCs w:val="24"/>
          <w:lang w:val="ro-MD"/>
        </w:rPr>
      </w:pPr>
      <w:r w:rsidRPr="00CB5F81">
        <w:rPr>
          <w:rFonts w:asciiTheme="majorHAnsi" w:eastAsia="Times New Roman" w:hAnsiTheme="majorHAnsi" w:cstheme="majorHAnsi"/>
          <w:sz w:val="24"/>
          <w:szCs w:val="24"/>
          <w:lang w:val="ro-MD"/>
        </w:rPr>
        <w:t xml:space="preserve">Se </w:t>
      </w:r>
      <w:r w:rsidR="00BC470F">
        <w:rPr>
          <w:rFonts w:asciiTheme="majorHAnsi" w:eastAsia="Times New Roman" w:hAnsiTheme="majorHAnsi" w:cstheme="majorHAnsi"/>
          <w:sz w:val="24"/>
          <w:szCs w:val="24"/>
          <w:lang w:val="ro-MD"/>
        </w:rPr>
        <w:t>atestă</w:t>
      </w:r>
      <w:r w:rsidRPr="00CB5F81">
        <w:rPr>
          <w:rFonts w:asciiTheme="majorHAnsi" w:eastAsia="Times New Roman" w:hAnsiTheme="majorHAnsi" w:cstheme="majorHAnsi"/>
          <w:sz w:val="24"/>
          <w:szCs w:val="24"/>
          <w:lang w:val="ro-MD"/>
        </w:rPr>
        <w:t xml:space="preserve"> </w:t>
      </w:r>
      <w:r w:rsidR="00891D83" w:rsidRPr="00CB5F81">
        <w:rPr>
          <w:rStyle w:val="Bodytext20"/>
          <w:rFonts w:asciiTheme="majorHAnsi" w:eastAsiaTheme="minorHAnsi" w:hAnsiTheme="majorHAnsi" w:cstheme="majorHAnsi"/>
          <w:color w:val="auto"/>
          <w:sz w:val="24"/>
          <w:szCs w:val="24"/>
          <w:lang w:val="ro-MD"/>
        </w:rPr>
        <w:t>că</w:t>
      </w:r>
      <w:r w:rsidR="00BC470F">
        <w:rPr>
          <w:rStyle w:val="Bodytext20"/>
          <w:rFonts w:asciiTheme="majorHAnsi" w:eastAsiaTheme="minorHAnsi" w:hAnsiTheme="majorHAnsi" w:cstheme="majorHAnsi"/>
          <w:color w:val="auto"/>
          <w:sz w:val="24"/>
          <w:szCs w:val="24"/>
          <w:lang w:val="ro-MD"/>
        </w:rPr>
        <w:t>,</w:t>
      </w:r>
      <w:r w:rsidR="00891D83" w:rsidRPr="00CB5F81">
        <w:rPr>
          <w:rStyle w:val="Bodytext20"/>
          <w:rFonts w:asciiTheme="majorHAnsi" w:eastAsiaTheme="minorHAnsi" w:hAnsiTheme="majorHAnsi" w:cstheme="majorHAnsi"/>
          <w:color w:val="auto"/>
          <w:sz w:val="24"/>
          <w:szCs w:val="24"/>
          <w:lang w:val="ro-MD"/>
        </w:rPr>
        <w:t xml:space="preserve"> </w:t>
      </w:r>
      <w:r w:rsidR="00791B26" w:rsidRPr="00CB5F81">
        <w:rPr>
          <w:rStyle w:val="Bodytext20"/>
          <w:rFonts w:asciiTheme="majorHAnsi" w:eastAsiaTheme="minorHAnsi" w:hAnsiTheme="majorHAnsi" w:cstheme="majorHAnsi"/>
          <w:color w:val="auto"/>
          <w:sz w:val="24"/>
          <w:szCs w:val="24"/>
          <w:lang w:val="ro-MD"/>
        </w:rPr>
        <w:t>în perioada anilor 2016-</w:t>
      </w:r>
      <w:r w:rsidR="00A548F7" w:rsidRPr="00CB5F81">
        <w:rPr>
          <w:rStyle w:val="Bodytext20"/>
          <w:rFonts w:asciiTheme="majorHAnsi" w:eastAsiaTheme="minorHAnsi" w:hAnsiTheme="majorHAnsi" w:cstheme="majorHAnsi"/>
          <w:color w:val="auto"/>
          <w:sz w:val="24"/>
          <w:szCs w:val="24"/>
          <w:lang w:val="ro-MD"/>
        </w:rPr>
        <w:t>2018</w:t>
      </w:r>
      <w:r w:rsidR="00791B26" w:rsidRPr="00CB5F81">
        <w:rPr>
          <w:rStyle w:val="Bodytext20"/>
          <w:rFonts w:asciiTheme="majorHAnsi" w:eastAsiaTheme="minorHAnsi" w:hAnsiTheme="majorHAnsi" w:cstheme="majorHAnsi"/>
          <w:color w:val="auto"/>
          <w:sz w:val="24"/>
          <w:szCs w:val="24"/>
          <w:lang w:val="ro-MD"/>
        </w:rPr>
        <w:t xml:space="preserve">, </w:t>
      </w:r>
      <w:r w:rsidR="00891D83" w:rsidRPr="00CB5F81">
        <w:rPr>
          <w:rStyle w:val="Bodytext20"/>
          <w:rFonts w:asciiTheme="majorHAnsi" w:eastAsiaTheme="minorHAnsi" w:hAnsiTheme="majorHAnsi" w:cstheme="majorHAnsi"/>
          <w:color w:val="auto"/>
          <w:sz w:val="24"/>
          <w:szCs w:val="24"/>
          <w:lang w:val="ro-MD"/>
        </w:rPr>
        <w:t>MA</w:t>
      </w:r>
      <w:r w:rsidR="001245AC" w:rsidRPr="00CB5F81">
        <w:rPr>
          <w:rStyle w:val="Bodytext20"/>
          <w:rFonts w:asciiTheme="majorHAnsi" w:eastAsiaTheme="minorHAnsi" w:hAnsiTheme="majorHAnsi" w:cstheme="majorHAnsi"/>
          <w:color w:val="auto"/>
          <w:sz w:val="24"/>
          <w:szCs w:val="24"/>
          <w:lang w:val="ro-MD"/>
        </w:rPr>
        <w:t xml:space="preserve">IA </w:t>
      </w:r>
      <w:r w:rsidR="00791B26" w:rsidRPr="00CB5F81">
        <w:rPr>
          <w:rStyle w:val="Bodytext20"/>
          <w:rFonts w:asciiTheme="majorHAnsi" w:eastAsiaTheme="minorHAnsi" w:hAnsiTheme="majorHAnsi" w:cstheme="majorHAnsi"/>
          <w:color w:val="auto"/>
          <w:sz w:val="24"/>
          <w:szCs w:val="24"/>
          <w:lang w:val="ro-MD"/>
        </w:rPr>
        <w:t xml:space="preserve">s-a adresat </w:t>
      </w:r>
      <w:r w:rsidR="00BC470F">
        <w:rPr>
          <w:rStyle w:val="Bodytext20"/>
          <w:rFonts w:asciiTheme="majorHAnsi" w:eastAsiaTheme="minorHAnsi" w:hAnsiTheme="majorHAnsi" w:cstheme="majorHAnsi"/>
          <w:color w:val="auto"/>
          <w:sz w:val="24"/>
          <w:szCs w:val="24"/>
          <w:lang w:val="ro-MD"/>
        </w:rPr>
        <w:t>de</w:t>
      </w:r>
      <w:r w:rsidR="00791B26" w:rsidRPr="00CB5F81">
        <w:rPr>
          <w:rStyle w:val="Bodytext20"/>
          <w:rFonts w:asciiTheme="majorHAnsi" w:eastAsiaTheme="minorHAnsi" w:hAnsiTheme="majorHAnsi" w:cstheme="majorHAnsi"/>
          <w:color w:val="auto"/>
          <w:sz w:val="24"/>
          <w:szCs w:val="24"/>
          <w:lang w:val="ro-MD"/>
        </w:rPr>
        <w:t xml:space="preserve"> multiple </w:t>
      </w:r>
      <w:r w:rsidR="00BC470F">
        <w:rPr>
          <w:rStyle w:val="Bodytext20"/>
          <w:rFonts w:asciiTheme="majorHAnsi" w:eastAsiaTheme="minorHAnsi" w:hAnsiTheme="majorHAnsi" w:cstheme="majorHAnsi"/>
          <w:color w:val="auto"/>
          <w:sz w:val="24"/>
          <w:szCs w:val="24"/>
          <w:lang w:val="ro-MD"/>
        </w:rPr>
        <w:t>ori</w:t>
      </w:r>
      <w:r w:rsidR="00791B26" w:rsidRPr="00CB5F81">
        <w:rPr>
          <w:rStyle w:val="Bodytext20"/>
          <w:rFonts w:asciiTheme="majorHAnsi" w:eastAsiaTheme="minorHAnsi" w:hAnsiTheme="majorHAnsi" w:cstheme="majorHAnsi"/>
          <w:color w:val="auto"/>
          <w:sz w:val="24"/>
          <w:szCs w:val="24"/>
          <w:lang w:val="ro-MD"/>
        </w:rPr>
        <w:t xml:space="preserve"> </w:t>
      </w:r>
      <w:r w:rsidR="00891D83" w:rsidRPr="00CB5F81">
        <w:rPr>
          <w:rStyle w:val="Bodytext20"/>
          <w:rFonts w:asciiTheme="majorHAnsi" w:eastAsiaTheme="minorHAnsi" w:hAnsiTheme="majorHAnsi" w:cstheme="majorHAnsi"/>
          <w:color w:val="auto"/>
          <w:sz w:val="24"/>
          <w:szCs w:val="24"/>
          <w:lang w:val="ro-MD"/>
        </w:rPr>
        <w:t xml:space="preserve">către </w:t>
      </w:r>
      <w:r w:rsidRPr="00CB5F81">
        <w:rPr>
          <w:rStyle w:val="Bodytext20"/>
          <w:rFonts w:asciiTheme="majorHAnsi" w:eastAsiaTheme="minorHAnsi" w:hAnsiTheme="majorHAnsi" w:cstheme="majorHAnsi"/>
          <w:color w:val="auto"/>
          <w:sz w:val="24"/>
          <w:szCs w:val="24"/>
          <w:lang w:val="ro-MD"/>
        </w:rPr>
        <w:t>M</w:t>
      </w:r>
      <w:r w:rsidR="00DC66D0">
        <w:rPr>
          <w:rStyle w:val="Bodytext20"/>
          <w:rFonts w:asciiTheme="majorHAnsi" w:eastAsiaTheme="minorHAnsi" w:hAnsiTheme="majorHAnsi" w:cstheme="majorHAnsi"/>
          <w:color w:val="auto"/>
          <w:sz w:val="24"/>
          <w:szCs w:val="24"/>
          <w:lang w:val="ro-MD"/>
        </w:rPr>
        <w:t>F</w:t>
      </w:r>
      <w:r w:rsidR="00BC470F" w:rsidRPr="00BC470F">
        <w:rPr>
          <w:rStyle w:val="Bodytext20"/>
          <w:rFonts w:asciiTheme="majorHAnsi" w:eastAsiaTheme="minorHAnsi" w:hAnsiTheme="majorHAnsi" w:cstheme="majorHAnsi"/>
          <w:color w:val="auto"/>
          <w:sz w:val="24"/>
          <w:szCs w:val="24"/>
          <w:lang w:val="ro-MD"/>
        </w:rPr>
        <w:t xml:space="preserve"> </w:t>
      </w:r>
      <w:r w:rsidR="00BC470F" w:rsidRPr="00CB5F81">
        <w:rPr>
          <w:rStyle w:val="Bodytext20"/>
          <w:rFonts w:asciiTheme="majorHAnsi" w:eastAsiaTheme="minorHAnsi" w:hAnsiTheme="majorHAnsi" w:cstheme="majorHAnsi"/>
          <w:color w:val="auto"/>
          <w:sz w:val="24"/>
          <w:szCs w:val="24"/>
          <w:lang w:val="ro-MD"/>
        </w:rPr>
        <w:t>cu demersuri</w:t>
      </w:r>
      <w:r w:rsidR="00BC470F">
        <w:rPr>
          <w:rStyle w:val="Bodytext20"/>
          <w:rFonts w:asciiTheme="majorHAnsi" w:eastAsiaTheme="minorHAnsi" w:hAnsiTheme="majorHAnsi" w:cstheme="majorHAnsi"/>
          <w:color w:val="auto"/>
          <w:sz w:val="24"/>
          <w:szCs w:val="24"/>
          <w:lang w:val="ro-MD"/>
        </w:rPr>
        <w:t>,</w:t>
      </w:r>
      <w:r w:rsidRPr="00CB5F81">
        <w:rPr>
          <w:rStyle w:val="Bodytext20"/>
          <w:rFonts w:asciiTheme="majorHAnsi" w:eastAsiaTheme="minorHAnsi" w:hAnsiTheme="majorHAnsi" w:cstheme="majorHAnsi"/>
          <w:color w:val="auto"/>
          <w:sz w:val="24"/>
          <w:szCs w:val="24"/>
          <w:lang w:val="ro-MD"/>
        </w:rPr>
        <w:t xml:space="preserve"> </w:t>
      </w:r>
      <w:r w:rsidR="00891D83" w:rsidRPr="00CB5F81">
        <w:rPr>
          <w:rStyle w:val="Bodytext20"/>
          <w:rFonts w:asciiTheme="majorHAnsi" w:eastAsiaTheme="minorHAnsi" w:hAnsiTheme="majorHAnsi" w:cstheme="majorHAnsi"/>
          <w:color w:val="auto"/>
          <w:sz w:val="24"/>
          <w:szCs w:val="24"/>
          <w:lang w:val="ro-MD"/>
        </w:rPr>
        <w:t>prin care a</w:t>
      </w:r>
      <w:r w:rsidR="009A6580" w:rsidRPr="00CB5F81">
        <w:rPr>
          <w:rStyle w:val="Bodytext20"/>
          <w:rFonts w:asciiTheme="majorHAnsi" w:eastAsiaTheme="minorHAnsi" w:hAnsiTheme="majorHAnsi" w:cstheme="majorHAnsi"/>
          <w:color w:val="auto"/>
          <w:sz w:val="24"/>
          <w:szCs w:val="24"/>
          <w:lang w:val="ro-MD"/>
        </w:rPr>
        <w:t xml:space="preserve"> solicitat modificarea Codului f</w:t>
      </w:r>
      <w:r w:rsidR="00891D83" w:rsidRPr="00CB5F81">
        <w:rPr>
          <w:rStyle w:val="Bodytext20"/>
          <w:rFonts w:asciiTheme="majorHAnsi" w:eastAsiaTheme="minorHAnsi" w:hAnsiTheme="majorHAnsi" w:cstheme="majorHAnsi"/>
          <w:color w:val="auto"/>
          <w:sz w:val="24"/>
          <w:szCs w:val="24"/>
          <w:lang w:val="ro-MD"/>
        </w:rPr>
        <w:t>iscal și anularea facilități</w:t>
      </w:r>
      <w:r w:rsidR="00BC470F">
        <w:rPr>
          <w:rStyle w:val="Bodytext20"/>
          <w:rFonts w:asciiTheme="majorHAnsi" w:eastAsiaTheme="minorHAnsi" w:hAnsiTheme="majorHAnsi" w:cstheme="majorHAnsi"/>
          <w:color w:val="auto"/>
          <w:sz w:val="24"/>
          <w:szCs w:val="24"/>
          <w:lang w:val="ro-MD"/>
        </w:rPr>
        <w:t>i date</w:t>
      </w:r>
      <w:r w:rsidR="00891D83" w:rsidRPr="00CB5F81">
        <w:rPr>
          <w:rStyle w:val="Bodytext20"/>
          <w:rFonts w:asciiTheme="majorHAnsi" w:eastAsiaTheme="minorHAnsi" w:hAnsiTheme="majorHAnsi" w:cstheme="majorHAnsi"/>
          <w:color w:val="auto"/>
          <w:sz w:val="24"/>
          <w:szCs w:val="24"/>
          <w:lang w:val="ro-MD"/>
        </w:rPr>
        <w:t xml:space="preserve">, </w:t>
      </w:r>
      <w:r w:rsidR="00761FDC" w:rsidRPr="005405A7">
        <w:rPr>
          <w:rStyle w:val="Bodytext20"/>
          <w:rFonts w:asciiTheme="majorHAnsi" w:eastAsiaTheme="minorHAnsi" w:hAnsiTheme="majorHAnsi" w:cstheme="majorHAnsi"/>
          <w:color w:val="auto"/>
          <w:sz w:val="24"/>
          <w:szCs w:val="24"/>
          <w:lang w:val="ro-MD"/>
        </w:rPr>
        <w:t>consemnând</w:t>
      </w:r>
      <w:r w:rsidR="005405A7">
        <w:rPr>
          <w:rStyle w:val="Bodytext20"/>
          <w:rFonts w:asciiTheme="majorHAnsi" w:eastAsiaTheme="minorHAnsi" w:hAnsiTheme="majorHAnsi" w:cstheme="majorHAnsi"/>
          <w:color w:val="auto"/>
          <w:sz w:val="24"/>
          <w:szCs w:val="24"/>
          <w:lang w:val="ro-MD"/>
        </w:rPr>
        <w:t xml:space="preserve"> </w:t>
      </w:r>
      <w:r w:rsidR="00891D83" w:rsidRPr="00CB5F81">
        <w:rPr>
          <w:rStyle w:val="Bodytext20"/>
          <w:rFonts w:asciiTheme="majorHAnsi" w:eastAsiaTheme="minorHAnsi" w:hAnsiTheme="majorHAnsi" w:cstheme="majorHAnsi"/>
          <w:color w:val="auto"/>
          <w:sz w:val="24"/>
          <w:szCs w:val="24"/>
          <w:lang w:val="ro-MD"/>
        </w:rPr>
        <w:t xml:space="preserve">că </w:t>
      </w:r>
      <w:r w:rsidR="004F62C8" w:rsidRPr="00CB5F81">
        <w:rPr>
          <w:rStyle w:val="Bodytext20"/>
          <w:rFonts w:asciiTheme="majorHAnsi" w:eastAsiaTheme="minorHAnsi" w:hAnsiTheme="majorHAnsi" w:cstheme="majorHAnsi"/>
          <w:color w:val="auto"/>
          <w:sz w:val="24"/>
          <w:szCs w:val="24"/>
          <w:lang w:val="ro-MD"/>
        </w:rPr>
        <w:t>„</w:t>
      </w:r>
      <w:r w:rsidR="00891D83" w:rsidRPr="00CB5F81">
        <w:rPr>
          <w:rStyle w:val="Bodytext20"/>
          <w:rFonts w:asciiTheme="majorHAnsi" w:eastAsiaTheme="minorHAnsi" w:hAnsiTheme="majorHAnsi" w:cstheme="majorHAnsi"/>
          <w:color w:val="auto"/>
          <w:sz w:val="24"/>
          <w:szCs w:val="24"/>
          <w:lang w:val="ro-MD"/>
        </w:rPr>
        <w:t>produsele de parfumerie și cosmetică nu sunt produse de primă necesitate</w:t>
      </w:r>
      <w:r w:rsidR="00A548F7" w:rsidRPr="00CB5F81">
        <w:rPr>
          <w:rStyle w:val="FootnoteReference"/>
          <w:rFonts w:asciiTheme="majorHAnsi" w:hAnsiTheme="majorHAnsi" w:cstheme="majorHAnsi"/>
          <w:sz w:val="24"/>
          <w:szCs w:val="24"/>
          <w:lang w:val="ro-MD" w:eastAsia="ro-RO" w:bidi="ro-RO"/>
        </w:rPr>
        <w:footnoteReference w:id="42"/>
      </w:r>
      <w:r w:rsidR="004F62C8" w:rsidRPr="00CB5F81">
        <w:rPr>
          <w:rStyle w:val="Bodytext20"/>
          <w:rFonts w:asciiTheme="majorHAnsi" w:eastAsiaTheme="minorHAnsi" w:hAnsiTheme="majorHAnsi" w:cstheme="majorHAnsi"/>
          <w:color w:val="auto"/>
          <w:sz w:val="24"/>
          <w:szCs w:val="24"/>
          <w:lang w:val="ro-MD"/>
        </w:rPr>
        <w:t>”</w:t>
      </w:r>
      <w:r w:rsidR="00217B0E" w:rsidRPr="00CB5F81">
        <w:rPr>
          <w:rStyle w:val="Bodytext20"/>
          <w:rFonts w:asciiTheme="majorHAnsi" w:eastAsiaTheme="minorHAnsi" w:hAnsiTheme="majorHAnsi" w:cstheme="majorHAnsi"/>
          <w:color w:val="auto"/>
          <w:sz w:val="24"/>
          <w:szCs w:val="24"/>
          <w:lang w:val="ro-MD"/>
        </w:rPr>
        <w:t xml:space="preserve">. </w:t>
      </w:r>
      <w:r w:rsidR="001245AC" w:rsidRPr="00CB5F81">
        <w:rPr>
          <w:rStyle w:val="Bodytext20"/>
          <w:rFonts w:asciiTheme="majorHAnsi" w:eastAsiaTheme="minorHAnsi" w:hAnsiTheme="majorHAnsi" w:cstheme="majorHAnsi"/>
          <w:color w:val="auto"/>
          <w:sz w:val="24"/>
          <w:szCs w:val="24"/>
          <w:lang w:val="ro-MD"/>
        </w:rPr>
        <w:t>La fel, MAIA</w:t>
      </w:r>
      <w:r w:rsidR="00EC1EAF">
        <w:rPr>
          <w:rStyle w:val="Bodytext20"/>
          <w:rFonts w:asciiTheme="majorHAnsi" w:eastAsiaTheme="minorHAnsi" w:hAnsiTheme="majorHAnsi" w:cstheme="majorHAnsi"/>
          <w:color w:val="auto"/>
          <w:sz w:val="24"/>
          <w:szCs w:val="24"/>
          <w:lang w:val="ro-MD"/>
        </w:rPr>
        <w:t xml:space="preserve"> </w:t>
      </w:r>
      <w:r w:rsidR="0092111F" w:rsidRPr="00CB5F81">
        <w:rPr>
          <w:rStyle w:val="Bodytext20"/>
          <w:rFonts w:asciiTheme="majorHAnsi" w:eastAsiaTheme="minorHAnsi" w:hAnsiTheme="majorHAnsi" w:cstheme="majorHAnsi"/>
          <w:color w:val="auto"/>
          <w:sz w:val="24"/>
          <w:szCs w:val="24"/>
          <w:lang w:val="ro-MD"/>
        </w:rPr>
        <w:t>invoca necesitatea anulării facilității și prin faptul că numărul și volumul</w:t>
      </w:r>
      <w:r w:rsidR="00EC1EAF">
        <w:rPr>
          <w:rStyle w:val="Bodytext20"/>
          <w:rFonts w:asciiTheme="majorHAnsi" w:eastAsiaTheme="minorHAnsi" w:hAnsiTheme="majorHAnsi" w:cstheme="majorHAnsi"/>
          <w:color w:val="auto"/>
          <w:sz w:val="24"/>
          <w:szCs w:val="24"/>
          <w:lang w:val="ro-MD"/>
        </w:rPr>
        <w:t xml:space="preserve"> </w:t>
      </w:r>
      <w:r w:rsidR="0092111F" w:rsidRPr="00CB5F81">
        <w:rPr>
          <w:rStyle w:val="Bodytext20"/>
          <w:rFonts w:asciiTheme="majorHAnsi" w:eastAsiaTheme="minorHAnsi" w:hAnsiTheme="majorHAnsi" w:cstheme="majorHAnsi"/>
          <w:color w:val="auto"/>
          <w:sz w:val="24"/>
          <w:szCs w:val="24"/>
          <w:lang w:val="ro-MD"/>
        </w:rPr>
        <w:t>de scutiri solicitate de către agenții economici crește</w:t>
      </w:r>
      <w:r w:rsidR="00305A24" w:rsidRPr="00CB5F81">
        <w:rPr>
          <w:rStyle w:val="Bodytext20"/>
          <w:rFonts w:asciiTheme="majorHAnsi" w:eastAsiaTheme="minorHAnsi" w:hAnsiTheme="majorHAnsi" w:cstheme="majorHAnsi"/>
          <w:color w:val="auto"/>
          <w:sz w:val="24"/>
          <w:szCs w:val="24"/>
          <w:lang w:val="ro-MD"/>
        </w:rPr>
        <w:t>a</w:t>
      </w:r>
      <w:r w:rsidR="0092111F" w:rsidRPr="00CB5F81">
        <w:rPr>
          <w:rStyle w:val="Bodytext20"/>
          <w:rFonts w:asciiTheme="majorHAnsi" w:eastAsiaTheme="minorHAnsi" w:hAnsiTheme="majorHAnsi" w:cstheme="majorHAnsi"/>
          <w:color w:val="auto"/>
          <w:sz w:val="24"/>
          <w:szCs w:val="24"/>
          <w:lang w:val="ro-MD"/>
        </w:rPr>
        <w:t xml:space="preserve"> de la an la an, acesta neavând competente și pârghii de verificare a domeniului respectiv, inclusiv </w:t>
      </w:r>
      <w:r w:rsidR="002324AD" w:rsidRPr="00CB5F81">
        <w:rPr>
          <w:rStyle w:val="Bodytext20"/>
          <w:rFonts w:asciiTheme="majorHAnsi" w:eastAsiaTheme="minorHAnsi" w:hAnsiTheme="majorHAnsi" w:cstheme="majorHAnsi"/>
          <w:color w:val="auto"/>
          <w:sz w:val="24"/>
          <w:szCs w:val="24"/>
          <w:lang w:val="ro-MD"/>
        </w:rPr>
        <w:t xml:space="preserve">verificarea </w:t>
      </w:r>
      <w:r w:rsidR="0092111F" w:rsidRPr="00CB5F81">
        <w:rPr>
          <w:rStyle w:val="Bodytext20"/>
          <w:rFonts w:asciiTheme="majorHAnsi" w:eastAsiaTheme="minorHAnsi" w:hAnsiTheme="majorHAnsi" w:cstheme="majorHAnsi"/>
          <w:color w:val="auto"/>
          <w:sz w:val="24"/>
          <w:szCs w:val="24"/>
          <w:lang w:val="ro-MD"/>
        </w:rPr>
        <w:t>corectitudinii utilizării alcoolului scutit de plata acciz</w:t>
      </w:r>
      <w:r w:rsidR="00F7362C">
        <w:rPr>
          <w:rStyle w:val="Bodytext20"/>
          <w:rFonts w:asciiTheme="majorHAnsi" w:eastAsiaTheme="minorHAnsi" w:hAnsiTheme="majorHAnsi" w:cstheme="majorHAnsi"/>
          <w:color w:val="auto"/>
          <w:sz w:val="24"/>
          <w:szCs w:val="24"/>
          <w:lang w:val="ro-MD"/>
        </w:rPr>
        <w:t>ului</w:t>
      </w:r>
      <w:r w:rsidR="00305A24" w:rsidRPr="00CB5F81">
        <w:rPr>
          <w:rStyle w:val="Bodytext20"/>
          <w:rFonts w:asciiTheme="majorHAnsi" w:eastAsiaTheme="minorHAnsi" w:hAnsiTheme="majorHAnsi" w:cstheme="majorHAnsi"/>
          <w:color w:val="auto"/>
          <w:sz w:val="24"/>
          <w:szCs w:val="24"/>
          <w:lang w:val="ro-MD"/>
        </w:rPr>
        <w:t>.</w:t>
      </w:r>
      <w:r w:rsidR="0092111F" w:rsidRPr="00CB5F81">
        <w:rPr>
          <w:rStyle w:val="Bodytext20"/>
          <w:rFonts w:asciiTheme="majorHAnsi" w:eastAsiaTheme="minorHAnsi" w:hAnsiTheme="majorHAnsi" w:cstheme="majorHAnsi"/>
          <w:color w:val="auto"/>
          <w:sz w:val="24"/>
          <w:szCs w:val="24"/>
          <w:lang w:val="ro-MD"/>
        </w:rPr>
        <w:t xml:space="preserve"> </w:t>
      </w:r>
      <w:r w:rsidR="00C11406" w:rsidRPr="00CB5F81">
        <w:rPr>
          <w:rStyle w:val="Bodytext20"/>
          <w:rFonts w:asciiTheme="majorHAnsi" w:eastAsiaTheme="minorHAnsi" w:hAnsiTheme="majorHAnsi" w:cstheme="majorHAnsi"/>
          <w:color w:val="auto"/>
          <w:sz w:val="24"/>
          <w:szCs w:val="24"/>
          <w:lang w:val="ro-MD"/>
        </w:rPr>
        <w:t>O adresare în acest sens a</w:t>
      </w:r>
      <w:r w:rsidR="00305A24" w:rsidRPr="00CB5F81">
        <w:rPr>
          <w:rStyle w:val="Bodytext20"/>
          <w:rFonts w:asciiTheme="majorHAnsi" w:eastAsiaTheme="minorHAnsi" w:hAnsiTheme="majorHAnsi" w:cstheme="majorHAnsi"/>
          <w:color w:val="auto"/>
          <w:sz w:val="24"/>
          <w:szCs w:val="24"/>
          <w:lang w:val="ro-MD"/>
        </w:rPr>
        <w:t xml:space="preserve"> fost înaintată </w:t>
      </w:r>
      <w:r w:rsidR="0092111F" w:rsidRPr="00CB5F81">
        <w:rPr>
          <w:rStyle w:val="Bodytext20"/>
          <w:rFonts w:asciiTheme="majorHAnsi" w:eastAsiaTheme="minorHAnsi" w:hAnsiTheme="majorHAnsi" w:cstheme="majorHAnsi"/>
          <w:color w:val="auto"/>
          <w:sz w:val="24"/>
          <w:szCs w:val="24"/>
          <w:lang w:val="ro-MD"/>
        </w:rPr>
        <w:t>de către MAIA și pe parcursul anului 2021</w:t>
      </w:r>
      <w:r w:rsidR="00F7362C">
        <w:rPr>
          <w:rStyle w:val="Bodytext20"/>
          <w:rFonts w:asciiTheme="majorHAnsi" w:eastAsiaTheme="minorHAnsi" w:hAnsiTheme="majorHAnsi" w:cstheme="majorHAnsi"/>
          <w:color w:val="auto"/>
          <w:sz w:val="24"/>
          <w:szCs w:val="24"/>
          <w:lang w:val="ro-MD"/>
        </w:rPr>
        <w:t>,</w:t>
      </w:r>
      <w:r w:rsidR="0092111F" w:rsidRPr="00CB5F81">
        <w:rPr>
          <w:rStyle w:val="Bodytext20"/>
          <w:rFonts w:asciiTheme="majorHAnsi" w:eastAsiaTheme="minorHAnsi" w:hAnsiTheme="majorHAnsi" w:cstheme="majorHAnsi"/>
          <w:color w:val="auto"/>
          <w:sz w:val="24"/>
          <w:szCs w:val="24"/>
          <w:lang w:val="ro-MD"/>
        </w:rPr>
        <w:t xml:space="preserve"> </w:t>
      </w:r>
      <w:r w:rsidR="002324AD" w:rsidRPr="00CB5F81">
        <w:rPr>
          <w:rStyle w:val="Bodytext20"/>
          <w:rFonts w:asciiTheme="majorHAnsi" w:eastAsiaTheme="minorHAnsi" w:hAnsiTheme="majorHAnsi" w:cstheme="majorHAnsi"/>
          <w:color w:val="auto"/>
          <w:sz w:val="24"/>
          <w:szCs w:val="24"/>
          <w:lang w:val="ro-MD"/>
        </w:rPr>
        <w:t xml:space="preserve">în cadrul avizării </w:t>
      </w:r>
      <w:r w:rsidR="0092111F" w:rsidRPr="00CB5F81">
        <w:rPr>
          <w:rStyle w:val="Bodytext20"/>
          <w:rFonts w:asciiTheme="majorHAnsi" w:eastAsiaTheme="minorHAnsi" w:hAnsiTheme="majorHAnsi" w:cstheme="majorHAnsi"/>
          <w:color w:val="auto"/>
          <w:sz w:val="24"/>
          <w:szCs w:val="24"/>
          <w:lang w:val="ro-MD"/>
        </w:rPr>
        <w:t xml:space="preserve">proiectului </w:t>
      </w:r>
      <w:r w:rsidR="00F7362C">
        <w:rPr>
          <w:rStyle w:val="Bodytext20"/>
          <w:rFonts w:asciiTheme="majorHAnsi" w:eastAsiaTheme="minorHAnsi" w:hAnsiTheme="majorHAnsi" w:cstheme="majorHAnsi"/>
          <w:color w:val="auto"/>
          <w:sz w:val="24"/>
          <w:szCs w:val="24"/>
          <w:lang w:val="ro-MD"/>
        </w:rPr>
        <w:t>H</w:t>
      </w:r>
      <w:r w:rsidR="0092111F" w:rsidRPr="00CB5F81">
        <w:rPr>
          <w:rStyle w:val="Bodytext20"/>
          <w:rFonts w:asciiTheme="majorHAnsi" w:eastAsiaTheme="minorHAnsi" w:hAnsiTheme="majorHAnsi" w:cstheme="majorHAnsi"/>
          <w:color w:val="auto"/>
          <w:sz w:val="24"/>
          <w:szCs w:val="24"/>
          <w:lang w:val="ro-MD"/>
        </w:rPr>
        <w:t xml:space="preserve">otărârii Guvernului privind aprobarea proiectului de lege </w:t>
      </w:r>
      <w:r w:rsidR="00F7362C">
        <w:rPr>
          <w:rStyle w:val="Bodytext20"/>
          <w:rFonts w:asciiTheme="majorHAnsi" w:eastAsiaTheme="minorHAnsi" w:hAnsiTheme="majorHAnsi" w:cstheme="majorHAnsi"/>
          <w:color w:val="auto"/>
          <w:sz w:val="24"/>
          <w:szCs w:val="24"/>
          <w:lang w:val="ro-MD"/>
        </w:rPr>
        <w:t xml:space="preserve">cu </w:t>
      </w:r>
      <w:r w:rsidR="0092111F" w:rsidRPr="00CB5F81">
        <w:rPr>
          <w:rStyle w:val="Bodytext20"/>
          <w:rFonts w:asciiTheme="majorHAnsi" w:eastAsiaTheme="minorHAnsi" w:hAnsiTheme="majorHAnsi" w:cstheme="majorHAnsi"/>
          <w:color w:val="auto"/>
          <w:sz w:val="24"/>
          <w:szCs w:val="24"/>
          <w:lang w:val="ro-MD"/>
        </w:rPr>
        <w:t>privi</w:t>
      </w:r>
      <w:r w:rsidR="00F7362C">
        <w:rPr>
          <w:rStyle w:val="Bodytext20"/>
          <w:rFonts w:asciiTheme="majorHAnsi" w:eastAsiaTheme="minorHAnsi" w:hAnsiTheme="majorHAnsi" w:cstheme="majorHAnsi"/>
          <w:color w:val="auto"/>
          <w:sz w:val="24"/>
          <w:szCs w:val="24"/>
          <w:lang w:val="ro-MD"/>
        </w:rPr>
        <w:t>re la</w:t>
      </w:r>
      <w:r w:rsidR="0092111F" w:rsidRPr="00CB5F81">
        <w:rPr>
          <w:rStyle w:val="Bodytext20"/>
          <w:rFonts w:asciiTheme="majorHAnsi" w:eastAsiaTheme="minorHAnsi" w:hAnsiTheme="majorHAnsi" w:cstheme="majorHAnsi"/>
          <w:color w:val="auto"/>
          <w:sz w:val="24"/>
          <w:szCs w:val="24"/>
          <w:lang w:val="ro-MD"/>
        </w:rPr>
        <w:t xml:space="preserve"> modificarea unor acte normative</w:t>
      </w:r>
      <w:r w:rsidR="0092111F" w:rsidRPr="00CB5F81">
        <w:rPr>
          <w:rStyle w:val="FootnoteReference"/>
          <w:rFonts w:asciiTheme="majorHAnsi" w:hAnsiTheme="majorHAnsi" w:cstheme="majorHAnsi"/>
          <w:sz w:val="24"/>
          <w:szCs w:val="24"/>
          <w:lang w:val="ro-MD" w:eastAsia="ro-RO" w:bidi="ro-RO"/>
        </w:rPr>
        <w:footnoteReference w:id="43"/>
      </w:r>
      <w:r w:rsidR="0092111F" w:rsidRPr="00CB5F81">
        <w:rPr>
          <w:rStyle w:val="Bodytext20"/>
          <w:rFonts w:asciiTheme="majorHAnsi" w:eastAsiaTheme="minorHAnsi" w:hAnsiTheme="majorHAnsi" w:cstheme="majorHAnsi"/>
          <w:color w:val="auto"/>
          <w:sz w:val="24"/>
          <w:szCs w:val="24"/>
          <w:lang w:val="ro-MD"/>
        </w:rPr>
        <w:t>.</w:t>
      </w:r>
      <w:r w:rsidR="00327BA4" w:rsidRPr="00CB5F81">
        <w:rPr>
          <w:rStyle w:val="Bodytext20"/>
          <w:rFonts w:asciiTheme="majorHAnsi" w:eastAsiaTheme="minorHAnsi" w:hAnsiTheme="majorHAnsi" w:cstheme="majorHAnsi"/>
          <w:color w:val="auto"/>
          <w:sz w:val="24"/>
          <w:szCs w:val="24"/>
          <w:lang w:val="ro-MD"/>
        </w:rPr>
        <w:t xml:space="preserve"> </w:t>
      </w:r>
      <w:r w:rsidR="00A2724D">
        <w:rPr>
          <w:rStyle w:val="Bodytext20"/>
          <w:rFonts w:asciiTheme="majorHAnsi" w:eastAsiaTheme="minorHAnsi" w:hAnsiTheme="majorHAnsi" w:cstheme="majorHAnsi"/>
          <w:color w:val="auto"/>
          <w:sz w:val="24"/>
          <w:szCs w:val="24"/>
          <w:lang w:val="ro-MD"/>
        </w:rPr>
        <w:t>Despre n</w:t>
      </w:r>
      <w:r w:rsidR="00327BA4" w:rsidRPr="00CB5F81">
        <w:rPr>
          <w:rStyle w:val="Bodytext20"/>
          <w:rFonts w:asciiTheme="majorHAnsi" w:eastAsiaTheme="minorHAnsi" w:hAnsiTheme="majorHAnsi" w:cstheme="majorHAnsi"/>
          <w:color w:val="auto"/>
          <w:sz w:val="24"/>
          <w:szCs w:val="24"/>
          <w:lang w:val="ro-MD"/>
        </w:rPr>
        <w:t xml:space="preserve">ecesitatea excluderii acestei facilități, </w:t>
      </w:r>
      <w:r w:rsidR="00F7362C">
        <w:rPr>
          <w:rStyle w:val="Bodytext20"/>
          <w:rFonts w:asciiTheme="majorHAnsi" w:eastAsiaTheme="minorHAnsi" w:hAnsiTheme="majorHAnsi" w:cstheme="majorHAnsi"/>
          <w:color w:val="auto"/>
          <w:sz w:val="24"/>
          <w:szCs w:val="24"/>
          <w:lang w:val="ro-MD"/>
        </w:rPr>
        <w:t xml:space="preserve">care este </w:t>
      </w:r>
      <w:r w:rsidR="00327BA4" w:rsidRPr="00CB5F81">
        <w:rPr>
          <w:rStyle w:val="Bodytext20"/>
          <w:rFonts w:asciiTheme="majorHAnsi" w:eastAsiaTheme="minorHAnsi" w:hAnsiTheme="majorHAnsi" w:cstheme="majorHAnsi"/>
          <w:color w:val="auto"/>
          <w:sz w:val="24"/>
          <w:szCs w:val="24"/>
          <w:lang w:val="ro-MD"/>
        </w:rPr>
        <w:t>considerată ca una depășită și neactuală</w:t>
      </w:r>
      <w:r w:rsidR="00F7362C">
        <w:rPr>
          <w:rStyle w:val="Bodytext20"/>
          <w:rFonts w:asciiTheme="majorHAnsi" w:eastAsiaTheme="minorHAnsi" w:hAnsiTheme="majorHAnsi" w:cstheme="majorHAnsi"/>
          <w:color w:val="auto"/>
          <w:sz w:val="24"/>
          <w:szCs w:val="24"/>
          <w:lang w:val="ro-MD"/>
        </w:rPr>
        <w:t>,</w:t>
      </w:r>
      <w:r w:rsidR="00327BA4" w:rsidRPr="00CB5F81">
        <w:rPr>
          <w:rStyle w:val="Bodytext20"/>
          <w:rFonts w:asciiTheme="majorHAnsi" w:eastAsiaTheme="minorHAnsi" w:hAnsiTheme="majorHAnsi" w:cstheme="majorHAnsi"/>
          <w:color w:val="auto"/>
          <w:sz w:val="24"/>
          <w:szCs w:val="24"/>
          <w:lang w:val="ro-MD"/>
        </w:rPr>
        <w:t xml:space="preserve">   </w:t>
      </w:r>
      <w:r w:rsidR="00A2724D">
        <w:rPr>
          <w:rStyle w:val="Bodytext20"/>
          <w:rFonts w:asciiTheme="majorHAnsi" w:eastAsiaTheme="minorHAnsi" w:hAnsiTheme="majorHAnsi" w:cstheme="majorHAnsi"/>
          <w:color w:val="auto"/>
          <w:sz w:val="24"/>
          <w:szCs w:val="24"/>
          <w:lang w:val="ro-MD"/>
        </w:rPr>
        <w:t xml:space="preserve">relatează și </w:t>
      </w:r>
      <w:r w:rsidR="00327BA4" w:rsidRPr="00CB5F81">
        <w:rPr>
          <w:rStyle w:val="Bodytext20"/>
          <w:rFonts w:asciiTheme="majorHAnsi" w:eastAsiaTheme="minorHAnsi" w:hAnsiTheme="majorHAnsi" w:cstheme="majorHAnsi"/>
          <w:color w:val="auto"/>
          <w:sz w:val="24"/>
          <w:szCs w:val="24"/>
          <w:lang w:val="ro-MD"/>
        </w:rPr>
        <w:t>alte autorități ale statului</w:t>
      </w:r>
      <w:r w:rsidR="00327BA4" w:rsidRPr="00CB5F81">
        <w:rPr>
          <w:rStyle w:val="FootnoteReference"/>
          <w:rFonts w:asciiTheme="majorHAnsi" w:hAnsiTheme="majorHAnsi" w:cstheme="majorHAnsi"/>
          <w:sz w:val="24"/>
          <w:szCs w:val="24"/>
          <w:lang w:val="ro-MD" w:eastAsia="ro-RO" w:bidi="ro-RO"/>
        </w:rPr>
        <w:footnoteReference w:id="44"/>
      </w:r>
      <w:r w:rsidR="00327BA4" w:rsidRPr="00CB5F81">
        <w:rPr>
          <w:rStyle w:val="Bodytext20"/>
          <w:rFonts w:asciiTheme="majorHAnsi" w:eastAsiaTheme="minorHAnsi" w:hAnsiTheme="majorHAnsi" w:cstheme="majorHAnsi"/>
          <w:color w:val="auto"/>
          <w:sz w:val="24"/>
          <w:szCs w:val="24"/>
          <w:lang w:val="ro-MD"/>
        </w:rPr>
        <w:t xml:space="preserve">. </w:t>
      </w:r>
      <w:r w:rsidR="00A548F7" w:rsidRPr="00CB5F81">
        <w:rPr>
          <w:rStyle w:val="Bodytext20"/>
          <w:rFonts w:asciiTheme="majorHAnsi" w:eastAsiaTheme="minorHAnsi" w:hAnsiTheme="majorHAnsi" w:cstheme="majorHAnsi"/>
          <w:color w:val="auto"/>
          <w:sz w:val="24"/>
          <w:szCs w:val="24"/>
          <w:lang w:val="ro-MD"/>
        </w:rPr>
        <w:t>Î</w:t>
      </w:r>
      <w:r w:rsidR="00217B0E" w:rsidRPr="00CB5F81">
        <w:rPr>
          <w:rStyle w:val="Bodytext20"/>
          <w:rFonts w:asciiTheme="majorHAnsi" w:eastAsiaTheme="minorHAnsi" w:hAnsiTheme="majorHAnsi" w:cstheme="majorHAnsi"/>
          <w:color w:val="auto"/>
          <w:sz w:val="24"/>
          <w:szCs w:val="24"/>
          <w:lang w:val="ro-MD"/>
        </w:rPr>
        <w:t xml:space="preserve">n pofida </w:t>
      </w:r>
      <w:r w:rsidR="00767B95" w:rsidRPr="00CB5F81">
        <w:rPr>
          <w:rStyle w:val="Bodytext20"/>
          <w:rFonts w:asciiTheme="majorHAnsi" w:eastAsiaTheme="minorHAnsi" w:hAnsiTheme="majorHAnsi" w:cstheme="majorHAnsi"/>
          <w:color w:val="auto"/>
          <w:sz w:val="24"/>
          <w:szCs w:val="24"/>
          <w:lang w:val="ro-MD"/>
        </w:rPr>
        <w:t>solicitărilor</w:t>
      </w:r>
      <w:r w:rsidR="006E3F25" w:rsidRPr="00CB5F81">
        <w:rPr>
          <w:rStyle w:val="Bodytext20"/>
          <w:rFonts w:asciiTheme="majorHAnsi" w:eastAsiaTheme="minorHAnsi" w:hAnsiTheme="majorHAnsi" w:cstheme="majorHAnsi"/>
          <w:color w:val="auto"/>
          <w:sz w:val="24"/>
          <w:szCs w:val="24"/>
          <w:lang w:val="ro-MD"/>
        </w:rPr>
        <w:t xml:space="preserve"> și propunerilor înaintate de </w:t>
      </w:r>
      <w:r w:rsidR="00767B95" w:rsidRPr="00CB5F81">
        <w:rPr>
          <w:rStyle w:val="Bodytext20"/>
          <w:rFonts w:asciiTheme="majorHAnsi" w:eastAsiaTheme="minorHAnsi" w:hAnsiTheme="majorHAnsi" w:cstheme="majorHAnsi"/>
          <w:color w:val="auto"/>
          <w:sz w:val="24"/>
          <w:szCs w:val="24"/>
          <w:lang w:val="ro-MD"/>
        </w:rPr>
        <w:t>MAIA,</w:t>
      </w:r>
      <w:r w:rsidR="006E3F25" w:rsidRPr="00CB5F81">
        <w:rPr>
          <w:rFonts w:asciiTheme="majorHAnsi" w:eastAsia="Times New Roman" w:hAnsiTheme="majorHAnsi" w:cstheme="majorHAnsi"/>
          <w:sz w:val="24"/>
          <w:szCs w:val="24"/>
          <w:lang w:val="ro-MD"/>
        </w:rPr>
        <w:t xml:space="preserve"> în procesul de examinare și aprobare anuală a politicii bugetar-fiscale, dar </w:t>
      </w:r>
      <w:r w:rsidR="00C11406" w:rsidRPr="00CB5F81">
        <w:rPr>
          <w:rFonts w:asciiTheme="majorHAnsi" w:eastAsia="Times New Roman" w:hAnsiTheme="majorHAnsi" w:cstheme="majorHAnsi"/>
          <w:sz w:val="24"/>
          <w:szCs w:val="24"/>
          <w:lang w:val="ro-MD"/>
        </w:rPr>
        <w:t xml:space="preserve">și a altor </w:t>
      </w:r>
      <w:r w:rsidR="00C11406" w:rsidRPr="005405A7">
        <w:rPr>
          <w:rFonts w:asciiTheme="majorHAnsi" w:eastAsia="Times New Roman" w:hAnsiTheme="majorHAnsi" w:cstheme="majorHAnsi"/>
          <w:sz w:val="24"/>
          <w:szCs w:val="24"/>
          <w:lang w:val="ro-MD"/>
        </w:rPr>
        <w:t>modificări</w:t>
      </w:r>
      <w:r w:rsidR="006E3F25" w:rsidRPr="005405A7">
        <w:rPr>
          <w:rFonts w:asciiTheme="majorHAnsi" w:eastAsia="Times New Roman" w:hAnsiTheme="majorHAnsi" w:cstheme="majorHAnsi"/>
          <w:sz w:val="24"/>
          <w:szCs w:val="24"/>
          <w:lang w:val="ro-MD"/>
        </w:rPr>
        <w:t xml:space="preserve"> </w:t>
      </w:r>
      <w:r w:rsidR="00761FDC" w:rsidRPr="005405A7">
        <w:rPr>
          <w:rFonts w:asciiTheme="majorHAnsi" w:eastAsia="Times New Roman" w:hAnsiTheme="majorHAnsi" w:cstheme="majorHAnsi"/>
          <w:sz w:val="24"/>
          <w:szCs w:val="24"/>
          <w:lang w:val="ro-MD"/>
        </w:rPr>
        <w:t>operate</w:t>
      </w:r>
      <w:r w:rsidR="0096367B">
        <w:rPr>
          <w:rFonts w:asciiTheme="majorHAnsi" w:eastAsia="Times New Roman" w:hAnsiTheme="majorHAnsi" w:cstheme="majorHAnsi"/>
          <w:sz w:val="24"/>
          <w:szCs w:val="24"/>
          <w:lang w:val="ro-MD"/>
        </w:rPr>
        <w:t xml:space="preserve"> </w:t>
      </w:r>
      <w:r w:rsidR="006E3F25" w:rsidRPr="00CB5F81">
        <w:rPr>
          <w:rFonts w:asciiTheme="majorHAnsi" w:eastAsia="Times New Roman" w:hAnsiTheme="majorHAnsi" w:cstheme="majorHAnsi"/>
          <w:sz w:val="24"/>
          <w:szCs w:val="24"/>
          <w:lang w:val="ro-MD"/>
        </w:rPr>
        <w:t xml:space="preserve">la cadrul legal, </w:t>
      </w:r>
      <w:r w:rsidR="00A548F7" w:rsidRPr="00CB5F81">
        <w:rPr>
          <w:rStyle w:val="Bodytext20"/>
          <w:rFonts w:asciiTheme="majorHAnsi" w:eastAsiaTheme="minorHAnsi" w:hAnsiTheme="majorHAnsi" w:cstheme="majorHAnsi"/>
          <w:color w:val="auto"/>
          <w:sz w:val="24"/>
          <w:szCs w:val="24"/>
          <w:lang w:val="ro-MD"/>
        </w:rPr>
        <w:t>M</w:t>
      </w:r>
      <w:r w:rsidR="00DC66D0">
        <w:rPr>
          <w:rStyle w:val="Bodytext20"/>
          <w:rFonts w:asciiTheme="majorHAnsi" w:eastAsiaTheme="minorHAnsi" w:hAnsiTheme="majorHAnsi" w:cstheme="majorHAnsi"/>
          <w:color w:val="auto"/>
          <w:sz w:val="24"/>
          <w:szCs w:val="24"/>
          <w:lang w:val="ro-MD"/>
        </w:rPr>
        <w:t>F</w:t>
      </w:r>
      <w:r w:rsidR="00A548F7" w:rsidRPr="00CB5F81">
        <w:rPr>
          <w:rStyle w:val="Bodytext20"/>
          <w:rFonts w:asciiTheme="majorHAnsi" w:eastAsiaTheme="minorHAnsi" w:hAnsiTheme="majorHAnsi" w:cstheme="majorHAnsi"/>
          <w:color w:val="auto"/>
          <w:sz w:val="24"/>
          <w:szCs w:val="24"/>
          <w:lang w:val="ro-MD"/>
        </w:rPr>
        <w:t xml:space="preserve"> </w:t>
      </w:r>
      <w:r w:rsidRPr="00CB5F81">
        <w:rPr>
          <w:rFonts w:asciiTheme="majorHAnsi" w:eastAsia="Times New Roman" w:hAnsiTheme="majorHAnsi" w:cstheme="majorHAnsi"/>
          <w:sz w:val="24"/>
          <w:szCs w:val="24"/>
          <w:lang w:val="ro-MD"/>
        </w:rPr>
        <w:t>nu</w:t>
      </w:r>
      <w:r w:rsidR="006E3F25" w:rsidRPr="00CB5F81">
        <w:rPr>
          <w:rFonts w:asciiTheme="majorHAnsi" w:eastAsia="Times New Roman" w:hAnsiTheme="majorHAnsi" w:cstheme="majorHAnsi"/>
          <w:sz w:val="24"/>
          <w:szCs w:val="24"/>
          <w:lang w:val="ro-MD"/>
        </w:rPr>
        <w:t xml:space="preserve"> </w:t>
      </w:r>
      <w:r w:rsidR="00C11406" w:rsidRPr="00CB5F81">
        <w:rPr>
          <w:rFonts w:asciiTheme="majorHAnsi" w:eastAsia="Times New Roman" w:hAnsiTheme="majorHAnsi" w:cstheme="majorHAnsi"/>
          <w:sz w:val="24"/>
          <w:szCs w:val="24"/>
          <w:lang w:val="ro-MD"/>
        </w:rPr>
        <w:t>a</w:t>
      </w:r>
      <w:r w:rsidR="00EC1EAF">
        <w:rPr>
          <w:rFonts w:asciiTheme="majorHAnsi" w:eastAsia="Times New Roman" w:hAnsiTheme="majorHAnsi" w:cstheme="majorHAnsi"/>
          <w:sz w:val="24"/>
          <w:szCs w:val="24"/>
          <w:lang w:val="ro-MD"/>
        </w:rPr>
        <w:t xml:space="preserve"> </w:t>
      </w:r>
      <w:r w:rsidR="006E3F25" w:rsidRPr="00CB5F81">
        <w:rPr>
          <w:rFonts w:asciiTheme="majorHAnsi" w:eastAsia="Times New Roman" w:hAnsiTheme="majorHAnsi" w:cstheme="majorHAnsi"/>
          <w:sz w:val="24"/>
          <w:szCs w:val="24"/>
          <w:lang w:val="ro-MD"/>
        </w:rPr>
        <w:t xml:space="preserve">revăzut și </w:t>
      </w:r>
      <w:r w:rsidR="00405000" w:rsidRPr="00CB5F81">
        <w:rPr>
          <w:rFonts w:asciiTheme="majorHAnsi" w:eastAsia="Times New Roman" w:hAnsiTheme="majorHAnsi" w:cstheme="majorHAnsi"/>
          <w:sz w:val="24"/>
          <w:szCs w:val="24"/>
          <w:lang w:val="ro-MD"/>
        </w:rPr>
        <w:t>nu a susținut anularea scutirii</w:t>
      </w:r>
      <w:r w:rsidR="00EC1EAF">
        <w:rPr>
          <w:rFonts w:asciiTheme="majorHAnsi" w:eastAsia="Times New Roman" w:hAnsiTheme="majorHAnsi" w:cstheme="majorHAnsi"/>
          <w:sz w:val="24"/>
          <w:szCs w:val="24"/>
          <w:lang w:val="ro-MD"/>
        </w:rPr>
        <w:t xml:space="preserve"> </w:t>
      </w:r>
      <w:r w:rsidR="00F7362C">
        <w:rPr>
          <w:rFonts w:asciiTheme="majorHAnsi" w:eastAsia="Times New Roman" w:hAnsiTheme="majorHAnsi" w:cstheme="majorHAnsi"/>
          <w:sz w:val="24"/>
          <w:szCs w:val="24"/>
          <w:lang w:val="ro-MD"/>
        </w:rPr>
        <w:t>de</w:t>
      </w:r>
      <w:r w:rsidR="00305A24" w:rsidRPr="00CB5F81">
        <w:rPr>
          <w:rFonts w:asciiTheme="majorHAnsi" w:eastAsia="Times New Roman" w:hAnsiTheme="majorHAnsi" w:cstheme="majorHAnsi"/>
          <w:sz w:val="24"/>
          <w:szCs w:val="24"/>
          <w:lang w:val="ro-MD"/>
        </w:rPr>
        <w:t xml:space="preserve"> plata accizelor la alcoolul etilic nedenaturat.</w:t>
      </w:r>
    </w:p>
    <w:p w:rsidR="00A82EAF" w:rsidRPr="00CB5F81" w:rsidRDefault="00A82EAF" w:rsidP="00217B0E">
      <w:pPr>
        <w:pStyle w:val="ListParagraph"/>
        <w:tabs>
          <w:tab w:val="left" w:pos="0"/>
        </w:tabs>
        <w:ind w:left="0"/>
        <w:jc w:val="both"/>
        <w:rPr>
          <w:rStyle w:val="Bodytext20"/>
          <w:rFonts w:asciiTheme="majorHAnsi" w:eastAsiaTheme="minorHAnsi" w:hAnsiTheme="majorHAnsi" w:cstheme="majorHAnsi"/>
          <w:sz w:val="24"/>
          <w:szCs w:val="24"/>
          <w:lang w:val="ro-MD"/>
        </w:rPr>
      </w:pPr>
    </w:p>
    <w:p w:rsidR="007D6A86" w:rsidRPr="00CB5F81" w:rsidRDefault="005C59FE" w:rsidP="00D04386">
      <w:pPr>
        <w:pStyle w:val="ListParagraph"/>
        <w:numPr>
          <w:ilvl w:val="0"/>
          <w:numId w:val="14"/>
        </w:numPr>
        <w:tabs>
          <w:tab w:val="left" w:pos="540"/>
        </w:tabs>
        <w:spacing w:after="120"/>
        <w:ind w:left="450" w:hanging="180"/>
        <w:contextualSpacing w:val="0"/>
        <w:jc w:val="both"/>
        <w:rPr>
          <w:rFonts w:asciiTheme="majorHAnsi" w:eastAsia="Times New Roman" w:hAnsiTheme="majorHAnsi" w:cstheme="majorHAnsi"/>
          <w:color w:val="2E74B5" w:themeColor="accent1" w:themeShade="BF"/>
          <w:sz w:val="24"/>
          <w:szCs w:val="24"/>
          <w:lang w:val="ro-MD"/>
        </w:rPr>
      </w:pPr>
      <w:r w:rsidRPr="00CB5F81">
        <w:rPr>
          <w:rFonts w:asciiTheme="majorHAnsi" w:eastAsia="Times New Roman" w:hAnsiTheme="majorHAnsi" w:cstheme="majorHAnsi"/>
          <w:color w:val="2E74B5" w:themeColor="accent1" w:themeShade="BF"/>
          <w:sz w:val="24"/>
          <w:szCs w:val="24"/>
          <w:lang w:val="ro-MD"/>
        </w:rPr>
        <w:t>MAIA nu a organizat</w:t>
      </w:r>
      <w:r w:rsidR="00EC1EAF">
        <w:rPr>
          <w:rFonts w:asciiTheme="majorHAnsi" w:eastAsia="Times New Roman" w:hAnsiTheme="majorHAnsi" w:cstheme="majorHAnsi"/>
          <w:color w:val="2E74B5" w:themeColor="accent1" w:themeShade="BF"/>
          <w:sz w:val="24"/>
          <w:szCs w:val="24"/>
          <w:lang w:val="ro-MD"/>
        </w:rPr>
        <w:t xml:space="preserve"> </w:t>
      </w:r>
      <w:r w:rsidRPr="00CB5F81">
        <w:rPr>
          <w:rFonts w:asciiTheme="majorHAnsi" w:eastAsia="Times New Roman" w:hAnsiTheme="majorHAnsi" w:cstheme="majorHAnsi"/>
          <w:color w:val="2E74B5" w:themeColor="accent1" w:themeShade="BF"/>
          <w:sz w:val="24"/>
          <w:szCs w:val="24"/>
          <w:lang w:val="ro-MD"/>
        </w:rPr>
        <w:t xml:space="preserve">un proces funcțional la stabilirea mărimii </w:t>
      </w:r>
      <w:r w:rsidRPr="007B162D">
        <w:rPr>
          <w:rFonts w:asciiTheme="majorHAnsi" w:eastAsia="Times New Roman" w:hAnsiTheme="majorHAnsi" w:cstheme="majorHAnsi"/>
          <w:color w:val="2E74B5" w:themeColor="accent1" w:themeShade="BF"/>
          <w:sz w:val="24"/>
          <w:szCs w:val="24"/>
          <w:lang w:val="ro-MD"/>
        </w:rPr>
        <w:t>scutirii cotei de acciz</w:t>
      </w:r>
      <w:r w:rsidR="00405000" w:rsidRPr="007B162D">
        <w:rPr>
          <w:rFonts w:asciiTheme="majorHAnsi" w:eastAsia="Times New Roman" w:hAnsiTheme="majorHAnsi" w:cstheme="majorHAnsi"/>
          <w:color w:val="2E74B5" w:themeColor="accent1" w:themeShade="BF"/>
          <w:sz w:val="24"/>
          <w:szCs w:val="24"/>
          <w:lang w:val="ro-MD"/>
        </w:rPr>
        <w:t>e</w:t>
      </w:r>
      <w:r w:rsidR="00EC1EAF" w:rsidRPr="007B162D">
        <w:rPr>
          <w:rFonts w:asciiTheme="majorHAnsi" w:eastAsia="Times New Roman" w:hAnsiTheme="majorHAnsi" w:cstheme="majorHAnsi"/>
          <w:color w:val="2E74B5" w:themeColor="accent1" w:themeShade="BF"/>
          <w:sz w:val="24"/>
          <w:szCs w:val="24"/>
          <w:lang w:val="ro-MD"/>
        </w:rPr>
        <w:t xml:space="preserve"> </w:t>
      </w:r>
      <w:r w:rsidR="00A2724D" w:rsidRPr="00D05E06">
        <w:rPr>
          <w:rFonts w:asciiTheme="majorHAnsi" w:eastAsia="Times New Roman" w:hAnsiTheme="majorHAnsi" w:cstheme="majorHAnsi"/>
          <w:color w:val="2E74B5" w:themeColor="accent1" w:themeShade="BF"/>
          <w:sz w:val="24"/>
          <w:szCs w:val="24"/>
          <w:lang w:val="ro-MD"/>
        </w:rPr>
        <w:t xml:space="preserve"> la </w:t>
      </w:r>
      <w:r w:rsidR="008D2609" w:rsidRPr="00CB5F81">
        <w:rPr>
          <w:rFonts w:asciiTheme="majorHAnsi" w:eastAsia="Times New Roman" w:hAnsiTheme="majorHAnsi" w:cstheme="majorHAnsi"/>
          <w:color w:val="2E74B5" w:themeColor="accent1" w:themeShade="BF"/>
          <w:sz w:val="24"/>
          <w:szCs w:val="24"/>
          <w:lang w:val="ro-MD"/>
        </w:rPr>
        <w:t xml:space="preserve"> alcoolul etilic nedenaturat</w:t>
      </w:r>
      <w:r w:rsidRPr="00CB5F81">
        <w:rPr>
          <w:rFonts w:asciiTheme="majorHAnsi" w:eastAsia="Times New Roman" w:hAnsiTheme="majorHAnsi" w:cstheme="majorHAnsi"/>
          <w:color w:val="2E74B5" w:themeColor="accent1" w:themeShade="BF"/>
          <w:sz w:val="24"/>
          <w:szCs w:val="24"/>
          <w:lang w:val="ro-MD"/>
        </w:rPr>
        <w:t xml:space="preserve"> </w:t>
      </w:r>
    </w:p>
    <w:p w:rsidR="00A92157" w:rsidRPr="00CB5F81" w:rsidRDefault="0049770E" w:rsidP="00305A24">
      <w:pPr>
        <w:spacing w:after="120" w:line="240" w:lineRule="auto"/>
        <w:jc w:val="both"/>
        <w:rPr>
          <w:rStyle w:val="Bodytext20"/>
          <w:rFonts w:asciiTheme="majorHAnsi" w:eastAsiaTheme="minorHAnsi" w:hAnsiTheme="majorHAnsi" w:cstheme="majorHAnsi"/>
          <w:iCs/>
          <w:color w:val="auto"/>
          <w:sz w:val="24"/>
          <w:szCs w:val="24"/>
          <w:lang w:val="ro-MD"/>
        </w:rPr>
      </w:pPr>
      <w:r w:rsidRPr="00CB5F81">
        <w:rPr>
          <w:rStyle w:val="Bodytext20"/>
          <w:rFonts w:asciiTheme="majorHAnsi" w:eastAsiaTheme="minorHAnsi" w:hAnsiTheme="majorHAnsi" w:cstheme="majorHAnsi"/>
          <w:color w:val="auto"/>
          <w:sz w:val="24"/>
          <w:szCs w:val="24"/>
          <w:lang w:val="ro-MD"/>
        </w:rPr>
        <w:t>MAIA</w:t>
      </w:r>
      <w:r>
        <w:rPr>
          <w:rStyle w:val="Bodytext20"/>
          <w:rFonts w:asciiTheme="majorHAnsi" w:eastAsiaTheme="minorHAnsi" w:hAnsiTheme="majorHAnsi" w:cstheme="majorHAnsi"/>
          <w:color w:val="auto"/>
          <w:sz w:val="24"/>
          <w:szCs w:val="24"/>
          <w:lang w:val="ro-MD"/>
        </w:rPr>
        <w:t>, cu toate</w:t>
      </w:r>
      <w:r w:rsidR="00860C77" w:rsidRPr="00CB5F81">
        <w:rPr>
          <w:rStyle w:val="Bodytext20"/>
          <w:rFonts w:asciiTheme="majorHAnsi" w:eastAsiaTheme="minorHAnsi" w:hAnsiTheme="majorHAnsi" w:cstheme="majorHAnsi"/>
          <w:color w:val="auto"/>
          <w:sz w:val="24"/>
          <w:szCs w:val="24"/>
          <w:lang w:val="ro-MD"/>
        </w:rPr>
        <w:t xml:space="preserve"> că cunoștea vulnerabilitățile procesului de acordare a scutirilor</w:t>
      </w:r>
      <w:r w:rsidR="00EC1EAF">
        <w:rPr>
          <w:rStyle w:val="Bodytext20"/>
          <w:rFonts w:asciiTheme="majorHAnsi" w:eastAsiaTheme="minorHAnsi" w:hAnsiTheme="majorHAnsi" w:cstheme="majorHAnsi"/>
          <w:color w:val="auto"/>
          <w:sz w:val="24"/>
          <w:szCs w:val="24"/>
          <w:lang w:val="ro-MD"/>
        </w:rPr>
        <w:t xml:space="preserve"> </w:t>
      </w:r>
      <w:r w:rsidR="00F7362C">
        <w:rPr>
          <w:rStyle w:val="Bodytext20"/>
          <w:rFonts w:asciiTheme="majorHAnsi" w:eastAsiaTheme="minorHAnsi" w:hAnsiTheme="majorHAnsi" w:cstheme="majorHAnsi"/>
          <w:color w:val="auto"/>
          <w:sz w:val="24"/>
          <w:szCs w:val="24"/>
          <w:lang w:val="ro-MD"/>
        </w:rPr>
        <w:t xml:space="preserve">de </w:t>
      </w:r>
      <w:r w:rsidR="00860C77" w:rsidRPr="00CB5F81">
        <w:rPr>
          <w:rStyle w:val="Bodytext20"/>
          <w:rFonts w:asciiTheme="majorHAnsi" w:eastAsiaTheme="minorHAnsi" w:hAnsiTheme="majorHAnsi" w:cstheme="majorHAnsi"/>
          <w:color w:val="auto"/>
          <w:sz w:val="24"/>
          <w:szCs w:val="24"/>
          <w:lang w:val="ro-MD"/>
        </w:rPr>
        <w:t xml:space="preserve"> plata accizelor </w:t>
      </w:r>
      <w:r w:rsidR="00F7362C">
        <w:rPr>
          <w:rStyle w:val="Bodytext20"/>
          <w:rFonts w:asciiTheme="majorHAnsi" w:eastAsiaTheme="minorHAnsi" w:hAnsiTheme="majorHAnsi" w:cstheme="majorHAnsi"/>
          <w:color w:val="auto"/>
          <w:sz w:val="24"/>
          <w:szCs w:val="24"/>
          <w:lang w:val="ro-MD"/>
        </w:rPr>
        <w:t xml:space="preserve">la </w:t>
      </w:r>
      <w:r w:rsidR="00860C77" w:rsidRPr="00CB5F81">
        <w:rPr>
          <w:rStyle w:val="Bodytext20"/>
          <w:rFonts w:asciiTheme="majorHAnsi" w:eastAsiaTheme="minorHAnsi" w:hAnsiTheme="majorHAnsi" w:cstheme="majorHAnsi"/>
          <w:color w:val="auto"/>
          <w:sz w:val="24"/>
          <w:szCs w:val="24"/>
          <w:lang w:val="ro-MD"/>
        </w:rPr>
        <w:t>alcoolul etilic nedenaturat</w:t>
      </w:r>
      <w:r w:rsidR="008A74F5" w:rsidRPr="00CB5F81">
        <w:rPr>
          <w:rStyle w:val="Bodytext20"/>
          <w:rFonts w:asciiTheme="majorHAnsi" w:eastAsiaTheme="minorHAnsi" w:hAnsiTheme="majorHAnsi" w:cstheme="majorHAnsi"/>
          <w:color w:val="auto"/>
          <w:sz w:val="24"/>
          <w:szCs w:val="24"/>
          <w:lang w:val="ro-MD"/>
        </w:rPr>
        <w:t xml:space="preserve">, nu </w:t>
      </w:r>
      <w:r w:rsidR="00B66907" w:rsidRPr="00CB5F81">
        <w:rPr>
          <w:rStyle w:val="Bodytext20"/>
          <w:rFonts w:asciiTheme="majorHAnsi" w:eastAsiaTheme="minorHAnsi" w:hAnsiTheme="majorHAnsi" w:cstheme="majorHAnsi"/>
          <w:color w:val="auto"/>
          <w:sz w:val="24"/>
          <w:szCs w:val="24"/>
          <w:lang w:val="ro-MD"/>
        </w:rPr>
        <w:t xml:space="preserve">a fost </w:t>
      </w:r>
      <w:r w:rsidR="00B66907" w:rsidRPr="005405A7">
        <w:rPr>
          <w:rStyle w:val="Bodytext20"/>
          <w:rFonts w:asciiTheme="majorHAnsi" w:eastAsiaTheme="minorHAnsi" w:hAnsiTheme="majorHAnsi" w:cstheme="majorHAnsi"/>
          <w:color w:val="auto"/>
          <w:sz w:val="24"/>
          <w:szCs w:val="24"/>
          <w:lang w:val="ro-MD"/>
        </w:rPr>
        <w:t xml:space="preserve">responsabil </w:t>
      </w:r>
      <w:r w:rsidR="00761FDC" w:rsidRPr="005405A7">
        <w:rPr>
          <w:rStyle w:val="Bodytext20"/>
          <w:rFonts w:asciiTheme="majorHAnsi" w:eastAsiaTheme="minorHAnsi" w:hAnsiTheme="majorHAnsi" w:cstheme="majorHAnsi"/>
          <w:color w:val="auto"/>
          <w:sz w:val="24"/>
          <w:szCs w:val="24"/>
          <w:lang w:val="ro-MD"/>
        </w:rPr>
        <w:t>de</w:t>
      </w:r>
      <w:r w:rsidR="00EC1EAF">
        <w:rPr>
          <w:rStyle w:val="Bodytext20"/>
          <w:rFonts w:asciiTheme="majorHAnsi" w:eastAsiaTheme="minorHAnsi" w:hAnsiTheme="majorHAnsi" w:cstheme="majorHAnsi"/>
          <w:color w:val="auto"/>
          <w:sz w:val="24"/>
          <w:szCs w:val="24"/>
          <w:lang w:val="ro-MD"/>
        </w:rPr>
        <w:t xml:space="preserve"> </w:t>
      </w:r>
      <w:r w:rsidR="00860C77" w:rsidRPr="00CB5F81">
        <w:rPr>
          <w:rStyle w:val="Bodytext20"/>
          <w:rFonts w:asciiTheme="majorHAnsi" w:eastAsiaTheme="minorHAnsi" w:hAnsiTheme="majorHAnsi" w:cstheme="majorHAnsi"/>
          <w:color w:val="auto"/>
          <w:sz w:val="24"/>
          <w:szCs w:val="24"/>
          <w:lang w:val="ro-MD"/>
        </w:rPr>
        <w:t>instituirea</w:t>
      </w:r>
      <w:r w:rsidR="008A74F5" w:rsidRPr="00CB5F81">
        <w:rPr>
          <w:rStyle w:val="Bodytext20"/>
          <w:rFonts w:asciiTheme="majorHAnsi" w:eastAsiaTheme="minorHAnsi" w:hAnsiTheme="majorHAnsi" w:cstheme="majorHAnsi"/>
          <w:color w:val="auto"/>
          <w:sz w:val="24"/>
          <w:szCs w:val="24"/>
          <w:lang w:val="ro-MD"/>
        </w:rPr>
        <w:t xml:space="preserve"> </w:t>
      </w:r>
      <w:r w:rsidR="00860C77" w:rsidRPr="00CB5F81">
        <w:rPr>
          <w:rStyle w:val="Bodytext20"/>
          <w:rFonts w:asciiTheme="majorHAnsi" w:eastAsiaTheme="minorHAnsi" w:hAnsiTheme="majorHAnsi" w:cstheme="majorHAnsi"/>
          <w:color w:val="auto"/>
          <w:sz w:val="24"/>
          <w:szCs w:val="24"/>
          <w:lang w:val="ro-MD"/>
        </w:rPr>
        <w:t xml:space="preserve">unui proces conform </w:t>
      </w:r>
      <w:r w:rsidR="00860C77" w:rsidRPr="00CB5F81">
        <w:rPr>
          <w:rStyle w:val="Bodytext20"/>
          <w:rFonts w:asciiTheme="majorHAnsi" w:eastAsiaTheme="minorHAnsi" w:hAnsiTheme="majorHAnsi" w:cstheme="majorHAnsi"/>
          <w:iCs/>
          <w:color w:val="auto"/>
          <w:sz w:val="24"/>
          <w:szCs w:val="24"/>
          <w:lang w:val="ro-MD"/>
        </w:rPr>
        <w:t>pentru stabilirea volumului anual de alcool etilic nedenaturat, destinat utilizării în industria de parfumerie și cosmetică</w:t>
      </w:r>
      <w:r w:rsidR="00305A24" w:rsidRPr="00CB5F81">
        <w:rPr>
          <w:rStyle w:val="Bodytext20"/>
          <w:rFonts w:asciiTheme="majorHAnsi" w:eastAsiaTheme="minorHAnsi" w:hAnsiTheme="majorHAnsi" w:cstheme="majorHAnsi"/>
          <w:iCs/>
          <w:color w:val="auto"/>
          <w:sz w:val="24"/>
          <w:szCs w:val="24"/>
          <w:lang w:val="ro-MD"/>
        </w:rPr>
        <w:t>, pentru a diminua riscul de comitere a d</w:t>
      </w:r>
      <w:r>
        <w:rPr>
          <w:rStyle w:val="Bodytext20"/>
          <w:rFonts w:asciiTheme="majorHAnsi" w:eastAsiaTheme="minorHAnsi" w:hAnsiTheme="majorHAnsi" w:cstheme="majorHAnsi"/>
          <w:iCs/>
          <w:color w:val="auto"/>
          <w:sz w:val="24"/>
          <w:szCs w:val="24"/>
          <w:lang w:val="ro-MD"/>
        </w:rPr>
        <w:t>i</w:t>
      </w:r>
      <w:r w:rsidR="00305A24" w:rsidRPr="00CB5F81">
        <w:rPr>
          <w:rStyle w:val="Bodytext20"/>
          <w:rFonts w:asciiTheme="majorHAnsi" w:eastAsiaTheme="minorHAnsi" w:hAnsiTheme="majorHAnsi" w:cstheme="majorHAnsi"/>
          <w:iCs/>
          <w:color w:val="auto"/>
          <w:sz w:val="24"/>
          <w:szCs w:val="24"/>
          <w:lang w:val="ro-MD"/>
        </w:rPr>
        <w:t>feritor abuzuri d</w:t>
      </w:r>
      <w:r>
        <w:rPr>
          <w:rStyle w:val="Bodytext20"/>
          <w:rFonts w:asciiTheme="majorHAnsi" w:eastAsiaTheme="minorHAnsi" w:hAnsiTheme="majorHAnsi" w:cstheme="majorHAnsi"/>
          <w:iCs/>
          <w:color w:val="auto"/>
          <w:sz w:val="24"/>
          <w:szCs w:val="24"/>
          <w:lang w:val="ro-MD"/>
        </w:rPr>
        <w:t xml:space="preserve">e către </w:t>
      </w:r>
      <w:r w:rsidR="00305A24" w:rsidRPr="00CB5F81">
        <w:rPr>
          <w:rStyle w:val="Bodytext20"/>
          <w:rFonts w:asciiTheme="majorHAnsi" w:eastAsiaTheme="minorHAnsi" w:hAnsiTheme="majorHAnsi" w:cstheme="majorHAnsi"/>
          <w:iCs/>
          <w:color w:val="auto"/>
          <w:sz w:val="24"/>
          <w:szCs w:val="24"/>
          <w:lang w:val="ro-MD"/>
        </w:rPr>
        <w:t>agenți</w:t>
      </w:r>
      <w:r>
        <w:rPr>
          <w:rStyle w:val="Bodytext20"/>
          <w:rFonts w:asciiTheme="majorHAnsi" w:eastAsiaTheme="minorHAnsi" w:hAnsiTheme="majorHAnsi" w:cstheme="majorHAnsi"/>
          <w:iCs/>
          <w:color w:val="auto"/>
          <w:sz w:val="24"/>
          <w:szCs w:val="24"/>
          <w:lang w:val="ro-MD"/>
        </w:rPr>
        <w:t>i</w:t>
      </w:r>
      <w:r w:rsidR="00305A24" w:rsidRPr="00CB5F81">
        <w:rPr>
          <w:rStyle w:val="Bodytext20"/>
          <w:rFonts w:asciiTheme="majorHAnsi" w:eastAsiaTheme="minorHAnsi" w:hAnsiTheme="majorHAnsi" w:cstheme="majorHAnsi"/>
          <w:iCs/>
          <w:color w:val="auto"/>
          <w:sz w:val="24"/>
          <w:szCs w:val="24"/>
          <w:lang w:val="ro-MD"/>
        </w:rPr>
        <w:t xml:space="preserve"> economici solicitanți a</w:t>
      </w:r>
      <w:r>
        <w:rPr>
          <w:rStyle w:val="Bodytext20"/>
          <w:rFonts w:asciiTheme="majorHAnsi" w:eastAsiaTheme="minorHAnsi" w:hAnsiTheme="majorHAnsi" w:cstheme="majorHAnsi"/>
          <w:iCs/>
          <w:color w:val="auto"/>
          <w:sz w:val="24"/>
          <w:szCs w:val="24"/>
          <w:lang w:val="ro-MD"/>
        </w:rPr>
        <w:t>i</w:t>
      </w:r>
      <w:r w:rsidR="00305A24" w:rsidRPr="00CB5F81">
        <w:rPr>
          <w:rStyle w:val="Bodytext20"/>
          <w:rFonts w:asciiTheme="majorHAnsi" w:eastAsiaTheme="minorHAnsi" w:hAnsiTheme="majorHAnsi" w:cstheme="majorHAnsi"/>
          <w:iCs/>
          <w:color w:val="auto"/>
          <w:sz w:val="24"/>
          <w:szCs w:val="24"/>
          <w:lang w:val="ro-MD"/>
        </w:rPr>
        <w:t xml:space="preserve"> scutirilor.</w:t>
      </w:r>
      <w:r w:rsidR="00860C77" w:rsidRPr="00CB5F81">
        <w:rPr>
          <w:rStyle w:val="Bodytext20"/>
          <w:rFonts w:asciiTheme="majorHAnsi" w:eastAsiaTheme="minorHAnsi" w:hAnsiTheme="majorHAnsi" w:cstheme="majorHAnsi"/>
          <w:iCs/>
          <w:color w:val="auto"/>
          <w:sz w:val="24"/>
          <w:szCs w:val="24"/>
          <w:lang w:val="ro-MD"/>
        </w:rPr>
        <w:t xml:space="preserve"> </w:t>
      </w:r>
    </w:p>
    <w:p w:rsidR="00860C77" w:rsidRPr="00CB5F81" w:rsidRDefault="00860C77" w:rsidP="003E5D70">
      <w:pPr>
        <w:spacing w:after="0" w:line="240" w:lineRule="auto"/>
        <w:jc w:val="both"/>
        <w:rPr>
          <w:rFonts w:asciiTheme="majorHAnsi" w:eastAsia="Times New Roman" w:hAnsiTheme="majorHAnsi" w:cstheme="majorHAnsi"/>
          <w:sz w:val="24"/>
          <w:szCs w:val="24"/>
        </w:rPr>
      </w:pPr>
      <w:r w:rsidRPr="00CB5F81">
        <w:rPr>
          <w:rStyle w:val="Bodytext20"/>
          <w:rFonts w:asciiTheme="majorHAnsi" w:eastAsiaTheme="minorHAnsi" w:hAnsiTheme="majorHAnsi" w:cstheme="majorHAnsi"/>
          <w:iCs/>
          <w:color w:val="auto"/>
          <w:sz w:val="24"/>
          <w:szCs w:val="24"/>
          <w:lang w:val="ro-MD"/>
        </w:rPr>
        <w:t xml:space="preserve">Astfel, </w:t>
      </w:r>
      <w:r w:rsidR="00BA1C70" w:rsidRPr="00CB5F81">
        <w:rPr>
          <w:rStyle w:val="Bodytext20"/>
          <w:rFonts w:asciiTheme="majorHAnsi" w:eastAsiaTheme="minorHAnsi" w:hAnsiTheme="majorHAnsi" w:cstheme="majorHAnsi"/>
          <w:iCs/>
          <w:color w:val="auto"/>
          <w:sz w:val="24"/>
          <w:szCs w:val="24"/>
          <w:lang w:val="ro-MD"/>
        </w:rPr>
        <w:t xml:space="preserve">în perioada anului 2020 – </w:t>
      </w:r>
      <w:r w:rsidR="00B66907" w:rsidRPr="00CB5F81">
        <w:rPr>
          <w:rStyle w:val="Bodytext20"/>
          <w:rFonts w:asciiTheme="majorHAnsi" w:eastAsiaTheme="minorHAnsi" w:hAnsiTheme="majorHAnsi" w:cstheme="majorHAnsi"/>
          <w:iCs/>
          <w:color w:val="auto"/>
          <w:sz w:val="24"/>
          <w:szCs w:val="24"/>
          <w:lang w:val="ro-MD"/>
        </w:rPr>
        <w:t>septembrie</w:t>
      </w:r>
      <w:r w:rsidR="00BA1C70" w:rsidRPr="00CB5F81">
        <w:rPr>
          <w:rStyle w:val="Bodytext20"/>
          <w:rFonts w:asciiTheme="majorHAnsi" w:eastAsiaTheme="minorHAnsi" w:hAnsiTheme="majorHAnsi" w:cstheme="majorHAnsi"/>
          <w:iCs/>
          <w:color w:val="auto"/>
          <w:sz w:val="24"/>
          <w:szCs w:val="24"/>
          <w:lang w:val="ro-MD"/>
        </w:rPr>
        <w:t xml:space="preserve"> 2021 nu a existat un act </w:t>
      </w:r>
      <w:r w:rsidR="00B66907" w:rsidRPr="00CB5F81">
        <w:rPr>
          <w:rStyle w:val="Bodytext20"/>
          <w:rFonts w:asciiTheme="majorHAnsi" w:eastAsiaTheme="minorHAnsi" w:hAnsiTheme="majorHAnsi" w:cstheme="majorHAnsi"/>
          <w:iCs/>
          <w:color w:val="auto"/>
          <w:sz w:val="24"/>
          <w:szCs w:val="24"/>
          <w:lang w:val="ro-MD"/>
        </w:rPr>
        <w:t>normativ elaborat și aprobat de</w:t>
      </w:r>
      <w:r w:rsidR="00305A24" w:rsidRPr="00CB5F81">
        <w:rPr>
          <w:rStyle w:val="Bodytext20"/>
          <w:rFonts w:asciiTheme="majorHAnsi" w:eastAsiaTheme="minorHAnsi" w:hAnsiTheme="majorHAnsi" w:cstheme="majorHAnsi"/>
          <w:iCs/>
          <w:color w:val="auto"/>
          <w:sz w:val="24"/>
          <w:szCs w:val="24"/>
          <w:lang w:val="ro-MD"/>
        </w:rPr>
        <w:t xml:space="preserve"> </w:t>
      </w:r>
      <w:r w:rsidR="00E0054C">
        <w:rPr>
          <w:rStyle w:val="Bodytext20"/>
          <w:rFonts w:asciiTheme="majorHAnsi" w:eastAsiaTheme="minorHAnsi" w:hAnsiTheme="majorHAnsi" w:cstheme="majorHAnsi"/>
          <w:iCs/>
          <w:color w:val="auto"/>
          <w:sz w:val="24"/>
          <w:szCs w:val="24"/>
          <w:lang w:val="ro-MD"/>
        </w:rPr>
        <w:t>minister referitor la</w:t>
      </w:r>
      <w:r w:rsidR="00761FDC">
        <w:rPr>
          <w:rStyle w:val="Bodytext20"/>
          <w:rFonts w:asciiTheme="majorHAnsi" w:eastAsiaTheme="minorHAnsi" w:hAnsiTheme="majorHAnsi" w:cstheme="majorHAnsi"/>
          <w:iCs/>
          <w:color w:val="auto"/>
          <w:sz w:val="24"/>
          <w:szCs w:val="24"/>
          <w:lang w:val="ro-MD"/>
        </w:rPr>
        <w:t xml:space="preserve"> </w:t>
      </w:r>
      <w:r w:rsidR="00BA1C70" w:rsidRPr="00E0054C">
        <w:rPr>
          <w:rStyle w:val="Bodytext20"/>
          <w:rFonts w:asciiTheme="majorHAnsi" w:eastAsiaTheme="minorHAnsi" w:hAnsiTheme="majorHAnsi" w:cstheme="majorHAnsi"/>
          <w:iCs/>
          <w:color w:val="auto"/>
          <w:sz w:val="24"/>
          <w:szCs w:val="24"/>
          <w:lang w:val="ro-MD"/>
        </w:rPr>
        <w:t>procesu</w:t>
      </w:r>
      <w:r w:rsidR="00BA1C70" w:rsidRPr="00CB5F81">
        <w:rPr>
          <w:rStyle w:val="Bodytext20"/>
          <w:rFonts w:asciiTheme="majorHAnsi" w:eastAsiaTheme="minorHAnsi" w:hAnsiTheme="majorHAnsi" w:cstheme="majorHAnsi"/>
          <w:iCs/>
          <w:color w:val="auto"/>
          <w:sz w:val="24"/>
          <w:szCs w:val="24"/>
          <w:lang w:val="ro-MD"/>
        </w:rPr>
        <w:t xml:space="preserve">l </w:t>
      </w:r>
      <w:r w:rsidRPr="00CB5F81">
        <w:rPr>
          <w:rStyle w:val="Bodytext20"/>
          <w:rFonts w:asciiTheme="majorHAnsi" w:eastAsiaTheme="minorHAnsi" w:hAnsiTheme="majorHAnsi" w:cstheme="majorHAnsi"/>
          <w:iCs/>
          <w:color w:val="auto"/>
          <w:sz w:val="24"/>
          <w:szCs w:val="24"/>
          <w:lang w:val="ro-MD"/>
        </w:rPr>
        <w:t xml:space="preserve">de </w:t>
      </w:r>
      <w:r w:rsidR="00BA1C70" w:rsidRPr="00CB5F81">
        <w:rPr>
          <w:rStyle w:val="Bodytext20"/>
          <w:rFonts w:asciiTheme="majorHAnsi" w:eastAsiaTheme="minorHAnsi" w:hAnsiTheme="majorHAnsi" w:cstheme="majorHAnsi"/>
          <w:iCs/>
          <w:color w:val="auto"/>
          <w:sz w:val="24"/>
          <w:szCs w:val="24"/>
          <w:lang w:val="ro-MD"/>
        </w:rPr>
        <w:t xml:space="preserve">primire a solicitărilor de la agenții economici, </w:t>
      </w:r>
      <w:r w:rsidR="0049770E">
        <w:rPr>
          <w:rStyle w:val="Bodytext20"/>
          <w:rFonts w:asciiTheme="majorHAnsi" w:eastAsiaTheme="minorHAnsi" w:hAnsiTheme="majorHAnsi" w:cstheme="majorHAnsi"/>
          <w:iCs/>
          <w:color w:val="auto"/>
          <w:sz w:val="24"/>
          <w:szCs w:val="24"/>
          <w:lang w:val="ro-MD"/>
        </w:rPr>
        <w:t xml:space="preserve">de </w:t>
      </w:r>
      <w:r w:rsidR="00BA1C70" w:rsidRPr="00CB5F81">
        <w:rPr>
          <w:rStyle w:val="Bodytext20"/>
          <w:rFonts w:asciiTheme="majorHAnsi" w:eastAsiaTheme="minorHAnsi" w:hAnsiTheme="majorHAnsi" w:cstheme="majorHAnsi"/>
          <w:iCs/>
          <w:color w:val="auto"/>
          <w:sz w:val="24"/>
          <w:szCs w:val="24"/>
          <w:lang w:val="ro-MD"/>
        </w:rPr>
        <w:t>examinare și adoptare a deciziilor privind volumul de alcool etilic nedenat</w:t>
      </w:r>
      <w:r w:rsidR="00CA7C36" w:rsidRPr="00CB5F81">
        <w:rPr>
          <w:rStyle w:val="Bodytext20"/>
          <w:rFonts w:asciiTheme="majorHAnsi" w:eastAsiaTheme="minorHAnsi" w:hAnsiTheme="majorHAnsi" w:cstheme="majorHAnsi"/>
          <w:iCs/>
          <w:color w:val="auto"/>
          <w:sz w:val="24"/>
          <w:szCs w:val="24"/>
          <w:lang w:val="ro-MD"/>
        </w:rPr>
        <w:t>urat scutit</w:t>
      </w:r>
      <w:r w:rsidR="00EC1EAF">
        <w:rPr>
          <w:rStyle w:val="Bodytext20"/>
          <w:rFonts w:asciiTheme="majorHAnsi" w:eastAsiaTheme="minorHAnsi" w:hAnsiTheme="majorHAnsi" w:cstheme="majorHAnsi"/>
          <w:iCs/>
          <w:color w:val="auto"/>
          <w:sz w:val="24"/>
          <w:szCs w:val="24"/>
          <w:lang w:val="ro-MD"/>
        </w:rPr>
        <w:t xml:space="preserve"> </w:t>
      </w:r>
      <w:r w:rsidR="00CA7C36" w:rsidRPr="00CB5F81">
        <w:rPr>
          <w:rStyle w:val="Bodytext20"/>
          <w:rFonts w:asciiTheme="majorHAnsi" w:eastAsiaTheme="minorHAnsi" w:hAnsiTheme="majorHAnsi" w:cstheme="majorHAnsi"/>
          <w:iCs/>
          <w:color w:val="auto"/>
          <w:sz w:val="24"/>
          <w:szCs w:val="24"/>
          <w:lang w:val="ro-MD"/>
        </w:rPr>
        <w:t xml:space="preserve">de plata accizelor, modului de raportare a utilizării </w:t>
      </w:r>
      <w:r w:rsidR="00CA7C36" w:rsidRPr="00CB5F81">
        <w:rPr>
          <w:rStyle w:val="Bodytext20"/>
          <w:rFonts w:asciiTheme="majorHAnsi" w:eastAsiaTheme="minorHAnsi" w:hAnsiTheme="majorHAnsi" w:cstheme="majorHAnsi"/>
          <w:color w:val="auto"/>
          <w:sz w:val="24"/>
          <w:szCs w:val="24"/>
          <w:lang w:val="ro-MD"/>
        </w:rPr>
        <w:t>alcoolului etilic nedenaturat.</w:t>
      </w:r>
      <w:r w:rsidR="00BA1C70" w:rsidRPr="00CB5F81">
        <w:rPr>
          <w:rStyle w:val="Bodytext20"/>
          <w:rFonts w:asciiTheme="majorHAnsi" w:eastAsiaTheme="minorHAnsi" w:hAnsiTheme="majorHAnsi" w:cstheme="majorHAnsi"/>
          <w:iCs/>
          <w:color w:val="auto"/>
          <w:sz w:val="24"/>
          <w:szCs w:val="24"/>
          <w:lang w:val="ro-MD"/>
        </w:rPr>
        <w:t xml:space="preserve"> Abia </w:t>
      </w:r>
      <w:r w:rsidR="007215A4" w:rsidRPr="00CB5F81">
        <w:rPr>
          <w:rStyle w:val="Bodytext20"/>
          <w:rFonts w:asciiTheme="majorHAnsi" w:eastAsiaTheme="minorHAnsi" w:hAnsiTheme="majorHAnsi" w:cstheme="majorHAnsi"/>
          <w:iCs/>
          <w:color w:val="auto"/>
          <w:sz w:val="24"/>
          <w:szCs w:val="24"/>
          <w:lang w:val="ro-MD"/>
        </w:rPr>
        <w:t xml:space="preserve">în luna </w:t>
      </w:r>
      <w:r w:rsidR="00BA1C70" w:rsidRPr="00CB5F81">
        <w:rPr>
          <w:rStyle w:val="Bodytext20"/>
          <w:rFonts w:asciiTheme="majorHAnsi" w:eastAsiaTheme="minorHAnsi" w:hAnsiTheme="majorHAnsi" w:cstheme="majorHAnsi"/>
          <w:color w:val="auto"/>
          <w:sz w:val="24"/>
          <w:szCs w:val="24"/>
          <w:lang w:val="ro-MD"/>
        </w:rPr>
        <w:t>septembrie 2021</w:t>
      </w:r>
      <w:r w:rsidR="007215A4" w:rsidRPr="00CB5F81">
        <w:rPr>
          <w:rStyle w:val="Bodytext20"/>
          <w:rFonts w:asciiTheme="majorHAnsi" w:eastAsiaTheme="minorHAnsi" w:hAnsiTheme="majorHAnsi" w:cstheme="majorHAnsi"/>
          <w:color w:val="auto"/>
          <w:sz w:val="24"/>
          <w:szCs w:val="24"/>
          <w:lang w:val="ro-MD"/>
        </w:rPr>
        <w:t xml:space="preserve"> a fost aprobat pentru prima dată Regulamentul cu privire la stabilirea cuantumului de alcool etilic nedenaturat, destinat utilizării în industria de parfumerie și cosmetică, scutit de plata </w:t>
      </w:r>
      <w:r w:rsidR="007215A4" w:rsidRPr="00CB5F81">
        <w:rPr>
          <w:rFonts w:asciiTheme="majorHAnsi" w:eastAsia="Times New Roman" w:hAnsiTheme="majorHAnsi" w:cstheme="majorHAnsi"/>
          <w:sz w:val="24"/>
          <w:szCs w:val="24"/>
        </w:rPr>
        <w:t xml:space="preserve">accizelor </w:t>
      </w:r>
      <w:r w:rsidR="00405000" w:rsidRPr="00CB5F81">
        <w:rPr>
          <w:rFonts w:asciiTheme="majorHAnsi" w:eastAsia="Times New Roman" w:hAnsiTheme="majorHAnsi" w:cstheme="majorHAnsi"/>
          <w:sz w:val="24"/>
          <w:szCs w:val="24"/>
        </w:rPr>
        <w:t>(</w:t>
      </w:r>
      <w:r w:rsidR="007215A4" w:rsidRPr="00CB5F81">
        <w:rPr>
          <w:rFonts w:asciiTheme="majorHAnsi" w:eastAsia="Times New Roman" w:hAnsiTheme="majorHAnsi" w:cstheme="majorHAnsi"/>
          <w:sz w:val="24"/>
          <w:szCs w:val="24"/>
        </w:rPr>
        <w:t>Ordinul MAIA nr. 8 din 09 septembrie 2021</w:t>
      </w:r>
      <w:r w:rsidR="00405000" w:rsidRPr="00CB5F81">
        <w:rPr>
          <w:rFonts w:asciiTheme="majorHAnsi" w:eastAsia="Times New Roman" w:hAnsiTheme="majorHAnsi" w:cstheme="majorHAnsi"/>
          <w:sz w:val="24"/>
          <w:szCs w:val="24"/>
        </w:rPr>
        <w:t>)</w:t>
      </w:r>
      <w:r w:rsidR="007215A4" w:rsidRPr="00CB5F81">
        <w:rPr>
          <w:rFonts w:asciiTheme="majorHAnsi" w:eastAsia="Times New Roman" w:hAnsiTheme="majorHAnsi" w:cstheme="majorHAnsi"/>
          <w:sz w:val="24"/>
          <w:szCs w:val="24"/>
        </w:rPr>
        <w:t>. În baza acestui Regulament</w:t>
      </w:r>
      <w:r w:rsidR="00AC2060">
        <w:rPr>
          <w:rFonts w:asciiTheme="majorHAnsi" w:eastAsia="Times New Roman" w:hAnsiTheme="majorHAnsi" w:cstheme="majorHAnsi"/>
          <w:sz w:val="24"/>
          <w:szCs w:val="24"/>
        </w:rPr>
        <w:t xml:space="preserve">, </w:t>
      </w:r>
      <w:r w:rsidR="007215A4" w:rsidRPr="00CB5F81">
        <w:rPr>
          <w:rFonts w:asciiTheme="majorHAnsi" w:eastAsia="Times New Roman" w:hAnsiTheme="majorHAnsi" w:cstheme="majorHAnsi"/>
          <w:sz w:val="24"/>
          <w:szCs w:val="24"/>
        </w:rPr>
        <w:t>a fost formată Comisia de examinare a cererilor înaintate de agenții economici, aprobată prin Ordinul MAIA nr.22 din 05 octombrie 2021, care include reprezentanți ai MAIA şi câte un reprezentant al S</w:t>
      </w:r>
      <w:r w:rsidR="000C3C26" w:rsidRPr="00CB5F81">
        <w:rPr>
          <w:rFonts w:asciiTheme="majorHAnsi" w:eastAsia="Times New Roman" w:hAnsiTheme="majorHAnsi" w:cstheme="majorHAnsi"/>
          <w:sz w:val="24"/>
          <w:szCs w:val="24"/>
        </w:rPr>
        <w:t>FS</w:t>
      </w:r>
      <w:r w:rsidR="007215A4" w:rsidRPr="00CB5F81">
        <w:rPr>
          <w:rFonts w:asciiTheme="majorHAnsi" w:eastAsia="Times New Roman" w:hAnsiTheme="majorHAnsi" w:cstheme="majorHAnsi"/>
          <w:sz w:val="24"/>
          <w:szCs w:val="24"/>
        </w:rPr>
        <w:t>, S</w:t>
      </w:r>
      <w:r w:rsidR="000C3C26" w:rsidRPr="00CB5F81">
        <w:rPr>
          <w:rFonts w:asciiTheme="majorHAnsi" w:eastAsia="Times New Roman" w:hAnsiTheme="majorHAnsi" w:cstheme="majorHAnsi"/>
          <w:sz w:val="24"/>
          <w:szCs w:val="24"/>
        </w:rPr>
        <w:t>V</w:t>
      </w:r>
      <w:r w:rsidR="00412088" w:rsidRPr="007B162D">
        <w:rPr>
          <w:rFonts w:asciiTheme="majorHAnsi" w:eastAsia="Times New Roman" w:hAnsiTheme="majorHAnsi" w:cstheme="majorHAnsi"/>
          <w:sz w:val="24"/>
          <w:szCs w:val="24"/>
        </w:rPr>
        <w:t>, A</w:t>
      </w:r>
      <w:r w:rsidR="000C3C26" w:rsidRPr="007B162D">
        <w:rPr>
          <w:rFonts w:asciiTheme="majorHAnsi" w:eastAsia="Times New Roman" w:hAnsiTheme="majorHAnsi" w:cstheme="majorHAnsi"/>
          <w:sz w:val="24"/>
          <w:szCs w:val="24"/>
        </w:rPr>
        <w:t>NSP</w:t>
      </w:r>
      <w:r w:rsidR="00412088" w:rsidRPr="007B162D">
        <w:rPr>
          <w:rFonts w:asciiTheme="majorHAnsi" w:eastAsia="Times New Roman" w:hAnsiTheme="majorHAnsi" w:cstheme="majorHAnsi"/>
          <w:sz w:val="24"/>
          <w:szCs w:val="24"/>
        </w:rPr>
        <w:t xml:space="preserve"> </w:t>
      </w:r>
      <w:r w:rsidR="00FD6E4A" w:rsidRPr="007B162D">
        <w:rPr>
          <w:rFonts w:asciiTheme="majorHAnsi" w:eastAsia="Times New Roman" w:hAnsiTheme="majorHAnsi" w:cstheme="majorHAnsi"/>
          <w:sz w:val="24"/>
          <w:szCs w:val="24"/>
        </w:rPr>
        <w:t>și</w:t>
      </w:r>
      <w:r w:rsidR="00412088" w:rsidRPr="007B162D">
        <w:rPr>
          <w:rFonts w:asciiTheme="majorHAnsi" w:eastAsia="Times New Roman" w:hAnsiTheme="majorHAnsi" w:cstheme="majorHAnsi"/>
          <w:sz w:val="24"/>
          <w:szCs w:val="24"/>
        </w:rPr>
        <w:t xml:space="preserve"> A</w:t>
      </w:r>
      <w:r w:rsidR="000C3C26" w:rsidRPr="007B162D">
        <w:rPr>
          <w:rFonts w:asciiTheme="majorHAnsi" w:eastAsia="Times New Roman" w:hAnsiTheme="majorHAnsi" w:cstheme="majorHAnsi"/>
          <w:sz w:val="24"/>
          <w:szCs w:val="24"/>
        </w:rPr>
        <w:t>NSA</w:t>
      </w:r>
      <w:r w:rsidR="007215A4" w:rsidRPr="007B162D">
        <w:rPr>
          <w:rFonts w:asciiTheme="majorHAnsi" w:eastAsia="Times New Roman" w:hAnsiTheme="majorHAnsi" w:cstheme="majorHAnsi"/>
          <w:sz w:val="24"/>
          <w:szCs w:val="24"/>
        </w:rPr>
        <w:t>.</w:t>
      </w:r>
    </w:p>
    <w:p w:rsidR="00E057D5" w:rsidRPr="00CB5F81" w:rsidRDefault="00E057D5" w:rsidP="00CA7C36">
      <w:pPr>
        <w:spacing w:after="0" w:line="240" w:lineRule="auto"/>
        <w:jc w:val="both"/>
        <w:rPr>
          <w:rFonts w:asciiTheme="majorHAnsi" w:eastAsia="Times New Roman" w:hAnsiTheme="majorHAnsi" w:cstheme="majorHAnsi"/>
          <w:sz w:val="24"/>
          <w:szCs w:val="24"/>
        </w:rPr>
      </w:pPr>
    </w:p>
    <w:p w:rsidR="00CA7C36" w:rsidRPr="00CB5F81" w:rsidRDefault="00CA7C36" w:rsidP="00E057D5">
      <w:pPr>
        <w:spacing w:after="120" w:line="240" w:lineRule="auto"/>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În circumstanțe</w:t>
      </w:r>
      <w:r w:rsidR="00331A24" w:rsidRPr="00CB5F81">
        <w:rPr>
          <w:rFonts w:asciiTheme="majorHAnsi" w:eastAsia="Times New Roman" w:hAnsiTheme="majorHAnsi" w:cstheme="majorHAnsi"/>
          <w:sz w:val="24"/>
          <w:szCs w:val="24"/>
        </w:rPr>
        <w:t>le descrise</w:t>
      </w:r>
      <w:r w:rsidRPr="00CB5F81">
        <w:rPr>
          <w:rFonts w:asciiTheme="majorHAnsi" w:eastAsia="Times New Roman" w:hAnsiTheme="majorHAnsi" w:cstheme="majorHAnsi"/>
          <w:sz w:val="24"/>
          <w:szCs w:val="24"/>
        </w:rPr>
        <w:t>, fără a dispune de careva reglementări</w:t>
      </w:r>
      <w:r w:rsidR="00331A24" w:rsidRPr="00CB5F81">
        <w:rPr>
          <w:rFonts w:asciiTheme="majorHAnsi" w:eastAsia="Times New Roman" w:hAnsiTheme="majorHAnsi" w:cstheme="majorHAnsi"/>
          <w:sz w:val="24"/>
          <w:szCs w:val="24"/>
        </w:rPr>
        <w:t xml:space="preserve"> și </w:t>
      </w:r>
      <w:r w:rsidR="00AC2060">
        <w:rPr>
          <w:rFonts w:asciiTheme="majorHAnsi" w:eastAsia="Times New Roman" w:hAnsiTheme="majorHAnsi" w:cstheme="majorHAnsi"/>
          <w:sz w:val="24"/>
          <w:szCs w:val="24"/>
        </w:rPr>
        <w:t xml:space="preserve">fără </w:t>
      </w:r>
      <w:r w:rsidR="00331A24" w:rsidRPr="00CB5F81">
        <w:rPr>
          <w:rFonts w:asciiTheme="majorHAnsi" w:eastAsia="Times New Roman" w:hAnsiTheme="majorHAnsi" w:cstheme="majorHAnsi"/>
          <w:sz w:val="24"/>
          <w:szCs w:val="24"/>
        </w:rPr>
        <w:t>o</w:t>
      </w:r>
      <w:r w:rsidR="005F4D6A" w:rsidRPr="00CB5F81">
        <w:rPr>
          <w:rFonts w:asciiTheme="majorHAnsi" w:eastAsia="Times New Roman" w:hAnsiTheme="majorHAnsi" w:cstheme="majorHAnsi"/>
          <w:sz w:val="24"/>
          <w:szCs w:val="24"/>
        </w:rPr>
        <w:t xml:space="preserve"> claritate </w:t>
      </w:r>
      <w:r w:rsidR="00331A24" w:rsidRPr="00CB5F81">
        <w:rPr>
          <w:rFonts w:asciiTheme="majorHAnsi" w:eastAsia="Times New Roman" w:hAnsiTheme="majorHAnsi" w:cstheme="majorHAnsi"/>
          <w:sz w:val="24"/>
          <w:szCs w:val="24"/>
        </w:rPr>
        <w:t>vizavi de</w:t>
      </w:r>
      <w:r w:rsidR="00EC1EAF">
        <w:rPr>
          <w:rFonts w:asciiTheme="majorHAnsi" w:eastAsia="Times New Roman" w:hAnsiTheme="majorHAnsi" w:cstheme="majorHAnsi"/>
          <w:sz w:val="24"/>
          <w:szCs w:val="24"/>
        </w:rPr>
        <w:t xml:space="preserve"> </w:t>
      </w:r>
      <w:r w:rsidR="005F4D6A" w:rsidRPr="00CB5F81">
        <w:rPr>
          <w:rFonts w:asciiTheme="majorHAnsi" w:eastAsia="Times New Roman" w:hAnsiTheme="majorHAnsi" w:cstheme="majorHAnsi"/>
          <w:sz w:val="24"/>
          <w:szCs w:val="24"/>
        </w:rPr>
        <w:t>funcționalitatea</w:t>
      </w:r>
      <w:r w:rsidRPr="00CB5F81">
        <w:rPr>
          <w:rFonts w:asciiTheme="majorHAnsi" w:eastAsia="Times New Roman" w:hAnsiTheme="majorHAnsi" w:cstheme="majorHAnsi"/>
          <w:sz w:val="24"/>
          <w:szCs w:val="24"/>
        </w:rPr>
        <w:t xml:space="preserve"> proces</w:t>
      </w:r>
      <w:r w:rsidR="005F4D6A" w:rsidRPr="00CB5F81">
        <w:rPr>
          <w:rFonts w:asciiTheme="majorHAnsi" w:eastAsia="Times New Roman" w:hAnsiTheme="majorHAnsi" w:cstheme="majorHAnsi"/>
          <w:sz w:val="24"/>
          <w:szCs w:val="24"/>
        </w:rPr>
        <w:t>ului</w:t>
      </w:r>
      <w:r w:rsidRPr="00CB5F81">
        <w:rPr>
          <w:rFonts w:asciiTheme="majorHAnsi" w:eastAsia="Times New Roman" w:hAnsiTheme="majorHAnsi" w:cstheme="majorHAnsi"/>
          <w:sz w:val="24"/>
          <w:szCs w:val="24"/>
        </w:rPr>
        <w:t xml:space="preserve"> de acordare a scutirilor, în perioada anilor 2020-2021</w:t>
      </w:r>
      <w:r w:rsidR="005F4D6A" w:rsidRPr="00CB5F81">
        <w:rPr>
          <w:rFonts w:asciiTheme="majorHAnsi" w:eastAsia="Times New Roman" w:hAnsiTheme="majorHAnsi" w:cstheme="majorHAnsi"/>
          <w:sz w:val="24"/>
          <w:szCs w:val="24"/>
        </w:rPr>
        <w:t xml:space="preserve">, MAIA a </w:t>
      </w:r>
      <w:r w:rsidR="00E057D5" w:rsidRPr="00CB5F81">
        <w:rPr>
          <w:rFonts w:asciiTheme="majorHAnsi" w:eastAsia="Times New Roman" w:hAnsiTheme="majorHAnsi" w:cstheme="majorHAnsi"/>
          <w:sz w:val="24"/>
          <w:szCs w:val="24"/>
        </w:rPr>
        <w:lastRenderedPageBreak/>
        <w:t>recepționat de la agenții economici</w:t>
      </w:r>
      <w:r w:rsidR="00CC20E3" w:rsidRPr="00CB5F81">
        <w:rPr>
          <w:rFonts w:asciiTheme="majorHAnsi" w:eastAsia="Times New Roman" w:hAnsiTheme="majorHAnsi" w:cstheme="majorHAnsi"/>
          <w:sz w:val="24"/>
          <w:szCs w:val="24"/>
        </w:rPr>
        <w:t xml:space="preserve"> </w:t>
      </w:r>
      <w:r w:rsidR="00E057D5" w:rsidRPr="00CB5F81">
        <w:rPr>
          <w:rFonts w:asciiTheme="majorHAnsi" w:eastAsia="Times New Roman" w:hAnsiTheme="majorHAnsi" w:cstheme="majorHAnsi"/>
          <w:sz w:val="24"/>
          <w:szCs w:val="24"/>
        </w:rPr>
        <w:t xml:space="preserve">solicitări </w:t>
      </w:r>
      <w:r w:rsidR="00AC2060">
        <w:rPr>
          <w:rFonts w:asciiTheme="majorHAnsi" w:eastAsia="Times New Roman" w:hAnsiTheme="majorHAnsi" w:cstheme="majorHAnsi"/>
          <w:sz w:val="24"/>
          <w:szCs w:val="24"/>
        </w:rPr>
        <w:t>privind</w:t>
      </w:r>
      <w:r w:rsidR="00E057D5" w:rsidRPr="00CB5F81">
        <w:rPr>
          <w:rFonts w:asciiTheme="majorHAnsi" w:eastAsia="Times New Roman" w:hAnsiTheme="majorHAnsi" w:cstheme="majorHAnsi"/>
          <w:sz w:val="24"/>
          <w:szCs w:val="24"/>
        </w:rPr>
        <w:t xml:space="preserve"> </w:t>
      </w:r>
      <w:r w:rsidR="00E057D5" w:rsidRPr="007B162D">
        <w:rPr>
          <w:rFonts w:asciiTheme="majorHAnsi" w:eastAsia="Times New Roman" w:hAnsiTheme="majorHAnsi" w:cstheme="majorHAnsi"/>
          <w:sz w:val="24"/>
          <w:szCs w:val="24"/>
        </w:rPr>
        <w:t>scutirea</w:t>
      </w:r>
      <w:r w:rsidR="00F302EA" w:rsidRPr="007B162D">
        <w:rPr>
          <w:rFonts w:asciiTheme="majorHAnsi" w:eastAsia="Times New Roman" w:hAnsiTheme="majorHAnsi" w:cstheme="majorHAnsi"/>
          <w:sz w:val="24"/>
          <w:szCs w:val="24"/>
        </w:rPr>
        <w:t xml:space="preserve"> de acci</w:t>
      </w:r>
      <w:r w:rsidR="00412088" w:rsidRPr="007B162D">
        <w:rPr>
          <w:rFonts w:asciiTheme="majorHAnsi" w:eastAsia="Times New Roman" w:hAnsiTheme="majorHAnsi" w:cstheme="majorHAnsi"/>
          <w:sz w:val="24"/>
          <w:szCs w:val="24"/>
        </w:rPr>
        <w:t>ze</w:t>
      </w:r>
      <w:r w:rsidR="00F302EA" w:rsidRPr="00CB5F81">
        <w:rPr>
          <w:rFonts w:asciiTheme="majorHAnsi" w:eastAsia="Times New Roman" w:hAnsiTheme="majorHAnsi" w:cstheme="majorHAnsi"/>
          <w:sz w:val="24"/>
          <w:szCs w:val="24"/>
        </w:rPr>
        <w:t xml:space="preserve"> în valoare </w:t>
      </w:r>
      <w:r w:rsidR="00CC20E3" w:rsidRPr="00CB5F81">
        <w:rPr>
          <w:rFonts w:asciiTheme="majorHAnsi" w:eastAsia="Times New Roman" w:hAnsiTheme="majorHAnsi" w:cstheme="majorHAnsi"/>
          <w:sz w:val="24"/>
          <w:szCs w:val="24"/>
        </w:rPr>
        <w:t xml:space="preserve">totală </w:t>
      </w:r>
      <w:r w:rsidR="00F302EA" w:rsidRPr="00CB5F81">
        <w:rPr>
          <w:rFonts w:asciiTheme="majorHAnsi" w:eastAsia="Times New Roman" w:hAnsiTheme="majorHAnsi" w:cstheme="majorHAnsi"/>
          <w:sz w:val="24"/>
          <w:szCs w:val="24"/>
        </w:rPr>
        <w:t>de</w:t>
      </w:r>
      <w:r w:rsidR="00CC20E3" w:rsidRPr="00CB5F81">
        <w:rPr>
          <w:rFonts w:asciiTheme="majorHAnsi" w:eastAsia="Times New Roman" w:hAnsiTheme="majorHAnsi" w:cstheme="majorHAnsi"/>
          <w:sz w:val="24"/>
          <w:szCs w:val="24"/>
        </w:rPr>
        <w:t xml:space="preserve"> 1058,2 </w:t>
      </w:r>
      <w:r w:rsidR="00726434" w:rsidRPr="00CB5F81">
        <w:rPr>
          <w:rFonts w:asciiTheme="majorHAnsi" w:eastAsia="Times New Roman" w:hAnsiTheme="majorHAnsi" w:cstheme="majorHAnsi"/>
          <w:sz w:val="24"/>
          <w:szCs w:val="24"/>
        </w:rPr>
        <w:t>mil.</w:t>
      </w:r>
      <w:r w:rsidR="00CC20E3" w:rsidRPr="00CB5F81">
        <w:rPr>
          <w:rFonts w:asciiTheme="majorHAnsi" w:eastAsia="Times New Roman" w:hAnsiTheme="majorHAnsi" w:cstheme="majorHAnsi"/>
          <w:sz w:val="24"/>
          <w:szCs w:val="24"/>
        </w:rPr>
        <w:t>lei</w:t>
      </w:r>
      <w:r w:rsidR="00CC20E3" w:rsidRPr="00CB5F81">
        <w:rPr>
          <w:rStyle w:val="FootnoteReference"/>
          <w:rFonts w:asciiTheme="majorHAnsi" w:eastAsia="Times New Roman" w:hAnsiTheme="majorHAnsi" w:cstheme="majorHAnsi"/>
          <w:sz w:val="24"/>
          <w:szCs w:val="24"/>
        </w:rPr>
        <w:footnoteReference w:id="45"/>
      </w:r>
      <w:r w:rsidR="00CC20E3" w:rsidRPr="00CB5F81">
        <w:rPr>
          <w:rFonts w:asciiTheme="majorHAnsi" w:eastAsia="Times New Roman" w:hAnsiTheme="majorHAnsi" w:cstheme="majorHAnsi"/>
          <w:sz w:val="24"/>
          <w:szCs w:val="24"/>
        </w:rPr>
        <w:t xml:space="preserve">. Urmare examinării </w:t>
      </w:r>
      <w:r w:rsidR="00412088" w:rsidRPr="00CB5F81">
        <w:rPr>
          <w:rFonts w:asciiTheme="majorHAnsi" w:eastAsia="Times New Roman" w:hAnsiTheme="majorHAnsi" w:cstheme="majorHAnsi"/>
          <w:sz w:val="24"/>
          <w:szCs w:val="24"/>
        </w:rPr>
        <w:t>solicitărilor</w:t>
      </w:r>
      <w:r w:rsidR="00AC2060">
        <w:rPr>
          <w:rFonts w:asciiTheme="majorHAnsi" w:eastAsia="Times New Roman" w:hAnsiTheme="majorHAnsi" w:cstheme="majorHAnsi"/>
          <w:sz w:val="24"/>
          <w:szCs w:val="24"/>
        </w:rPr>
        <w:t>,</w:t>
      </w:r>
      <w:r w:rsidR="00412088" w:rsidRPr="00CB5F81">
        <w:rPr>
          <w:rFonts w:asciiTheme="majorHAnsi" w:eastAsia="Times New Roman" w:hAnsiTheme="majorHAnsi" w:cstheme="majorHAnsi"/>
          <w:sz w:val="24"/>
          <w:szCs w:val="24"/>
        </w:rPr>
        <w:t xml:space="preserve"> </w:t>
      </w:r>
      <w:r w:rsidR="00CC20E3" w:rsidRPr="00CB5F81">
        <w:rPr>
          <w:rFonts w:asciiTheme="majorHAnsi" w:eastAsia="Times New Roman" w:hAnsiTheme="majorHAnsi" w:cstheme="majorHAnsi"/>
          <w:sz w:val="24"/>
          <w:szCs w:val="24"/>
        </w:rPr>
        <w:t>au fost acceptate</w:t>
      </w:r>
      <w:r w:rsidR="00EC1EAF">
        <w:rPr>
          <w:rFonts w:asciiTheme="majorHAnsi" w:eastAsia="Times New Roman" w:hAnsiTheme="majorHAnsi" w:cstheme="majorHAnsi"/>
          <w:sz w:val="24"/>
          <w:szCs w:val="24"/>
        </w:rPr>
        <w:t xml:space="preserve"> </w:t>
      </w:r>
      <w:r w:rsidR="00CC20E3" w:rsidRPr="00CB5F81">
        <w:rPr>
          <w:rFonts w:asciiTheme="majorHAnsi" w:eastAsia="Times New Roman" w:hAnsiTheme="majorHAnsi" w:cstheme="majorHAnsi"/>
          <w:sz w:val="24"/>
          <w:szCs w:val="24"/>
        </w:rPr>
        <w:t>înlesniri</w:t>
      </w:r>
      <w:r w:rsidR="00EC1EAF">
        <w:rPr>
          <w:rFonts w:asciiTheme="majorHAnsi" w:eastAsia="Times New Roman" w:hAnsiTheme="majorHAnsi" w:cstheme="majorHAnsi"/>
          <w:sz w:val="24"/>
          <w:szCs w:val="24"/>
        </w:rPr>
        <w:t xml:space="preserve"> </w:t>
      </w:r>
      <w:r w:rsidRPr="00CB5F81">
        <w:rPr>
          <w:rFonts w:asciiTheme="majorHAnsi" w:eastAsia="Times New Roman" w:hAnsiTheme="majorHAnsi" w:cstheme="majorHAnsi"/>
          <w:sz w:val="24"/>
          <w:szCs w:val="24"/>
        </w:rPr>
        <w:t>în valoare totală de</w:t>
      </w:r>
      <w:r w:rsidR="00CC20E3" w:rsidRPr="00CB5F81">
        <w:rPr>
          <w:rFonts w:asciiTheme="majorHAnsi" w:eastAsia="Times New Roman" w:hAnsiTheme="majorHAnsi" w:cstheme="majorHAnsi"/>
          <w:sz w:val="24"/>
          <w:szCs w:val="24"/>
        </w:rPr>
        <w:t xml:space="preserve"> </w:t>
      </w:r>
      <w:r w:rsidR="00530611" w:rsidRPr="00CB5F81">
        <w:rPr>
          <w:rFonts w:asciiTheme="majorHAnsi" w:eastAsia="Times New Roman" w:hAnsiTheme="majorHAnsi" w:cstheme="majorHAnsi"/>
          <w:sz w:val="24"/>
          <w:szCs w:val="24"/>
        </w:rPr>
        <w:t xml:space="preserve">896,1 </w:t>
      </w:r>
      <w:r w:rsidRPr="00CB5F81">
        <w:rPr>
          <w:rFonts w:asciiTheme="majorHAnsi" w:eastAsia="Times New Roman" w:hAnsiTheme="majorHAnsi" w:cstheme="majorHAnsi"/>
          <w:sz w:val="24"/>
          <w:szCs w:val="24"/>
        </w:rPr>
        <w:t>mil</w:t>
      </w:r>
      <w:r w:rsidR="00331A24" w:rsidRPr="00CB5F81">
        <w:rPr>
          <w:rFonts w:asciiTheme="majorHAnsi" w:eastAsia="Times New Roman" w:hAnsiTheme="majorHAnsi" w:cstheme="majorHAnsi"/>
          <w:sz w:val="24"/>
          <w:szCs w:val="24"/>
        </w:rPr>
        <w:t>.</w:t>
      </w:r>
      <w:r w:rsidRPr="00CB5F81">
        <w:rPr>
          <w:rFonts w:asciiTheme="majorHAnsi" w:eastAsia="Times New Roman" w:hAnsiTheme="majorHAnsi" w:cstheme="majorHAnsi"/>
          <w:sz w:val="24"/>
          <w:szCs w:val="24"/>
        </w:rPr>
        <w:t xml:space="preserve"> lei</w:t>
      </w:r>
      <w:r w:rsidR="00530611" w:rsidRPr="00CB5F81">
        <w:rPr>
          <w:rFonts w:asciiTheme="majorHAnsi" w:eastAsia="Times New Roman" w:hAnsiTheme="majorHAnsi" w:cstheme="majorHAnsi"/>
          <w:sz w:val="24"/>
          <w:szCs w:val="24"/>
        </w:rPr>
        <w:t>,</w:t>
      </w:r>
      <w:r w:rsidR="00EC1EAF">
        <w:rPr>
          <w:rFonts w:asciiTheme="majorHAnsi" w:eastAsia="Times New Roman" w:hAnsiTheme="majorHAnsi" w:cstheme="majorHAnsi"/>
          <w:sz w:val="24"/>
          <w:szCs w:val="24"/>
        </w:rPr>
        <w:t xml:space="preserve"> </w:t>
      </w:r>
      <w:r w:rsidR="00530611" w:rsidRPr="00CB5F81">
        <w:rPr>
          <w:rFonts w:asciiTheme="majorHAnsi" w:eastAsia="Times New Roman" w:hAnsiTheme="majorHAnsi" w:cstheme="majorHAnsi"/>
          <w:sz w:val="24"/>
          <w:szCs w:val="24"/>
        </w:rPr>
        <w:t>inclusiv</w:t>
      </w:r>
      <w:r w:rsidR="00EC1EAF">
        <w:rPr>
          <w:rFonts w:asciiTheme="majorHAnsi" w:eastAsia="Times New Roman" w:hAnsiTheme="majorHAnsi" w:cstheme="majorHAnsi"/>
          <w:sz w:val="24"/>
          <w:szCs w:val="24"/>
        </w:rPr>
        <w:t xml:space="preserve"> </w:t>
      </w:r>
      <w:r w:rsidR="00530611" w:rsidRPr="00CB5F81">
        <w:rPr>
          <w:rFonts w:asciiTheme="majorHAnsi" w:eastAsia="Times New Roman" w:hAnsiTheme="majorHAnsi" w:cstheme="majorHAnsi"/>
          <w:sz w:val="24"/>
          <w:szCs w:val="24"/>
        </w:rPr>
        <w:t xml:space="preserve">în anul 2020 </w:t>
      </w:r>
      <w:r w:rsidR="00AC2060">
        <w:rPr>
          <w:rFonts w:asciiTheme="majorHAnsi" w:eastAsia="Times New Roman" w:hAnsiTheme="majorHAnsi" w:cstheme="majorHAnsi"/>
          <w:sz w:val="24"/>
          <w:szCs w:val="24"/>
        </w:rPr>
        <w:t>–</w:t>
      </w:r>
      <w:r w:rsidR="00530611" w:rsidRPr="00CB5F81">
        <w:rPr>
          <w:rFonts w:asciiTheme="majorHAnsi" w:eastAsia="Times New Roman" w:hAnsiTheme="majorHAnsi" w:cstheme="majorHAnsi"/>
          <w:sz w:val="24"/>
          <w:szCs w:val="24"/>
        </w:rPr>
        <w:t xml:space="preserve"> </w:t>
      </w:r>
      <w:r w:rsidR="00AC2060">
        <w:rPr>
          <w:rFonts w:asciiTheme="majorHAnsi" w:eastAsia="Times New Roman" w:hAnsiTheme="majorHAnsi" w:cstheme="majorHAnsi"/>
          <w:sz w:val="24"/>
          <w:szCs w:val="24"/>
        </w:rPr>
        <w:t xml:space="preserve">de </w:t>
      </w:r>
      <w:r w:rsidR="00530611" w:rsidRPr="00CB5F81">
        <w:rPr>
          <w:rFonts w:asciiTheme="majorHAnsi" w:eastAsia="Times New Roman" w:hAnsiTheme="majorHAnsi" w:cstheme="majorHAnsi"/>
          <w:sz w:val="24"/>
          <w:szCs w:val="24"/>
        </w:rPr>
        <w:t>666,6 mil. lei</w:t>
      </w:r>
      <w:r w:rsidR="00AC2060">
        <w:rPr>
          <w:rFonts w:asciiTheme="majorHAnsi" w:eastAsia="Times New Roman" w:hAnsiTheme="majorHAnsi" w:cstheme="majorHAnsi"/>
          <w:sz w:val="24"/>
          <w:szCs w:val="24"/>
        </w:rPr>
        <w:t>,</w:t>
      </w:r>
      <w:r w:rsidR="00530611" w:rsidRPr="00CB5F81">
        <w:rPr>
          <w:rFonts w:asciiTheme="majorHAnsi" w:eastAsia="Times New Roman" w:hAnsiTheme="majorHAnsi" w:cstheme="majorHAnsi"/>
          <w:sz w:val="24"/>
          <w:szCs w:val="24"/>
        </w:rPr>
        <w:t xml:space="preserve"> și în anul 2021-</w:t>
      </w:r>
      <w:r w:rsidR="00937D16" w:rsidRPr="00CB5F81">
        <w:rPr>
          <w:rFonts w:asciiTheme="majorHAnsi" w:eastAsia="Times New Roman" w:hAnsiTheme="majorHAnsi" w:cstheme="majorHAnsi"/>
          <w:sz w:val="24"/>
          <w:szCs w:val="24"/>
        </w:rPr>
        <w:t xml:space="preserve"> </w:t>
      </w:r>
      <w:r w:rsidR="00AC2060">
        <w:rPr>
          <w:rFonts w:asciiTheme="majorHAnsi" w:eastAsia="Times New Roman" w:hAnsiTheme="majorHAnsi" w:cstheme="majorHAnsi"/>
          <w:sz w:val="24"/>
          <w:szCs w:val="24"/>
        </w:rPr>
        <w:t xml:space="preserve">de </w:t>
      </w:r>
      <w:r w:rsidR="00EB5144" w:rsidRPr="00CB5F81">
        <w:rPr>
          <w:rFonts w:asciiTheme="majorHAnsi" w:eastAsia="Times New Roman" w:hAnsiTheme="majorHAnsi" w:cstheme="majorHAnsi"/>
          <w:sz w:val="24"/>
          <w:szCs w:val="24"/>
        </w:rPr>
        <w:t>229,5 mil</w:t>
      </w:r>
      <w:r w:rsidR="00312C95" w:rsidRPr="00CB5F81">
        <w:rPr>
          <w:rFonts w:asciiTheme="majorHAnsi" w:eastAsia="Times New Roman" w:hAnsiTheme="majorHAnsi" w:cstheme="majorHAnsi"/>
          <w:sz w:val="24"/>
          <w:szCs w:val="24"/>
        </w:rPr>
        <w:t>.</w:t>
      </w:r>
      <w:r w:rsidR="00EB5144" w:rsidRPr="00CB5F81">
        <w:rPr>
          <w:rFonts w:asciiTheme="majorHAnsi" w:eastAsia="Times New Roman" w:hAnsiTheme="majorHAnsi" w:cstheme="majorHAnsi"/>
          <w:sz w:val="24"/>
          <w:szCs w:val="24"/>
        </w:rPr>
        <w:t xml:space="preserve"> lei.</w:t>
      </w:r>
      <w:r w:rsidRPr="00CB5F81">
        <w:rPr>
          <w:rFonts w:asciiTheme="majorHAnsi" w:eastAsia="Times New Roman" w:hAnsiTheme="majorHAnsi" w:cstheme="majorHAnsi"/>
          <w:sz w:val="24"/>
          <w:szCs w:val="24"/>
        </w:rPr>
        <w:t xml:space="preserve"> </w:t>
      </w:r>
    </w:p>
    <w:p w:rsidR="00FD6E4A" w:rsidRDefault="00EB5144" w:rsidP="00FD6E4A">
      <w:pPr>
        <w:spacing w:after="0" w:line="240" w:lineRule="auto"/>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Datele privind acordarea </w:t>
      </w:r>
      <w:r w:rsidR="00AC2060">
        <w:rPr>
          <w:rFonts w:asciiTheme="majorHAnsi" w:eastAsia="Times New Roman" w:hAnsiTheme="majorHAnsi" w:cstheme="majorHAnsi"/>
          <w:sz w:val="24"/>
          <w:szCs w:val="24"/>
        </w:rPr>
        <w:t xml:space="preserve">acestei </w:t>
      </w:r>
      <w:r w:rsidRPr="00CB5F81">
        <w:rPr>
          <w:rFonts w:asciiTheme="majorHAnsi" w:eastAsia="Times New Roman" w:hAnsiTheme="majorHAnsi" w:cstheme="majorHAnsi"/>
          <w:sz w:val="24"/>
          <w:szCs w:val="24"/>
        </w:rPr>
        <w:t>facilități</w:t>
      </w:r>
      <w:r w:rsidR="00AC2060">
        <w:rPr>
          <w:rFonts w:asciiTheme="majorHAnsi" w:eastAsia="Times New Roman" w:hAnsiTheme="majorHAnsi" w:cstheme="majorHAnsi"/>
          <w:sz w:val="24"/>
          <w:szCs w:val="24"/>
        </w:rPr>
        <w:t>,</w:t>
      </w:r>
      <w:r w:rsidRPr="00CB5F81">
        <w:rPr>
          <w:rFonts w:asciiTheme="majorHAnsi" w:eastAsia="Times New Roman" w:hAnsiTheme="majorHAnsi" w:cstheme="majorHAnsi"/>
          <w:sz w:val="24"/>
          <w:szCs w:val="24"/>
        </w:rPr>
        <w:t xml:space="preserve"> în evoluție</w:t>
      </w:r>
      <w:r w:rsidR="00AC2060">
        <w:rPr>
          <w:rFonts w:asciiTheme="majorHAnsi" w:eastAsia="Times New Roman" w:hAnsiTheme="majorHAnsi" w:cstheme="majorHAnsi"/>
          <w:sz w:val="24"/>
          <w:szCs w:val="24"/>
        </w:rPr>
        <w:t>,</w:t>
      </w:r>
      <w:r w:rsidRPr="00CB5F81">
        <w:rPr>
          <w:rFonts w:asciiTheme="majorHAnsi" w:eastAsia="Times New Roman" w:hAnsiTheme="majorHAnsi" w:cstheme="majorHAnsi"/>
          <w:sz w:val="24"/>
          <w:szCs w:val="24"/>
        </w:rPr>
        <w:t xml:space="preserve"> pentru a</w:t>
      </w:r>
      <w:r w:rsidR="00032B66">
        <w:rPr>
          <w:rFonts w:asciiTheme="majorHAnsi" w:eastAsia="Times New Roman" w:hAnsiTheme="majorHAnsi" w:cstheme="majorHAnsi"/>
          <w:sz w:val="24"/>
          <w:szCs w:val="24"/>
        </w:rPr>
        <w:t xml:space="preserve">nii 2019- 2021 sunt redate în </w:t>
      </w:r>
      <w:r w:rsidR="00032B66" w:rsidRPr="005405A7">
        <w:rPr>
          <w:rFonts w:asciiTheme="majorHAnsi" w:eastAsia="Times New Roman" w:hAnsiTheme="majorHAnsi" w:cstheme="majorHAnsi"/>
          <w:sz w:val="24"/>
          <w:szCs w:val="24"/>
        </w:rPr>
        <w:t>D</w:t>
      </w:r>
      <w:r w:rsidRPr="005405A7">
        <w:rPr>
          <w:rFonts w:asciiTheme="majorHAnsi" w:eastAsia="Times New Roman" w:hAnsiTheme="majorHAnsi" w:cstheme="majorHAnsi"/>
          <w:sz w:val="24"/>
          <w:szCs w:val="24"/>
        </w:rPr>
        <w:t>i</w:t>
      </w:r>
      <w:r w:rsidRPr="00CB5F81">
        <w:rPr>
          <w:rFonts w:asciiTheme="majorHAnsi" w:eastAsia="Times New Roman" w:hAnsiTheme="majorHAnsi" w:cstheme="majorHAnsi"/>
          <w:sz w:val="24"/>
          <w:szCs w:val="24"/>
        </w:rPr>
        <w:t>agrama</w:t>
      </w:r>
      <w:r w:rsidR="00FD6E4A">
        <w:rPr>
          <w:rFonts w:asciiTheme="majorHAnsi" w:eastAsia="Times New Roman" w:hAnsiTheme="majorHAnsi" w:cstheme="majorHAnsi"/>
          <w:sz w:val="24"/>
          <w:szCs w:val="24"/>
        </w:rPr>
        <w:t xml:space="preserve"> </w:t>
      </w:r>
      <w:r w:rsidR="00AC2060">
        <w:rPr>
          <w:rFonts w:asciiTheme="majorHAnsi" w:eastAsia="Times New Roman" w:hAnsiTheme="majorHAnsi" w:cstheme="majorHAnsi"/>
          <w:sz w:val="24"/>
          <w:szCs w:val="24"/>
        </w:rPr>
        <w:t>următoare</w:t>
      </w:r>
      <w:r w:rsidR="00FD6E4A">
        <w:rPr>
          <w:rFonts w:asciiTheme="majorHAnsi" w:eastAsia="Times New Roman" w:hAnsiTheme="majorHAnsi" w:cstheme="majorHAnsi"/>
          <w:sz w:val="24"/>
          <w:szCs w:val="24"/>
        </w:rPr>
        <w:t xml:space="preserve">. </w:t>
      </w:r>
    </w:p>
    <w:p w:rsidR="00EB5144" w:rsidRPr="00D05E06" w:rsidRDefault="00FD6E4A" w:rsidP="00FD6E4A">
      <w:pPr>
        <w:spacing w:after="120" w:line="240" w:lineRule="auto"/>
        <w:jc w:val="right"/>
        <w:rPr>
          <w:rFonts w:asciiTheme="majorHAnsi" w:eastAsia="Times New Roman" w:hAnsiTheme="majorHAnsi" w:cstheme="majorHAnsi"/>
          <w:b/>
          <w:sz w:val="24"/>
          <w:szCs w:val="24"/>
        </w:rPr>
      </w:pPr>
      <w:r w:rsidRPr="00D05E06">
        <w:rPr>
          <w:rFonts w:asciiTheme="majorHAnsi" w:eastAsia="Times New Roman" w:hAnsiTheme="majorHAnsi" w:cstheme="majorHAnsi"/>
          <w:b/>
          <w:sz w:val="24"/>
          <w:szCs w:val="24"/>
        </w:rPr>
        <w:t xml:space="preserve">Diagrama </w:t>
      </w:r>
      <w:r w:rsidR="00EB5144" w:rsidRPr="00D05E06">
        <w:rPr>
          <w:rFonts w:asciiTheme="majorHAnsi" w:eastAsia="Times New Roman" w:hAnsiTheme="majorHAnsi" w:cstheme="majorHAnsi"/>
          <w:b/>
          <w:sz w:val="24"/>
          <w:szCs w:val="24"/>
        </w:rPr>
        <w:t>nr.</w:t>
      </w:r>
      <w:r w:rsidRPr="00D05E06">
        <w:rPr>
          <w:rFonts w:asciiTheme="majorHAnsi" w:eastAsia="Times New Roman" w:hAnsiTheme="majorHAnsi" w:cstheme="majorHAnsi"/>
          <w:b/>
          <w:sz w:val="24"/>
          <w:szCs w:val="24"/>
        </w:rPr>
        <w:t>4</w:t>
      </w:r>
    </w:p>
    <w:p w:rsidR="00EB5144" w:rsidRPr="00CB5F81" w:rsidRDefault="00B926B1" w:rsidP="00B926B1">
      <w:pPr>
        <w:spacing w:after="120" w:line="240" w:lineRule="auto"/>
        <w:ind w:left="900"/>
        <w:jc w:val="both"/>
        <w:rPr>
          <w:rFonts w:asciiTheme="majorHAnsi" w:eastAsia="Times New Roman" w:hAnsiTheme="majorHAnsi" w:cstheme="majorHAnsi"/>
          <w:color w:val="FF0000"/>
          <w:sz w:val="24"/>
          <w:szCs w:val="24"/>
        </w:rPr>
      </w:pPr>
      <w:r w:rsidRPr="00CB5F81">
        <w:rPr>
          <w:rFonts w:asciiTheme="majorHAnsi" w:eastAsia="Times New Roman" w:hAnsiTheme="majorHAnsi" w:cstheme="majorHAnsi"/>
          <w:color w:val="FF0000"/>
          <w:sz w:val="24"/>
          <w:szCs w:val="24"/>
        </w:rPr>
        <w:t xml:space="preserve"> </w:t>
      </w:r>
      <w:r w:rsidRPr="00CB5F81">
        <w:rPr>
          <w:noProof/>
          <w:color w:val="FF0000"/>
          <w:lang w:val="en-US"/>
        </w:rPr>
        <w:drawing>
          <wp:inline distT="0" distB="0" distL="0" distR="0" wp14:anchorId="5E1DB6F4" wp14:editId="73E7A12B">
            <wp:extent cx="4556760" cy="2324100"/>
            <wp:effectExtent l="0" t="0" r="1524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5144" w:rsidRPr="00CB5F81" w:rsidRDefault="00EC1EAF" w:rsidP="00F42290">
      <w:pPr>
        <w:spacing w:after="120" w:line="240" w:lineRule="auto"/>
        <w:ind w:left="540"/>
        <w:jc w:val="both"/>
        <w:rPr>
          <w:rFonts w:asciiTheme="majorHAnsi" w:eastAsia="Times New Roman" w:hAnsiTheme="majorHAnsi" w:cstheme="majorHAnsi"/>
          <w:i/>
          <w:sz w:val="20"/>
          <w:szCs w:val="20"/>
        </w:rPr>
      </w:pPr>
      <w:r>
        <w:rPr>
          <w:rFonts w:asciiTheme="majorHAnsi" w:eastAsia="Times New Roman" w:hAnsiTheme="majorHAnsi" w:cstheme="majorHAnsi"/>
          <w:sz w:val="18"/>
          <w:szCs w:val="18"/>
        </w:rPr>
        <w:t xml:space="preserve">     </w:t>
      </w:r>
      <w:r w:rsidR="00B926B1" w:rsidRPr="00CB5F81">
        <w:rPr>
          <w:rFonts w:asciiTheme="majorHAnsi" w:eastAsia="Times New Roman" w:hAnsiTheme="majorHAnsi" w:cstheme="majorHAnsi"/>
          <w:sz w:val="18"/>
          <w:szCs w:val="18"/>
        </w:rPr>
        <w:t xml:space="preserve"> </w:t>
      </w:r>
      <w:r w:rsidR="00B926B1" w:rsidRPr="00CB5F81">
        <w:rPr>
          <w:rFonts w:asciiTheme="majorHAnsi" w:eastAsia="Times New Roman" w:hAnsiTheme="majorHAnsi" w:cstheme="majorHAnsi"/>
          <w:b/>
          <w:i/>
          <w:sz w:val="20"/>
          <w:szCs w:val="20"/>
        </w:rPr>
        <w:t>Sursa:</w:t>
      </w:r>
      <w:r w:rsidR="00B926B1" w:rsidRPr="00CB5F81">
        <w:rPr>
          <w:rFonts w:asciiTheme="majorHAnsi" w:eastAsia="Times New Roman" w:hAnsiTheme="majorHAnsi" w:cstheme="majorHAnsi"/>
          <w:i/>
          <w:sz w:val="20"/>
          <w:szCs w:val="20"/>
        </w:rPr>
        <w:t xml:space="preserve"> Date preluate din Registrul unic al facilităților fiscale</w:t>
      </w:r>
      <w:r w:rsidR="00AC2060">
        <w:rPr>
          <w:rFonts w:asciiTheme="majorHAnsi" w:eastAsia="Times New Roman" w:hAnsiTheme="majorHAnsi" w:cstheme="majorHAnsi"/>
          <w:i/>
          <w:sz w:val="20"/>
          <w:szCs w:val="20"/>
        </w:rPr>
        <w:t>.</w:t>
      </w:r>
      <w:r w:rsidR="00B926B1" w:rsidRPr="00CB5F81">
        <w:rPr>
          <w:rFonts w:asciiTheme="majorHAnsi" w:eastAsia="Times New Roman" w:hAnsiTheme="majorHAnsi" w:cstheme="majorHAnsi"/>
          <w:i/>
          <w:sz w:val="20"/>
          <w:szCs w:val="20"/>
        </w:rPr>
        <w:t xml:space="preserve"> </w:t>
      </w:r>
    </w:p>
    <w:p w:rsidR="008D2609" w:rsidRPr="00CB5F81" w:rsidRDefault="00B926B1" w:rsidP="00037839">
      <w:pPr>
        <w:spacing w:after="120" w:line="240" w:lineRule="auto"/>
        <w:jc w:val="both"/>
        <w:rPr>
          <w:rFonts w:asciiTheme="majorHAnsi" w:eastAsia="Times New Roman" w:hAnsiTheme="majorHAnsi" w:cstheme="majorHAnsi"/>
          <w:color w:val="FF0000"/>
          <w:sz w:val="24"/>
          <w:szCs w:val="24"/>
        </w:rPr>
      </w:pPr>
      <w:r w:rsidRPr="00CB5F81">
        <w:rPr>
          <w:rFonts w:asciiTheme="majorHAnsi" w:eastAsia="Times New Roman" w:hAnsiTheme="majorHAnsi" w:cstheme="majorHAnsi"/>
          <w:sz w:val="24"/>
          <w:szCs w:val="24"/>
        </w:rPr>
        <w:t>Din datele prezentate rezultă că</w:t>
      </w:r>
      <w:r w:rsidR="00AC2060">
        <w:rPr>
          <w:rFonts w:asciiTheme="majorHAnsi" w:eastAsia="Times New Roman" w:hAnsiTheme="majorHAnsi" w:cstheme="majorHAnsi"/>
          <w:sz w:val="24"/>
          <w:szCs w:val="24"/>
        </w:rPr>
        <w:t>,</w:t>
      </w:r>
      <w:r w:rsidRPr="00CB5F81">
        <w:rPr>
          <w:rFonts w:asciiTheme="majorHAnsi" w:eastAsia="Times New Roman" w:hAnsiTheme="majorHAnsi" w:cstheme="majorHAnsi"/>
          <w:sz w:val="24"/>
          <w:szCs w:val="24"/>
        </w:rPr>
        <w:t xml:space="preserve"> în</w:t>
      </w:r>
      <w:r w:rsidR="008D2609" w:rsidRPr="00CB5F81">
        <w:rPr>
          <w:rFonts w:asciiTheme="majorHAnsi" w:eastAsia="Times New Roman" w:hAnsiTheme="majorHAnsi" w:cstheme="majorHAnsi"/>
          <w:sz w:val="24"/>
          <w:szCs w:val="24"/>
        </w:rPr>
        <w:t xml:space="preserve"> perioada verificată</w:t>
      </w:r>
      <w:r w:rsidR="00AC2060">
        <w:rPr>
          <w:rFonts w:asciiTheme="majorHAnsi" w:eastAsia="Times New Roman" w:hAnsiTheme="majorHAnsi" w:cstheme="majorHAnsi"/>
          <w:sz w:val="24"/>
          <w:szCs w:val="24"/>
        </w:rPr>
        <w:t>,</w:t>
      </w:r>
      <w:r w:rsidR="008D2609" w:rsidRPr="00CB5F81">
        <w:rPr>
          <w:rFonts w:asciiTheme="majorHAnsi" w:eastAsia="Times New Roman" w:hAnsiTheme="majorHAnsi" w:cstheme="majorHAnsi"/>
          <w:sz w:val="24"/>
          <w:szCs w:val="24"/>
        </w:rPr>
        <w:t xml:space="preserve"> cuantumul scutirii</w:t>
      </w:r>
      <w:r w:rsidR="00EC1EAF">
        <w:rPr>
          <w:rFonts w:asciiTheme="majorHAnsi" w:eastAsia="Times New Roman" w:hAnsiTheme="majorHAnsi" w:cstheme="majorHAnsi"/>
          <w:sz w:val="24"/>
          <w:szCs w:val="24"/>
        </w:rPr>
        <w:t xml:space="preserve"> </w:t>
      </w:r>
      <w:r w:rsidR="00D44DB5" w:rsidRPr="00CB5F81">
        <w:rPr>
          <w:rFonts w:asciiTheme="majorHAnsi" w:eastAsia="Times New Roman" w:hAnsiTheme="majorHAnsi" w:cstheme="majorHAnsi"/>
          <w:sz w:val="24"/>
          <w:szCs w:val="24"/>
        </w:rPr>
        <w:t xml:space="preserve">acordate de </w:t>
      </w:r>
      <w:r w:rsidR="00CC20E3" w:rsidRPr="00CB5F81">
        <w:rPr>
          <w:rFonts w:asciiTheme="majorHAnsi" w:eastAsia="Times New Roman" w:hAnsiTheme="majorHAnsi" w:cstheme="majorHAnsi"/>
          <w:sz w:val="24"/>
          <w:szCs w:val="24"/>
        </w:rPr>
        <w:t xml:space="preserve">MAIA </w:t>
      </w:r>
      <w:r w:rsidR="00077086" w:rsidRPr="00CB5F81">
        <w:rPr>
          <w:rFonts w:asciiTheme="majorHAnsi" w:eastAsia="Times New Roman" w:hAnsiTheme="majorHAnsi" w:cstheme="majorHAnsi"/>
          <w:sz w:val="24"/>
          <w:szCs w:val="24"/>
        </w:rPr>
        <w:t xml:space="preserve">a crescut </w:t>
      </w:r>
      <w:r w:rsidR="00CC20E3" w:rsidRPr="00CB5F81">
        <w:rPr>
          <w:rFonts w:asciiTheme="majorHAnsi" w:eastAsia="Times New Roman" w:hAnsiTheme="majorHAnsi" w:cstheme="majorHAnsi"/>
          <w:sz w:val="24"/>
          <w:szCs w:val="24"/>
        </w:rPr>
        <w:t>semnificativ</w:t>
      </w:r>
      <w:r w:rsidR="00D44DB5" w:rsidRPr="00CB5F81">
        <w:rPr>
          <w:rFonts w:asciiTheme="majorHAnsi" w:eastAsia="Times New Roman" w:hAnsiTheme="majorHAnsi" w:cstheme="majorHAnsi"/>
          <w:sz w:val="24"/>
          <w:szCs w:val="24"/>
        </w:rPr>
        <w:t xml:space="preserve"> comparativ cu perioadele anterioare</w:t>
      </w:r>
      <w:r w:rsidR="00937D16" w:rsidRPr="00CB5F81">
        <w:rPr>
          <w:rFonts w:asciiTheme="majorHAnsi" w:eastAsia="Times New Roman" w:hAnsiTheme="majorHAnsi" w:cstheme="majorHAnsi"/>
          <w:sz w:val="24"/>
          <w:szCs w:val="24"/>
        </w:rPr>
        <w:t>,</w:t>
      </w:r>
      <w:r w:rsidR="00D44DB5" w:rsidRPr="00CB5F81">
        <w:rPr>
          <w:rFonts w:asciiTheme="majorHAnsi" w:eastAsia="Times New Roman" w:hAnsiTheme="majorHAnsi" w:cstheme="majorHAnsi"/>
          <w:sz w:val="24"/>
          <w:szCs w:val="24"/>
        </w:rPr>
        <w:t xml:space="preserve"> în anul 2020</w:t>
      </w:r>
      <w:r w:rsidR="00EC1EAF">
        <w:rPr>
          <w:rFonts w:asciiTheme="majorHAnsi" w:eastAsia="Times New Roman" w:hAnsiTheme="majorHAnsi" w:cstheme="majorHAnsi"/>
          <w:sz w:val="24"/>
          <w:szCs w:val="24"/>
        </w:rPr>
        <w:t xml:space="preserve"> </w:t>
      </w:r>
      <w:r w:rsidR="00077086" w:rsidRPr="00CB5F81">
        <w:rPr>
          <w:rFonts w:asciiTheme="majorHAnsi" w:eastAsia="Times New Roman" w:hAnsiTheme="majorHAnsi" w:cstheme="majorHAnsi"/>
          <w:sz w:val="24"/>
          <w:szCs w:val="24"/>
        </w:rPr>
        <w:t xml:space="preserve">majorându-se de </w:t>
      </w:r>
      <w:r w:rsidR="00937D16" w:rsidRPr="00CB5F81">
        <w:rPr>
          <w:rFonts w:asciiTheme="majorHAnsi" w:eastAsia="Times New Roman" w:hAnsiTheme="majorHAnsi" w:cstheme="majorHAnsi"/>
          <w:sz w:val="24"/>
          <w:szCs w:val="24"/>
        </w:rPr>
        <w:t xml:space="preserve">circa </w:t>
      </w:r>
      <w:r w:rsidR="00077086" w:rsidRPr="00CB5F81">
        <w:rPr>
          <w:rFonts w:asciiTheme="majorHAnsi" w:eastAsia="Times New Roman" w:hAnsiTheme="majorHAnsi" w:cstheme="majorHAnsi"/>
          <w:sz w:val="24"/>
          <w:szCs w:val="24"/>
        </w:rPr>
        <w:t>24</w:t>
      </w:r>
      <w:r w:rsidR="00937D16" w:rsidRPr="00CB5F81">
        <w:rPr>
          <w:rFonts w:asciiTheme="majorHAnsi" w:eastAsia="Times New Roman" w:hAnsiTheme="majorHAnsi" w:cstheme="majorHAnsi"/>
          <w:sz w:val="24"/>
          <w:szCs w:val="24"/>
        </w:rPr>
        <w:t xml:space="preserve"> </w:t>
      </w:r>
      <w:r w:rsidR="00AC2060">
        <w:rPr>
          <w:rFonts w:asciiTheme="majorHAnsi" w:eastAsia="Times New Roman" w:hAnsiTheme="majorHAnsi" w:cstheme="majorHAnsi"/>
          <w:sz w:val="24"/>
          <w:szCs w:val="24"/>
        </w:rPr>
        <w:t xml:space="preserve">de </w:t>
      </w:r>
      <w:r w:rsidR="00937D16" w:rsidRPr="00CB5F81">
        <w:rPr>
          <w:rFonts w:asciiTheme="majorHAnsi" w:eastAsia="Times New Roman" w:hAnsiTheme="majorHAnsi" w:cstheme="majorHAnsi"/>
          <w:sz w:val="24"/>
          <w:szCs w:val="24"/>
        </w:rPr>
        <w:t>ori.</w:t>
      </w:r>
      <w:r w:rsidR="00077086" w:rsidRPr="00CB5F81">
        <w:rPr>
          <w:rFonts w:asciiTheme="majorHAnsi" w:eastAsia="Times New Roman" w:hAnsiTheme="majorHAnsi" w:cstheme="majorHAnsi"/>
          <w:sz w:val="24"/>
          <w:szCs w:val="24"/>
        </w:rPr>
        <w:t xml:space="preserve"> Î</w:t>
      </w:r>
      <w:r w:rsidR="00937D16" w:rsidRPr="00CB5F81">
        <w:rPr>
          <w:rFonts w:asciiTheme="majorHAnsi" w:eastAsia="Times New Roman" w:hAnsiTheme="majorHAnsi" w:cstheme="majorHAnsi"/>
          <w:sz w:val="24"/>
          <w:szCs w:val="24"/>
        </w:rPr>
        <w:t>n anul 2021</w:t>
      </w:r>
      <w:r w:rsidR="00077086" w:rsidRPr="00CB5F81">
        <w:rPr>
          <w:rFonts w:asciiTheme="majorHAnsi" w:eastAsia="Times New Roman" w:hAnsiTheme="majorHAnsi" w:cstheme="majorHAnsi"/>
          <w:sz w:val="24"/>
          <w:szCs w:val="24"/>
        </w:rPr>
        <w:t>,</w:t>
      </w:r>
      <w:r w:rsidR="003C2708" w:rsidRPr="00CB5F81">
        <w:rPr>
          <w:rFonts w:asciiTheme="majorHAnsi" w:eastAsia="Times New Roman" w:hAnsiTheme="majorHAnsi" w:cstheme="majorHAnsi"/>
          <w:sz w:val="24"/>
          <w:szCs w:val="24"/>
        </w:rPr>
        <w:t xml:space="preserve"> deși</w:t>
      </w:r>
      <w:r w:rsidR="00077086" w:rsidRPr="00CB5F81">
        <w:rPr>
          <w:rFonts w:asciiTheme="majorHAnsi" w:eastAsia="Times New Roman" w:hAnsiTheme="majorHAnsi" w:cstheme="majorHAnsi"/>
          <w:sz w:val="24"/>
          <w:szCs w:val="24"/>
        </w:rPr>
        <w:t xml:space="preserve"> trendul a fost unul descendent comparativ cu anul 2020, </w:t>
      </w:r>
      <w:r w:rsidR="003C2708" w:rsidRPr="00CB5F81">
        <w:rPr>
          <w:rFonts w:asciiTheme="majorHAnsi" w:eastAsia="Times New Roman" w:hAnsiTheme="majorHAnsi" w:cstheme="majorHAnsi"/>
          <w:sz w:val="24"/>
          <w:szCs w:val="24"/>
        </w:rPr>
        <w:t>totuși,</w:t>
      </w:r>
      <w:r w:rsidR="00077086" w:rsidRPr="00CB5F81">
        <w:rPr>
          <w:rFonts w:asciiTheme="majorHAnsi" w:eastAsia="Times New Roman" w:hAnsiTheme="majorHAnsi" w:cstheme="majorHAnsi"/>
          <w:sz w:val="24"/>
          <w:szCs w:val="24"/>
        </w:rPr>
        <w:t xml:space="preserve"> </w:t>
      </w:r>
      <w:r w:rsidR="00AC2060">
        <w:rPr>
          <w:rFonts w:asciiTheme="majorHAnsi" w:eastAsia="Times New Roman" w:hAnsiTheme="majorHAnsi" w:cstheme="majorHAnsi"/>
          <w:sz w:val="24"/>
          <w:szCs w:val="24"/>
        </w:rPr>
        <w:t xml:space="preserve">față de </w:t>
      </w:r>
      <w:r w:rsidR="00077086" w:rsidRPr="00CB5F81">
        <w:rPr>
          <w:rFonts w:asciiTheme="majorHAnsi" w:eastAsia="Times New Roman" w:hAnsiTheme="majorHAnsi" w:cstheme="majorHAnsi"/>
          <w:sz w:val="24"/>
          <w:szCs w:val="24"/>
        </w:rPr>
        <w:t xml:space="preserve"> anul 201</w:t>
      </w:r>
      <w:r w:rsidR="002A61FD" w:rsidRPr="00CB5F81">
        <w:rPr>
          <w:rFonts w:asciiTheme="majorHAnsi" w:eastAsia="Times New Roman" w:hAnsiTheme="majorHAnsi" w:cstheme="majorHAnsi"/>
          <w:sz w:val="24"/>
          <w:szCs w:val="24"/>
        </w:rPr>
        <w:t>9</w:t>
      </w:r>
      <w:r w:rsidR="00AC2060">
        <w:rPr>
          <w:rFonts w:asciiTheme="majorHAnsi" w:eastAsia="Times New Roman" w:hAnsiTheme="majorHAnsi" w:cstheme="majorHAnsi"/>
          <w:sz w:val="24"/>
          <w:szCs w:val="24"/>
        </w:rPr>
        <w:t>,</w:t>
      </w:r>
      <w:r w:rsidR="00EC1EAF">
        <w:rPr>
          <w:rFonts w:asciiTheme="majorHAnsi" w:eastAsia="Times New Roman" w:hAnsiTheme="majorHAnsi" w:cstheme="majorHAnsi"/>
          <w:sz w:val="24"/>
          <w:szCs w:val="24"/>
        </w:rPr>
        <w:t xml:space="preserve"> </w:t>
      </w:r>
      <w:r w:rsidR="003C2708" w:rsidRPr="00CB5F81">
        <w:rPr>
          <w:rFonts w:asciiTheme="majorHAnsi" w:eastAsia="Times New Roman" w:hAnsiTheme="majorHAnsi" w:cstheme="majorHAnsi"/>
          <w:sz w:val="24"/>
          <w:szCs w:val="24"/>
        </w:rPr>
        <w:t xml:space="preserve">s-a </w:t>
      </w:r>
      <w:r w:rsidR="00077086" w:rsidRPr="00CB5F81">
        <w:rPr>
          <w:rFonts w:asciiTheme="majorHAnsi" w:eastAsia="Times New Roman" w:hAnsiTheme="majorHAnsi" w:cstheme="majorHAnsi"/>
          <w:sz w:val="24"/>
          <w:szCs w:val="24"/>
        </w:rPr>
        <w:t>m</w:t>
      </w:r>
      <w:r w:rsidR="003C2708" w:rsidRPr="00CB5F81">
        <w:rPr>
          <w:rFonts w:asciiTheme="majorHAnsi" w:eastAsia="Times New Roman" w:hAnsiTheme="majorHAnsi" w:cstheme="majorHAnsi"/>
          <w:sz w:val="24"/>
          <w:szCs w:val="24"/>
        </w:rPr>
        <w:t>enținut</w:t>
      </w:r>
      <w:r w:rsidR="00EC1EAF">
        <w:rPr>
          <w:rFonts w:asciiTheme="majorHAnsi" w:eastAsia="Times New Roman" w:hAnsiTheme="majorHAnsi" w:cstheme="majorHAnsi"/>
          <w:sz w:val="24"/>
          <w:szCs w:val="24"/>
        </w:rPr>
        <w:t xml:space="preserve"> </w:t>
      </w:r>
      <w:r w:rsidR="00077086" w:rsidRPr="00CB5F81">
        <w:rPr>
          <w:rFonts w:asciiTheme="majorHAnsi" w:eastAsia="Times New Roman" w:hAnsiTheme="majorHAnsi" w:cstheme="majorHAnsi"/>
          <w:sz w:val="24"/>
          <w:szCs w:val="24"/>
        </w:rPr>
        <w:t xml:space="preserve">la un nivel </w:t>
      </w:r>
      <w:r w:rsidR="002A61FD" w:rsidRPr="00CB5F81">
        <w:rPr>
          <w:rFonts w:asciiTheme="majorHAnsi" w:eastAsia="Times New Roman" w:hAnsiTheme="majorHAnsi" w:cstheme="majorHAnsi"/>
          <w:sz w:val="24"/>
          <w:szCs w:val="24"/>
        </w:rPr>
        <w:t>ridicat.</w:t>
      </w:r>
      <w:r w:rsidR="00EC1EAF">
        <w:rPr>
          <w:rFonts w:asciiTheme="majorHAnsi" w:eastAsia="Times New Roman" w:hAnsiTheme="majorHAnsi" w:cstheme="majorHAnsi"/>
          <w:color w:val="FF0000"/>
          <w:sz w:val="24"/>
          <w:szCs w:val="24"/>
        </w:rPr>
        <w:t xml:space="preserve"> </w:t>
      </w:r>
    </w:p>
    <w:p w:rsidR="00E43D40" w:rsidRPr="00CB5F81" w:rsidRDefault="00077086" w:rsidP="00E057D5">
      <w:pPr>
        <w:spacing w:after="120" w:line="240" w:lineRule="auto"/>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 xml:space="preserve">Preponderent această creștere s-a datorat acordării </w:t>
      </w:r>
      <w:r w:rsidR="00E43D40" w:rsidRPr="00CB5F81">
        <w:rPr>
          <w:rFonts w:asciiTheme="majorHAnsi" w:eastAsia="Times New Roman" w:hAnsiTheme="majorHAnsi" w:cstheme="majorHAnsi"/>
          <w:sz w:val="24"/>
          <w:szCs w:val="24"/>
        </w:rPr>
        <w:t xml:space="preserve">de către MAIA a </w:t>
      </w:r>
      <w:r w:rsidR="00E43D40" w:rsidRPr="00CB5F81">
        <w:rPr>
          <w:rFonts w:asciiTheme="majorHAnsi" w:hAnsiTheme="majorHAnsi" w:cstheme="majorHAnsi"/>
          <w:sz w:val="24"/>
          <w:szCs w:val="24"/>
        </w:rPr>
        <w:t xml:space="preserve">scutirii </w:t>
      </w:r>
      <w:r w:rsidR="00AC2060">
        <w:rPr>
          <w:rFonts w:asciiTheme="majorHAnsi" w:hAnsiTheme="majorHAnsi" w:cstheme="majorHAnsi"/>
          <w:sz w:val="24"/>
          <w:szCs w:val="24"/>
        </w:rPr>
        <w:t>de</w:t>
      </w:r>
      <w:r w:rsidR="00E43D40" w:rsidRPr="00CB5F81">
        <w:rPr>
          <w:rFonts w:asciiTheme="majorHAnsi" w:hAnsiTheme="majorHAnsi" w:cstheme="majorHAnsi"/>
          <w:sz w:val="24"/>
          <w:szCs w:val="24"/>
        </w:rPr>
        <w:t xml:space="preserve"> plata accizelor pentru alcoolul etilic utilizat la producerea dezinfectanților. </w:t>
      </w:r>
      <w:r w:rsidR="003C2708" w:rsidRPr="00CB5F81">
        <w:rPr>
          <w:rFonts w:asciiTheme="majorHAnsi" w:eastAsia="Times New Roman" w:hAnsiTheme="majorHAnsi" w:cstheme="majorHAnsi"/>
          <w:sz w:val="24"/>
          <w:szCs w:val="24"/>
        </w:rPr>
        <w:t>Conform informației prezentate de ANSP</w:t>
      </w:r>
      <w:r w:rsidR="00E43D40" w:rsidRPr="00CB5F81">
        <w:rPr>
          <w:rFonts w:asciiTheme="majorHAnsi" w:eastAsia="Times New Roman" w:hAnsiTheme="majorHAnsi" w:cstheme="majorHAnsi"/>
          <w:sz w:val="24"/>
          <w:szCs w:val="24"/>
        </w:rPr>
        <w:t>,</w:t>
      </w:r>
      <w:r w:rsidR="00E43D40" w:rsidRPr="00CB5F81">
        <w:rPr>
          <w:rFonts w:asciiTheme="majorHAnsi" w:hAnsiTheme="majorHAnsi" w:cstheme="majorHAnsi"/>
          <w:sz w:val="24"/>
          <w:szCs w:val="24"/>
        </w:rPr>
        <w:t xml:space="preserve"> </w:t>
      </w:r>
      <w:r w:rsidR="00E43D40" w:rsidRPr="00CB5F81">
        <w:rPr>
          <w:rFonts w:asciiTheme="majorHAnsi" w:eastAsia="Times New Roman" w:hAnsiTheme="majorHAnsi" w:cstheme="majorHAnsi"/>
          <w:sz w:val="24"/>
          <w:szCs w:val="24"/>
        </w:rPr>
        <w:t xml:space="preserve">în perioada stării de urgență, mai mulți agenți economici, producători de produse cosmetice, substanțe chimice și </w:t>
      </w:r>
      <w:r w:rsidR="00E43D40" w:rsidRPr="005405A7">
        <w:rPr>
          <w:rFonts w:asciiTheme="majorHAnsi" w:eastAsia="Times New Roman" w:hAnsiTheme="majorHAnsi" w:cstheme="majorHAnsi"/>
          <w:sz w:val="24"/>
          <w:szCs w:val="24"/>
        </w:rPr>
        <w:t>alcool etilic au inițiat producerea de produse pe bază de alcool etilic</w:t>
      </w:r>
      <w:r w:rsidR="00A5210F">
        <w:rPr>
          <w:rFonts w:asciiTheme="majorHAnsi" w:eastAsia="Times New Roman" w:hAnsiTheme="majorHAnsi" w:cstheme="majorHAnsi"/>
          <w:sz w:val="24"/>
          <w:szCs w:val="24"/>
        </w:rPr>
        <w:t>,</w:t>
      </w:r>
      <w:r w:rsidR="00E43D40" w:rsidRPr="005405A7">
        <w:rPr>
          <w:rFonts w:asciiTheme="majorHAnsi" w:eastAsia="Times New Roman" w:hAnsiTheme="majorHAnsi" w:cstheme="majorHAnsi"/>
          <w:sz w:val="24"/>
          <w:szCs w:val="24"/>
        </w:rPr>
        <w:t xml:space="preserve"> în conformitate cu recomandările O</w:t>
      </w:r>
      <w:r w:rsidR="00032B66" w:rsidRPr="005405A7">
        <w:rPr>
          <w:rFonts w:asciiTheme="majorHAnsi" w:eastAsia="Times New Roman" w:hAnsiTheme="majorHAnsi" w:cstheme="majorHAnsi"/>
          <w:sz w:val="24"/>
          <w:szCs w:val="24"/>
        </w:rPr>
        <w:t>rganizației Mondiale</w:t>
      </w:r>
      <w:r w:rsidR="000C3C26" w:rsidRPr="00CB5F81">
        <w:rPr>
          <w:rFonts w:asciiTheme="majorHAnsi" w:eastAsia="Times New Roman" w:hAnsiTheme="majorHAnsi" w:cstheme="majorHAnsi"/>
          <w:sz w:val="24"/>
          <w:szCs w:val="24"/>
        </w:rPr>
        <w:t xml:space="preserve"> a Sănătății</w:t>
      </w:r>
      <w:r w:rsidR="00E43D40" w:rsidRPr="00CB5F81">
        <w:rPr>
          <w:rFonts w:asciiTheme="majorHAnsi" w:eastAsia="Times New Roman" w:hAnsiTheme="majorHAnsi" w:cstheme="majorHAnsi"/>
          <w:sz w:val="24"/>
          <w:szCs w:val="24"/>
        </w:rPr>
        <w:t xml:space="preserve"> pentru produse cu efect virulocid</w:t>
      </w:r>
      <w:r w:rsidR="00E43D40" w:rsidRPr="00CB5F81">
        <w:rPr>
          <w:rStyle w:val="FootnoteReference"/>
          <w:rFonts w:asciiTheme="majorHAnsi" w:eastAsia="Times New Roman" w:hAnsiTheme="majorHAnsi" w:cstheme="majorHAnsi"/>
          <w:sz w:val="24"/>
          <w:szCs w:val="24"/>
        </w:rPr>
        <w:footnoteReference w:id="46"/>
      </w:r>
      <w:r w:rsidR="00E43D40" w:rsidRPr="00CB5F81">
        <w:rPr>
          <w:rFonts w:asciiTheme="majorHAnsi" w:eastAsia="Times New Roman" w:hAnsiTheme="majorHAnsi" w:cstheme="majorHAnsi"/>
          <w:sz w:val="24"/>
          <w:szCs w:val="24"/>
        </w:rPr>
        <w:t xml:space="preserve">. </w:t>
      </w:r>
    </w:p>
    <w:p w:rsidR="0083307F" w:rsidRDefault="00E057D5" w:rsidP="0083307F">
      <w:pPr>
        <w:spacing w:after="120" w:line="240" w:lineRule="auto"/>
        <w:contextualSpacing/>
        <w:jc w:val="both"/>
        <w:rPr>
          <w:rFonts w:asciiTheme="majorHAnsi" w:eastAsia="Times New Roman" w:hAnsiTheme="majorHAnsi" w:cstheme="majorHAnsi"/>
          <w:sz w:val="24"/>
          <w:szCs w:val="24"/>
        </w:rPr>
      </w:pPr>
      <w:r w:rsidRPr="00CB5F81">
        <w:rPr>
          <w:rFonts w:asciiTheme="majorHAnsi" w:eastAsia="Times New Roman" w:hAnsiTheme="majorHAnsi" w:cstheme="majorHAnsi"/>
          <w:sz w:val="24"/>
          <w:szCs w:val="24"/>
        </w:rPr>
        <w:t>Ana</w:t>
      </w:r>
      <w:r w:rsidR="005405A7">
        <w:rPr>
          <w:rFonts w:asciiTheme="majorHAnsi" w:eastAsia="Times New Roman" w:hAnsiTheme="majorHAnsi" w:cstheme="majorHAnsi"/>
          <w:sz w:val="24"/>
          <w:szCs w:val="24"/>
        </w:rPr>
        <w:t>liza documentelor prezentate de</w:t>
      </w:r>
      <w:r w:rsidRPr="00CB5F81">
        <w:rPr>
          <w:rFonts w:asciiTheme="majorHAnsi" w:eastAsia="Times New Roman" w:hAnsiTheme="majorHAnsi" w:cstheme="majorHAnsi"/>
          <w:sz w:val="24"/>
          <w:szCs w:val="24"/>
        </w:rPr>
        <w:t xml:space="preserve"> MAIA relevă</w:t>
      </w:r>
      <w:r w:rsidR="00041E73" w:rsidRPr="00CB5F81">
        <w:rPr>
          <w:rFonts w:asciiTheme="majorHAnsi" w:eastAsia="Times New Roman" w:hAnsiTheme="majorHAnsi" w:cstheme="majorHAnsi"/>
          <w:sz w:val="24"/>
          <w:szCs w:val="24"/>
        </w:rPr>
        <w:t xml:space="preserve"> că </w:t>
      </w:r>
      <w:r w:rsidR="004F62C8" w:rsidRPr="00CB5F81">
        <w:rPr>
          <w:rFonts w:asciiTheme="majorHAnsi" w:eastAsia="Times New Roman" w:hAnsiTheme="majorHAnsi" w:cstheme="majorHAnsi"/>
          <w:sz w:val="24"/>
          <w:szCs w:val="24"/>
        </w:rPr>
        <w:t>dacă</w:t>
      </w:r>
      <w:r w:rsidR="008D2609" w:rsidRPr="00CB5F81">
        <w:rPr>
          <w:rFonts w:asciiTheme="majorHAnsi" w:eastAsia="Times New Roman" w:hAnsiTheme="majorHAnsi" w:cstheme="majorHAnsi"/>
          <w:sz w:val="24"/>
          <w:szCs w:val="24"/>
        </w:rPr>
        <w:t xml:space="preserve"> la </w:t>
      </w:r>
      <w:r w:rsidR="00041E73" w:rsidRPr="00CB5F81">
        <w:rPr>
          <w:rFonts w:asciiTheme="majorHAnsi" w:eastAsia="Times New Roman" w:hAnsiTheme="majorHAnsi" w:cstheme="majorHAnsi"/>
          <w:sz w:val="24"/>
          <w:szCs w:val="24"/>
        </w:rPr>
        <w:t xml:space="preserve">unele solicitări ale agenților economici adresate MAIA </w:t>
      </w:r>
      <w:r w:rsidR="00077086" w:rsidRPr="00CB5F81">
        <w:rPr>
          <w:rFonts w:asciiTheme="majorHAnsi" w:eastAsia="Times New Roman" w:hAnsiTheme="majorHAnsi" w:cstheme="majorHAnsi"/>
          <w:sz w:val="24"/>
          <w:szCs w:val="24"/>
        </w:rPr>
        <w:t xml:space="preserve">privind </w:t>
      </w:r>
      <w:r w:rsidR="00041E73" w:rsidRPr="00CB5F81">
        <w:rPr>
          <w:rFonts w:asciiTheme="majorHAnsi" w:eastAsia="Times New Roman" w:hAnsiTheme="majorHAnsi" w:cstheme="majorHAnsi"/>
          <w:sz w:val="24"/>
          <w:szCs w:val="24"/>
        </w:rPr>
        <w:t>scutire</w:t>
      </w:r>
      <w:r w:rsidR="00A5210F">
        <w:rPr>
          <w:rFonts w:asciiTheme="majorHAnsi" w:eastAsia="Times New Roman" w:hAnsiTheme="majorHAnsi" w:cstheme="majorHAnsi"/>
          <w:sz w:val="24"/>
          <w:szCs w:val="24"/>
        </w:rPr>
        <w:t>a</w:t>
      </w:r>
      <w:r w:rsidR="00041E73" w:rsidRPr="00CB5F81">
        <w:rPr>
          <w:rFonts w:asciiTheme="majorHAnsi" w:eastAsia="Times New Roman" w:hAnsiTheme="majorHAnsi" w:cstheme="majorHAnsi"/>
          <w:sz w:val="24"/>
          <w:szCs w:val="24"/>
        </w:rPr>
        <w:t xml:space="preserve"> de plata accizului</w:t>
      </w:r>
      <w:r w:rsidR="004F62C8" w:rsidRPr="00CB5F81">
        <w:rPr>
          <w:rFonts w:asciiTheme="majorHAnsi" w:eastAsia="Times New Roman" w:hAnsiTheme="majorHAnsi" w:cstheme="majorHAnsi"/>
          <w:sz w:val="24"/>
          <w:szCs w:val="24"/>
        </w:rPr>
        <w:t xml:space="preserve"> erau anexate </w:t>
      </w:r>
      <w:r w:rsidR="008D2609" w:rsidRPr="00CB5F81">
        <w:rPr>
          <w:rFonts w:asciiTheme="majorHAnsi" w:eastAsia="Times New Roman" w:hAnsiTheme="majorHAnsi" w:cstheme="majorHAnsi"/>
          <w:sz w:val="24"/>
          <w:szCs w:val="24"/>
        </w:rPr>
        <w:t xml:space="preserve">careva </w:t>
      </w:r>
      <w:r w:rsidR="004F62C8" w:rsidRPr="00CB5F81">
        <w:rPr>
          <w:rFonts w:asciiTheme="majorHAnsi" w:eastAsia="Times New Roman" w:hAnsiTheme="majorHAnsi" w:cstheme="majorHAnsi"/>
          <w:sz w:val="24"/>
          <w:szCs w:val="24"/>
        </w:rPr>
        <w:t>documente justificative</w:t>
      </w:r>
      <w:r w:rsidR="004F62C8" w:rsidRPr="00CB5F81">
        <w:rPr>
          <w:rStyle w:val="FootnoteReference"/>
          <w:rFonts w:asciiTheme="majorHAnsi" w:eastAsia="Times New Roman" w:hAnsiTheme="majorHAnsi" w:cstheme="majorHAnsi"/>
          <w:sz w:val="24"/>
          <w:szCs w:val="24"/>
        </w:rPr>
        <w:footnoteReference w:id="47"/>
      </w:r>
      <w:r w:rsidR="004F62C8" w:rsidRPr="00CB5F81">
        <w:rPr>
          <w:rFonts w:asciiTheme="majorHAnsi" w:eastAsia="Times New Roman" w:hAnsiTheme="majorHAnsi" w:cstheme="majorHAnsi"/>
          <w:sz w:val="24"/>
          <w:szCs w:val="24"/>
        </w:rPr>
        <w:t xml:space="preserve">, la </w:t>
      </w:r>
      <w:r w:rsidR="004F62C8" w:rsidRPr="005405A7">
        <w:rPr>
          <w:rFonts w:asciiTheme="majorHAnsi" w:eastAsia="Times New Roman" w:hAnsiTheme="majorHAnsi" w:cstheme="majorHAnsi"/>
          <w:sz w:val="24"/>
          <w:szCs w:val="24"/>
        </w:rPr>
        <w:t>alte</w:t>
      </w:r>
      <w:r w:rsidR="00032B66" w:rsidRPr="005405A7">
        <w:rPr>
          <w:rFonts w:asciiTheme="majorHAnsi" w:eastAsia="Times New Roman" w:hAnsiTheme="majorHAnsi" w:cstheme="majorHAnsi"/>
          <w:sz w:val="24"/>
          <w:szCs w:val="24"/>
        </w:rPr>
        <w:t>le</w:t>
      </w:r>
      <w:r w:rsidR="004F62C8" w:rsidRPr="005405A7">
        <w:rPr>
          <w:rFonts w:asciiTheme="majorHAnsi" w:eastAsia="Times New Roman" w:hAnsiTheme="majorHAnsi" w:cstheme="majorHAnsi"/>
          <w:sz w:val="24"/>
          <w:szCs w:val="24"/>
        </w:rPr>
        <w:t xml:space="preserve"> </w:t>
      </w:r>
      <w:r w:rsidR="00032B66" w:rsidRPr="005405A7">
        <w:rPr>
          <w:rFonts w:asciiTheme="majorHAnsi" w:eastAsia="Times New Roman" w:hAnsiTheme="majorHAnsi" w:cstheme="majorHAnsi"/>
          <w:sz w:val="24"/>
          <w:szCs w:val="24"/>
        </w:rPr>
        <w:t xml:space="preserve"> </w:t>
      </w:r>
      <w:r w:rsidR="008D2609" w:rsidRPr="005405A7">
        <w:rPr>
          <w:rFonts w:asciiTheme="majorHAnsi" w:eastAsia="Times New Roman" w:hAnsiTheme="majorHAnsi" w:cstheme="majorHAnsi"/>
          <w:sz w:val="24"/>
          <w:szCs w:val="24"/>
        </w:rPr>
        <w:t>în general</w:t>
      </w:r>
      <w:r w:rsidR="008D2609" w:rsidRPr="00CB5F81">
        <w:rPr>
          <w:rFonts w:asciiTheme="majorHAnsi" w:eastAsia="Times New Roman" w:hAnsiTheme="majorHAnsi" w:cstheme="majorHAnsi"/>
          <w:sz w:val="24"/>
          <w:szCs w:val="24"/>
        </w:rPr>
        <w:t xml:space="preserve"> </w:t>
      </w:r>
      <w:r w:rsidR="004F62C8" w:rsidRPr="00CB5F81">
        <w:rPr>
          <w:rFonts w:asciiTheme="majorHAnsi" w:eastAsia="Times New Roman" w:hAnsiTheme="majorHAnsi" w:cstheme="majorHAnsi"/>
          <w:sz w:val="24"/>
          <w:szCs w:val="24"/>
        </w:rPr>
        <w:t>lipsesc</w:t>
      </w:r>
      <w:r w:rsidR="00041E73" w:rsidRPr="00CB5F81">
        <w:rPr>
          <w:rFonts w:asciiTheme="majorHAnsi" w:eastAsia="Times New Roman" w:hAnsiTheme="majorHAnsi" w:cstheme="majorHAnsi"/>
          <w:sz w:val="24"/>
          <w:szCs w:val="24"/>
        </w:rPr>
        <w:t xml:space="preserve"> funda</w:t>
      </w:r>
      <w:r w:rsidR="004F62C8" w:rsidRPr="00CB5F81">
        <w:rPr>
          <w:rFonts w:asciiTheme="majorHAnsi" w:eastAsia="Times New Roman" w:hAnsiTheme="majorHAnsi" w:cstheme="majorHAnsi"/>
          <w:sz w:val="24"/>
          <w:szCs w:val="24"/>
        </w:rPr>
        <w:t>mentările</w:t>
      </w:r>
      <w:r w:rsidR="008D2609" w:rsidRPr="00CB5F81">
        <w:rPr>
          <w:rFonts w:asciiTheme="majorHAnsi" w:eastAsia="Times New Roman" w:hAnsiTheme="majorHAnsi" w:cstheme="majorHAnsi"/>
          <w:sz w:val="24"/>
          <w:szCs w:val="24"/>
        </w:rPr>
        <w:t xml:space="preserve"> respective.</w:t>
      </w:r>
      <w:r w:rsidR="00037839" w:rsidRPr="00CB5F81">
        <w:rPr>
          <w:rFonts w:asciiTheme="majorHAnsi" w:eastAsia="Times New Roman" w:hAnsiTheme="majorHAnsi" w:cstheme="majorHAnsi"/>
          <w:sz w:val="24"/>
          <w:szCs w:val="24"/>
        </w:rPr>
        <w:t xml:space="preserve"> Mai mult decât atât</w:t>
      </w:r>
      <w:r w:rsidR="00A5210F">
        <w:rPr>
          <w:rFonts w:asciiTheme="majorHAnsi" w:eastAsia="Times New Roman" w:hAnsiTheme="majorHAnsi" w:cstheme="majorHAnsi"/>
          <w:sz w:val="24"/>
          <w:szCs w:val="24"/>
        </w:rPr>
        <w:t>,</w:t>
      </w:r>
      <w:r w:rsidR="00037839" w:rsidRPr="00CB5F81">
        <w:rPr>
          <w:rFonts w:asciiTheme="majorHAnsi" w:eastAsia="Times New Roman" w:hAnsiTheme="majorHAnsi" w:cstheme="majorHAnsi"/>
          <w:sz w:val="24"/>
          <w:szCs w:val="24"/>
        </w:rPr>
        <w:t xml:space="preserve"> la unele solicitări au fost anexate documente justificative </w:t>
      </w:r>
      <w:r w:rsidR="00202322" w:rsidRPr="00CB5F81">
        <w:rPr>
          <w:rFonts w:asciiTheme="majorHAnsi" w:eastAsia="Times New Roman" w:hAnsiTheme="majorHAnsi" w:cstheme="majorHAnsi"/>
          <w:sz w:val="24"/>
          <w:szCs w:val="24"/>
        </w:rPr>
        <w:t xml:space="preserve">precum </w:t>
      </w:r>
      <w:r w:rsidR="00037839" w:rsidRPr="00CB5F81">
        <w:rPr>
          <w:rFonts w:asciiTheme="majorHAnsi" w:eastAsia="Times New Roman" w:hAnsiTheme="majorHAnsi" w:cstheme="majorHAnsi"/>
          <w:sz w:val="24"/>
          <w:szCs w:val="24"/>
        </w:rPr>
        <w:t>că alcoolul etilic va fi utiliz</w:t>
      </w:r>
      <w:r w:rsidR="00160C25" w:rsidRPr="00CB5F81">
        <w:rPr>
          <w:rFonts w:asciiTheme="majorHAnsi" w:eastAsia="Times New Roman" w:hAnsiTheme="majorHAnsi" w:cstheme="majorHAnsi"/>
          <w:sz w:val="24"/>
          <w:szCs w:val="24"/>
        </w:rPr>
        <w:t>at pentru curățirea geamurilor</w:t>
      </w:r>
      <w:r w:rsidR="00037839" w:rsidRPr="00CB5F81">
        <w:rPr>
          <w:rFonts w:asciiTheme="majorHAnsi" w:eastAsia="Times New Roman" w:hAnsiTheme="majorHAnsi" w:cstheme="majorHAnsi"/>
          <w:sz w:val="24"/>
          <w:szCs w:val="24"/>
        </w:rPr>
        <w:t xml:space="preserve">, </w:t>
      </w:r>
      <w:r w:rsidR="00160C25" w:rsidRPr="00CB5F81">
        <w:rPr>
          <w:rFonts w:asciiTheme="majorHAnsi" w:eastAsia="Times New Roman" w:hAnsiTheme="majorHAnsi" w:cstheme="majorHAnsi"/>
          <w:sz w:val="24"/>
          <w:szCs w:val="24"/>
        </w:rPr>
        <w:t xml:space="preserve">ceramicii, </w:t>
      </w:r>
      <w:r w:rsidR="00037839" w:rsidRPr="00CB5F81">
        <w:rPr>
          <w:rFonts w:asciiTheme="majorHAnsi" w:eastAsia="Times New Roman" w:hAnsiTheme="majorHAnsi" w:cstheme="majorHAnsi"/>
          <w:sz w:val="24"/>
          <w:szCs w:val="24"/>
        </w:rPr>
        <w:t>aragazelor</w:t>
      </w:r>
      <w:r w:rsidR="006256C7" w:rsidRPr="00CB5F81">
        <w:rPr>
          <w:rFonts w:asciiTheme="majorHAnsi" w:eastAsia="Times New Roman" w:hAnsiTheme="majorHAnsi" w:cstheme="majorHAnsi"/>
          <w:sz w:val="24"/>
          <w:szCs w:val="24"/>
        </w:rPr>
        <w:t xml:space="preserve"> și altor produse care nu </w:t>
      </w:r>
      <w:r w:rsidR="00160C25" w:rsidRPr="00CB5F81">
        <w:rPr>
          <w:rFonts w:asciiTheme="majorHAnsi" w:eastAsia="Times New Roman" w:hAnsiTheme="majorHAnsi" w:cstheme="majorHAnsi"/>
          <w:sz w:val="24"/>
          <w:szCs w:val="24"/>
        </w:rPr>
        <w:t xml:space="preserve">fac parte </w:t>
      </w:r>
      <w:r w:rsidR="006256C7" w:rsidRPr="00CB5F81">
        <w:rPr>
          <w:rFonts w:asciiTheme="majorHAnsi" w:eastAsia="Times New Roman" w:hAnsiTheme="majorHAnsi" w:cstheme="majorHAnsi"/>
          <w:sz w:val="24"/>
          <w:szCs w:val="24"/>
        </w:rPr>
        <w:t xml:space="preserve">din categoria celor cosmetice și de </w:t>
      </w:r>
      <w:r w:rsidR="00573B9A" w:rsidRPr="00CB5F81">
        <w:rPr>
          <w:rFonts w:asciiTheme="majorHAnsi" w:eastAsia="Times New Roman" w:hAnsiTheme="majorHAnsi" w:cstheme="majorHAnsi"/>
          <w:sz w:val="24"/>
          <w:szCs w:val="24"/>
        </w:rPr>
        <w:t>p</w:t>
      </w:r>
      <w:r w:rsidR="006256C7" w:rsidRPr="00CB5F81">
        <w:rPr>
          <w:rFonts w:asciiTheme="majorHAnsi" w:eastAsia="Times New Roman" w:hAnsiTheme="majorHAnsi" w:cstheme="majorHAnsi"/>
          <w:sz w:val="24"/>
          <w:szCs w:val="24"/>
        </w:rPr>
        <w:t>arfumerie</w:t>
      </w:r>
      <w:r w:rsidR="00B66907" w:rsidRPr="00CB5F81">
        <w:rPr>
          <w:rStyle w:val="FootnoteReference"/>
          <w:rFonts w:asciiTheme="majorHAnsi" w:eastAsia="Times New Roman" w:hAnsiTheme="majorHAnsi" w:cstheme="majorHAnsi"/>
          <w:sz w:val="24"/>
          <w:szCs w:val="24"/>
        </w:rPr>
        <w:footnoteReference w:id="48"/>
      </w:r>
      <w:r w:rsidR="00037839" w:rsidRPr="00CB5F81">
        <w:rPr>
          <w:rFonts w:asciiTheme="majorHAnsi" w:eastAsia="Times New Roman" w:hAnsiTheme="majorHAnsi" w:cstheme="majorHAnsi"/>
          <w:sz w:val="24"/>
          <w:szCs w:val="24"/>
        </w:rPr>
        <w:t xml:space="preserve">. </w:t>
      </w:r>
      <w:r w:rsidR="0083307F" w:rsidRPr="00CB5F81">
        <w:rPr>
          <w:rFonts w:asciiTheme="majorHAnsi" w:eastAsia="Times New Roman" w:hAnsiTheme="majorHAnsi" w:cstheme="majorHAnsi"/>
          <w:sz w:val="24"/>
          <w:szCs w:val="24"/>
        </w:rPr>
        <w:t xml:space="preserve">În pofida faptului că toate </w:t>
      </w:r>
      <w:r w:rsidR="005405A7">
        <w:rPr>
          <w:rFonts w:asciiTheme="majorHAnsi" w:eastAsia="Times New Roman" w:hAnsiTheme="majorHAnsi" w:cstheme="majorHAnsi"/>
          <w:sz w:val="24"/>
          <w:szCs w:val="24"/>
        </w:rPr>
        <w:t>s</w:t>
      </w:r>
      <w:r w:rsidR="0083307F" w:rsidRPr="005405A7">
        <w:rPr>
          <w:rFonts w:asciiTheme="majorHAnsi" w:eastAsia="Times New Roman" w:hAnsiTheme="majorHAnsi" w:cstheme="majorHAnsi"/>
          <w:sz w:val="24"/>
          <w:szCs w:val="24"/>
        </w:rPr>
        <w:t>olicitări</w:t>
      </w:r>
      <w:r w:rsidR="00032B66" w:rsidRPr="005405A7">
        <w:rPr>
          <w:rFonts w:asciiTheme="majorHAnsi" w:eastAsia="Times New Roman" w:hAnsiTheme="majorHAnsi" w:cstheme="majorHAnsi"/>
          <w:sz w:val="24"/>
          <w:szCs w:val="24"/>
        </w:rPr>
        <w:t>le</w:t>
      </w:r>
      <w:r w:rsidR="0083307F" w:rsidRPr="00CB5F81">
        <w:rPr>
          <w:rFonts w:asciiTheme="majorHAnsi" w:eastAsia="Times New Roman" w:hAnsiTheme="majorHAnsi" w:cstheme="majorHAnsi"/>
          <w:sz w:val="24"/>
          <w:szCs w:val="24"/>
        </w:rPr>
        <w:t xml:space="preserve"> au fost examinate de </w:t>
      </w:r>
      <w:r w:rsidR="00573B9A" w:rsidRPr="00CB5F81">
        <w:rPr>
          <w:rFonts w:asciiTheme="majorHAnsi" w:eastAsia="Times New Roman" w:hAnsiTheme="majorHAnsi" w:cstheme="majorHAnsi"/>
          <w:sz w:val="24"/>
          <w:szCs w:val="24"/>
        </w:rPr>
        <w:t>membrii unei</w:t>
      </w:r>
      <w:r w:rsidR="00EC1EAF">
        <w:rPr>
          <w:rFonts w:asciiTheme="majorHAnsi" w:eastAsia="Times New Roman" w:hAnsiTheme="majorHAnsi" w:cstheme="majorHAnsi"/>
          <w:sz w:val="24"/>
          <w:szCs w:val="24"/>
        </w:rPr>
        <w:t xml:space="preserve"> </w:t>
      </w:r>
      <w:r w:rsidR="0083307F" w:rsidRPr="00CB5F81">
        <w:rPr>
          <w:rFonts w:asciiTheme="majorHAnsi" w:eastAsia="Times New Roman" w:hAnsiTheme="majorHAnsi" w:cstheme="majorHAnsi"/>
          <w:sz w:val="24"/>
          <w:szCs w:val="24"/>
        </w:rPr>
        <w:t>comisi</w:t>
      </w:r>
      <w:r w:rsidR="00573B9A" w:rsidRPr="00CB5F81">
        <w:rPr>
          <w:rFonts w:asciiTheme="majorHAnsi" w:eastAsia="Times New Roman" w:hAnsiTheme="majorHAnsi" w:cstheme="majorHAnsi"/>
          <w:sz w:val="24"/>
          <w:szCs w:val="24"/>
        </w:rPr>
        <w:t>i</w:t>
      </w:r>
      <w:r w:rsidR="0083307F" w:rsidRPr="00CB5F81">
        <w:rPr>
          <w:rFonts w:asciiTheme="majorHAnsi" w:eastAsia="Times New Roman" w:hAnsiTheme="majorHAnsi" w:cstheme="majorHAnsi"/>
          <w:sz w:val="24"/>
          <w:szCs w:val="24"/>
        </w:rPr>
        <w:t xml:space="preserve">, </w:t>
      </w:r>
      <w:r w:rsidR="00032B66" w:rsidRPr="005405A7">
        <w:rPr>
          <w:rFonts w:asciiTheme="majorHAnsi" w:eastAsia="Times New Roman" w:hAnsiTheme="majorHAnsi" w:cstheme="majorHAnsi"/>
          <w:sz w:val="24"/>
          <w:szCs w:val="24"/>
        </w:rPr>
        <w:t>această activitate</w:t>
      </w:r>
      <w:r w:rsidR="00032B66">
        <w:rPr>
          <w:rFonts w:asciiTheme="majorHAnsi" w:eastAsia="Times New Roman" w:hAnsiTheme="majorHAnsi" w:cstheme="majorHAnsi"/>
          <w:sz w:val="24"/>
          <w:szCs w:val="24"/>
        </w:rPr>
        <w:t xml:space="preserve"> </w:t>
      </w:r>
      <w:r w:rsidR="00B14E5B" w:rsidRPr="00CB5F81">
        <w:rPr>
          <w:rFonts w:asciiTheme="majorHAnsi" w:eastAsia="Times New Roman" w:hAnsiTheme="majorHAnsi" w:cstheme="majorHAnsi"/>
          <w:sz w:val="24"/>
          <w:szCs w:val="24"/>
        </w:rPr>
        <w:t xml:space="preserve"> </w:t>
      </w:r>
      <w:r w:rsidR="00573B9A" w:rsidRPr="00CB5F81">
        <w:rPr>
          <w:rFonts w:asciiTheme="majorHAnsi" w:eastAsia="Times New Roman" w:hAnsiTheme="majorHAnsi" w:cstheme="majorHAnsi"/>
          <w:sz w:val="24"/>
          <w:szCs w:val="24"/>
        </w:rPr>
        <w:t xml:space="preserve">poartă un caracter formal, </w:t>
      </w:r>
      <w:r w:rsidR="00160C25" w:rsidRPr="00CB5F81">
        <w:rPr>
          <w:rFonts w:asciiTheme="majorHAnsi" w:eastAsia="Times New Roman" w:hAnsiTheme="majorHAnsi" w:cstheme="majorHAnsi"/>
          <w:sz w:val="24"/>
          <w:szCs w:val="24"/>
        </w:rPr>
        <w:t>avându</w:t>
      </w:r>
      <w:r w:rsidR="00573B9A" w:rsidRPr="00CB5F81">
        <w:rPr>
          <w:rFonts w:asciiTheme="majorHAnsi" w:eastAsia="Times New Roman" w:hAnsiTheme="majorHAnsi" w:cstheme="majorHAnsi"/>
          <w:sz w:val="24"/>
          <w:szCs w:val="24"/>
        </w:rPr>
        <w:t xml:space="preserve">-se în vedere că nu au existat careva obiecții pe marginea </w:t>
      </w:r>
      <w:r w:rsidR="00B14E5B" w:rsidRPr="00CB5F81">
        <w:rPr>
          <w:rFonts w:asciiTheme="majorHAnsi" w:eastAsia="Times New Roman" w:hAnsiTheme="majorHAnsi" w:cstheme="majorHAnsi"/>
          <w:sz w:val="24"/>
          <w:szCs w:val="24"/>
        </w:rPr>
        <w:t>corectitudinii solicitării facilității.</w:t>
      </w:r>
    </w:p>
    <w:p w:rsidR="008422E0" w:rsidRDefault="008422E0" w:rsidP="0083307F">
      <w:pPr>
        <w:spacing w:after="120" w:line="240" w:lineRule="auto"/>
        <w:contextualSpacing/>
        <w:jc w:val="both"/>
        <w:rPr>
          <w:rFonts w:asciiTheme="majorHAnsi" w:eastAsia="Times New Roman" w:hAnsiTheme="majorHAnsi" w:cstheme="majorHAnsi"/>
          <w:sz w:val="24"/>
          <w:szCs w:val="24"/>
        </w:rPr>
      </w:pPr>
    </w:p>
    <w:p w:rsidR="008422E0" w:rsidRPr="00CB5F81" w:rsidRDefault="008422E0" w:rsidP="0083307F">
      <w:pPr>
        <w:spacing w:after="120" w:line="240" w:lineRule="auto"/>
        <w:contextualSpacing/>
        <w:jc w:val="both"/>
        <w:rPr>
          <w:rFonts w:asciiTheme="majorHAnsi" w:eastAsia="Times New Roman" w:hAnsiTheme="majorHAnsi" w:cstheme="majorHAnsi"/>
          <w:sz w:val="24"/>
          <w:szCs w:val="24"/>
        </w:rPr>
      </w:pPr>
    </w:p>
    <w:p w:rsidR="00902174" w:rsidRPr="008422E0" w:rsidRDefault="00E057D5" w:rsidP="008422E0">
      <w:pPr>
        <w:pStyle w:val="ListParagraph"/>
        <w:numPr>
          <w:ilvl w:val="0"/>
          <w:numId w:val="14"/>
        </w:numPr>
        <w:tabs>
          <w:tab w:val="left" w:pos="540"/>
        </w:tabs>
        <w:spacing w:after="120"/>
        <w:ind w:left="450" w:hanging="180"/>
        <w:contextualSpacing w:val="0"/>
        <w:jc w:val="both"/>
        <w:rPr>
          <w:rStyle w:val="Bodytext20"/>
          <w:rFonts w:asciiTheme="majorHAnsi" w:eastAsiaTheme="minorHAnsi" w:hAnsiTheme="majorHAnsi" w:cstheme="majorHAnsi"/>
          <w:color w:val="2E74B5" w:themeColor="accent1" w:themeShade="BF"/>
          <w:sz w:val="24"/>
          <w:szCs w:val="24"/>
          <w:lang w:val="ro-MD"/>
        </w:rPr>
      </w:pPr>
      <w:r w:rsidRPr="008422E0">
        <w:rPr>
          <w:rStyle w:val="Bodytext20"/>
          <w:rFonts w:asciiTheme="majorHAnsi" w:eastAsiaTheme="minorHAnsi" w:hAnsiTheme="majorHAnsi" w:cstheme="majorHAnsi"/>
          <w:color w:val="2E74B5" w:themeColor="accent1" w:themeShade="BF"/>
          <w:sz w:val="24"/>
          <w:szCs w:val="24"/>
          <w:lang w:val="ro-MD"/>
        </w:rPr>
        <w:lastRenderedPageBreak/>
        <w:t>Procesul de comunicare între MAIA și SFS</w:t>
      </w:r>
      <w:r w:rsidR="00EC1EAF" w:rsidRPr="008422E0">
        <w:rPr>
          <w:rStyle w:val="Bodytext20"/>
          <w:rFonts w:asciiTheme="majorHAnsi" w:eastAsiaTheme="minorHAnsi" w:hAnsiTheme="majorHAnsi" w:cstheme="majorHAnsi"/>
          <w:color w:val="2E74B5" w:themeColor="accent1" w:themeShade="BF"/>
          <w:sz w:val="24"/>
          <w:szCs w:val="24"/>
          <w:lang w:val="ro-MD"/>
        </w:rPr>
        <w:t xml:space="preserve"> </w:t>
      </w:r>
      <w:r w:rsidRPr="008422E0">
        <w:rPr>
          <w:rStyle w:val="Bodytext20"/>
          <w:rFonts w:asciiTheme="majorHAnsi" w:eastAsiaTheme="minorHAnsi" w:hAnsiTheme="majorHAnsi" w:cstheme="majorHAnsi"/>
          <w:color w:val="2E74B5" w:themeColor="accent1" w:themeShade="BF"/>
          <w:sz w:val="24"/>
          <w:szCs w:val="24"/>
          <w:lang w:val="ro-MD"/>
        </w:rPr>
        <w:t xml:space="preserve">referitor la </w:t>
      </w:r>
      <w:r w:rsidR="00037839" w:rsidRPr="008422E0">
        <w:rPr>
          <w:rStyle w:val="Bodytext20"/>
          <w:rFonts w:asciiTheme="majorHAnsi" w:eastAsiaTheme="minorHAnsi" w:hAnsiTheme="majorHAnsi" w:cstheme="majorHAnsi"/>
          <w:color w:val="2E74B5" w:themeColor="accent1" w:themeShade="BF"/>
          <w:sz w:val="24"/>
          <w:szCs w:val="24"/>
          <w:lang w:val="ro-MD"/>
        </w:rPr>
        <w:t>acordarea scutirii de acciz</w:t>
      </w:r>
      <w:r w:rsidR="00412088" w:rsidRPr="008422E0">
        <w:rPr>
          <w:rStyle w:val="Bodytext20"/>
          <w:rFonts w:asciiTheme="majorHAnsi" w:eastAsiaTheme="minorHAnsi" w:hAnsiTheme="majorHAnsi" w:cstheme="majorHAnsi"/>
          <w:color w:val="2E74B5" w:themeColor="accent1" w:themeShade="BF"/>
          <w:sz w:val="24"/>
          <w:szCs w:val="24"/>
          <w:lang w:val="ro-MD"/>
        </w:rPr>
        <w:t>e</w:t>
      </w:r>
      <w:r w:rsidR="00AC630B" w:rsidRPr="008422E0">
        <w:rPr>
          <w:rStyle w:val="Bodytext20"/>
          <w:rFonts w:asciiTheme="majorHAnsi" w:eastAsiaTheme="minorHAnsi" w:hAnsiTheme="majorHAnsi" w:cstheme="majorHAnsi"/>
          <w:color w:val="2E74B5" w:themeColor="accent1" w:themeShade="BF"/>
          <w:sz w:val="24"/>
          <w:szCs w:val="24"/>
          <w:lang w:val="ro-MD"/>
        </w:rPr>
        <w:t xml:space="preserve"> la</w:t>
      </w:r>
      <w:r w:rsidR="00EC1EAF" w:rsidRPr="008422E0">
        <w:rPr>
          <w:rStyle w:val="Bodytext20"/>
          <w:rFonts w:asciiTheme="majorHAnsi" w:eastAsiaTheme="minorHAnsi" w:hAnsiTheme="majorHAnsi" w:cstheme="majorHAnsi"/>
          <w:color w:val="2E74B5" w:themeColor="accent1" w:themeShade="BF"/>
          <w:sz w:val="24"/>
          <w:szCs w:val="24"/>
          <w:lang w:val="ro-MD"/>
        </w:rPr>
        <w:t xml:space="preserve"> </w:t>
      </w:r>
      <w:r w:rsidR="00AC630B" w:rsidRPr="008422E0">
        <w:rPr>
          <w:rStyle w:val="Bodytext20"/>
          <w:rFonts w:asciiTheme="majorHAnsi" w:eastAsiaTheme="minorHAnsi" w:hAnsiTheme="majorHAnsi" w:cstheme="majorHAnsi"/>
          <w:color w:val="2E74B5" w:themeColor="accent1" w:themeShade="BF"/>
          <w:sz w:val="24"/>
          <w:szCs w:val="24"/>
          <w:lang w:val="ro-MD"/>
        </w:rPr>
        <w:t xml:space="preserve">alcoolul </w:t>
      </w:r>
      <w:r w:rsidR="00037839" w:rsidRPr="008422E0">
        <w:rPr>
          <w:rStyle w:val="Bodytext20"/>
          <w:rFonts w:asciiTheme="majorHAnsi" w:eastAsiaTheme="minorHAnsi" w:hAnsiTheme="majorHAnsi" w:cstheme="majorHAnsi"/>
          <w:color w:val="2E74B5" w:themeColor="accent1" w:themeShade="BF"/>
          <w:sz w:val="24"/>
          <w:szCs w:val="24"/>
          <w:lang w:val="ro-MD"/>
        </w:rPr>
        <w:t>etilic nedenaturat a</w:t>
      </w:r>
      <w:r w:rsidRPr="008422E0">
        <w:rPr>
          <w:rStyle w:val="Bodytext20"/>
          <w:rFonts w:asciiTheme="majorHAnsi" w:eastAsiaTheme="minorHAnsi" w:hAnsiTheme="majorHAnsi" w:cstheme="majorHAnsi"/>
          <w:color w:val="2E74B5" w:themeColor="accent1" w:themeShade="BF"/>
          <w:sz w:val="24"/>
          <w:szCs w:val="24"/>
          <w:lang w:val="ro-MD"/>
        </w:rPr>
        <w:t xml:space="preserve"> fost unul defectuos</w:t>
      </w:r>
    </w:p>
    <w:p w:rsidR="00250E74" w:rsidRPr="00CB5F81" w:rsidRDefault="00EB70FA" w:rsidP="00714C1F">
      <w:pPr>
        <w:pStyle w:val="ListParagraph"/>
        <w:tabs>
          <w:tab w:val="left" w:pos="360"/>
        </w:tabs>
        <w:ind w:left="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sz w:val="24"/>
          <w:szCs w:val="24"/>
          <w:lang w:val="ro-MD"/>
        </w:rPr>
        <w:t xml:space="preserve">Un alt aspect problematic </w:t>
      </w:r>
      <w:r w:rsidR="00A5210F">
        <w:rPr>
          <w:rFonts w:asciiTheme="majorHAnsi" w:eastAsia="Times New Roman" w:hAnsiTheme="majorHAnsi" w:cstheme="majorHAnsi"/>
          <w:sz w:val="24"/>
          <w:szCs w:val="24"/>
          <w:lang w:val="ro-MD"/>
        </w:rPr>
        <w:t>este</w:t>
      </w:r>
      <w:r w:rsidRPr="00CB5F81">
        <w:rPr>
          <w:rFonts w:asciiTheme="majorHAnsi" w:eastAsia="Times New Roman" w:hAnsiTheme="majorHAnsi" w:cstheme="majorHAnsi"/>
          <w:sz w:val="24"/>
          <w:szCs w:val="24"/>
          <w:lang w:val="ro-MD"/>
        </w:rPr>
        <w:t xml:space="preserve"> </w:t>
      </w:r>
      <w:r w:rsidR="00FF6D75" w:rsidRPr="00CB5F81">
        <w:rPr>
          <w:rFonts w:asciiTheme="majorHAnsi" w:eastAsia="Times New Roman" w:hAnsiTheme="majorHAnsi" w:cstheme="majorHAnsi"/>
          <w:sz w:val="24"/>
          <w:szCs w:val="24"/>
          <w:lang w:val="ro-MD"/>
        </w:rPr>
        <w:t>coordonare</w:t>
      </w:r>
      <w:r w:rsidRPr="00CB5F81">
        <w:rPr>
          <w:rFonts w:asciiTheme="majorHAnsi" w:eastAsia="Times New Roman" w:hAnsiTheme="majorHAnsi" w:cstheme="majorHAnsi"/>
          <w:sz w:val="24"/>
          <w:szCs w:val="24"/>
          <w:lang w:val="ro-MD"/>
        </w:rPr>
        <w:t>a</w:t>
      </w:r>
      <w:r w:rsidR="00046CC7" w:rsidRPr="00CB5F81">
        <w:rPr>
          <w:rFonts w:asciiTheme="majorHAnsi" w:eastAsia="Times New Roman" w:hAnsiTheme="majorHAnsi" w:cstheme="majorHAnsi"/>
          <w:sz w:val="24"/>
          <w:szCs w:val="24"/>
          <w:lang w:val="ro-MD"/>
        </w:rPr>
        <w:t xml:space="preserve"> interinstituțională</w:t>
      </w:r>
      <w:r w:rsidR="00EC1EAF">
        <w:rPr>
          <w:rFonts w:asciiTheme="majorHAnsi" w:eastAsia="Times New Roman" w:hAnsiTheme="majorHAnsi" w:cstheme="majorHAnsi"/>
          <w:sz w:val="24"/>
          <w:szCs w:val="24"/>
          <w:lang w:val="ro-MD"/>
        </w:rPr>
        <w:t xml:space="preserve"> </w:t>
      </w:r>
      <w:r w:rsidR="00827D73" w:rsidRPr="00CB5F81">
        <w:rPr>
          <w:rFonts w:asciiTheme="majorHAnsi" w:eastAsia="Times New Roman" w:hAnsiTheme="majorHAnsi" w:cstheme="majorHAnsi"/>
          <w:sz w:val="24"/>
          <w:szCs w:val="24"/>
          <w:lang w:val="ro-MD"/>
        </w:rPr>
        <w:t xml:space="preserve">a </w:t>
      </w:r>
      <w:r w:rsidRPr="00CB5F81">
        <w:rPr>
          <w:rFonts w:asciiTheme="majorHAnsi" w:eastAsia="Times New Roman" w:hAnsiTheme="majorHAnsi" w:cstheme="majorHAnsi"/>
          <w:sz w:val="24"/>
          <w:szCs w:val="24"/>
          <w:lang w:val="ro-MD"/>
        </w:rPr>
        <w:t xml:space="preserve">acordării scutirii de plata accizului </w:t>
      </w:r>
      <w:r w:rsidR="00A5210F">
        <w:rPr>
          <w:rFonts w:asciiTheme="majorHAnsi" w:eastAsia="Times New Roman" w:hAnsiTheme="majorHAnsi" w:cstheme="majorHAnsi"/>
          <w:sz w:val="24"/>
          <w:szCs w:val="24"/>
          <w:lang w:val="ro-MD"/>
        </w:rPr>
        <w:t>l</w:t>
      </w:r>
      <w:r w:rsidRPr="00CB5F81">
        <w:rPr>
          <w:rFonts w:asciiTheme="majorHAnsi" w:eastAsia="Times New Roman" w:hAnsiTheme="majorHAnsi" w:cstheme="majorHAnsi"/>
          <w:sz w:val="24"/>
          <w:szCs w:val="24"/>
          <w:lang w:val="ro-MD"/>
        </w:rPr>
        <w:t>a alcoolul etilic nedenaturat</w:t>
      </w:r>
      <w:r w:rsidR="00827D73" w:rsidRPr="00CB5F81">
        <w:rPr>
          <w:rFonts w:asciiTheme="majorHAnsi" w:eastAsia="Times New Roman" w:hAnsiTheme="majorHAnsi" w:cstheme="majorHAnsi"/>
          <w:sz w:val="24"/>
          <w:szCs w:val="24"/>
          <w:lang w:val="ro-MD"/>
        </w:rPr>
        <w:t>,</w:t>
      </w:r>
      <w:r w:rsidR="00827D73" w:rsidRPr="00CB5F81">
        <w:rPr>
          <w:rFonts w:asciiTheme="majorHAnsi" w:hAnsiTheme="majorHAnsi" w:cstheme="majorHAnsi"/>
          <w:sz w:val="24"/>
          <w:szCs w:val="24"/>
          <w:lang w:val="ro-MD"/>
        </w:rPr>
        <w:t xml:space="preserve"> în limita volumului stabilit de ministerul de ramură</w:t>
      </w:r>
      <w:r w:rsidRPr="00CB5F81">
        <w:rPr>
          <w:rFonts w:asciiTheme="majorHAnsi" w:eastAsia="Times New Roman" w:hAnsiTheme="majorHAnsi" w:cstheme="majorHAnsi"/>
          <w:sz w:val="24"/>
          <w:szCs w:val="24"/>
          <w:lang w:val="ro-MD"/>
        </w:rPr>
        <w:t>.</w:t>
      </w:r>
      <w:r w:rsidR="00FF6D75" w:rsidRPr="00CB5F81">
        <w:rPr>
          <w:rFonts w:asciiTheme="majorHAnsi" w:eastAsia="Times New Roman" w:hAnsiTheme="majorHAnsi" w:cstheme="majorHAnsi"/>
          <w:sz w:val="24"/>
          <w:szCs w:val="24"/>
          <w:lang w:val="ro-MD"/>
        </w:rPr>
        <w:t xml:space="preserve"> P</w:t>
      </w:r>
      <w:r w:rsidR="00250E74" w:rsidRPr="00CB5F81">
        <w:rPr>
          <w:rFonts w:asciiTheme="majorHAnsi" w:eastAsia="Times New Roman" w:hAnsiTheme="majorHAnsi" w:cstheme="majorHAnsi"/>
          <w:sz w:val="24"/>
          <w:szCs w:val="24"/>
          <w:lang w:val="ro-MD"/>
        </w:rPr>
        <w:t xml:space="preserve">otrivit informației prezentate </w:t>
      </w:r>
      <w:r w:rsidR="00402B2F" w:rsidRPr="00CB5F81">
        <w:rPr>
          <w:rFonts w:asciiTheme="majorHAnsi" w:eastAsia="Times New Roman" w:hAnsiTheme="majorHAnsi" w:cstheme="majorHAnsi"/>
          <w:sz w:val="24"/>
          <w:szCs w:val="24"/>
          <w:lang w:val="ro-MD"/>
        </w:rPr>
        <w:t xml:space="preserve">de </w:t>
      </w:r>
      <w:r w:rsidR="00250E74" w:rsidRPr="00CB5F81">
        <w:rPr>
          <w:rFonts w:asciiTheme="majorHAnsi" w:eastAsia="Times New Roman" w:hAnsiTheme="majorHAnsi" w:cstheme="majorHAnsi"/>
          <w:sz w:val="24"/>
          <w:szCs w:val="24"/>
          <w:lang w:val="ro-MD"/>
        </w:rPr>
        <w:t xml:space="preserve">MAIA, pe parcursul anului 2020, ministerul a remis 12 scrisori în adresa SFS, prin care a solicitat acordul organului fiscal </w:t>
      </w:r>
      <w:r w:rsidR="00037839" w:rsidRPr="00CB5F81">
        <w:rPr>
          <w:rFonts w:asciiTheme="majorHAnsi" w:eastAsia="Times New Roman" w:hAnsiTheme="majorHAnsi" w:cstheme="majorHAnsi"/>
          <w:sz w:val="24"/>
          <w:szCs w:val="24"/>
          <w:lang w:val="ro-MD"/>
        </w:rPr>
        <w:t xml:space="preserve">privind </w:t>
      </w:r>
      <w:r w:rsidR="00402B2F" w:rsidRPr="00CB5F81">
        <w:rPr>
          <w:rFonts w:asciiTheme="majorHAnsi" w:eastAsia="Times New Roman" w:hAnsiTheme="majorHAnsi" w:cstheme="majorHAnsi"/>
          <w:sz w:val="24"/>
          <w:szCs w:val="24"/>
          <w:lang w:val="ro-MD"/>
        </w:rPr>
        <w:t>scutirea</w:t>
      </w:r>
      <w:r w:rsidR="00250E74" w:rsidRPr="00CB5F81">
        <w:rPr>
          <w:rFonts w:asciiTheme="majorHAnsi" w:eastAsia="Times New Roman" w:hAnsiTheme="majorHAnsi" w:cstheme="majorHAnsi"/>
          <w:sz w:val="24"/>
          <w:szCs w:val="24"/>
          <w:lang w:val="ro-MD"/>
        </w:rPr>
        <w:t xml:space="preserve"> </w:t>
      </w:r>
      <w:r w:rsidR="00A5210F">
        <w:rPr>
          <w:rFonts w:asciiTheme="majorHAnsi" w:eastAsia="Times New Roman" w:hAnsiTheme="majorHAnsi" w:cstheme="majorHAnsi"/>
          <w:sz w:val="24"/>
          <w:szCs w:val="24"/>
          <w:lang w:val="ro-MD"/>
        </w:rPr>
        <w:t>de</w:t>
      </w:r>
      <w:r w:rsidR="00250E74" w:rsidRPr="00CB5F81">
        <w:rPr>
          <w:rFonts w:asciiTheme="majorHAnsi" w:eastAsia="Times New Roman" w:hAnsiTheme="majorHAnsi" w:cstheme="majorHAnsi"/>
          <w:sz w:val="24"/>
          <w:szCs w:val="24"/>
          <w:lang w:val="ro-MD"/>
        </w:rPr>
        <w:t xml:space="preserve"> acciz</w:t>
      </w:r>
      <w:r w:rsidR="00412088" w:rsidRPr="00CB5F81">
        <w:rPr>
          <w:rFonts w:asciiTheme="majorHAnsi" w:eastAsia="Times New Roman" w:hAnsiTheme="majorHAnsi" w:cstheme="majorHAnsi"/>
          <w:sz w:val="24"/>
          <w:szCs w:val="24"/>
          <w:lang w:val="ro-MD"/>
        </w:rPr>
        <w:t>e</w:t>
      </w:r>
      <w:r w:rsidR="00EC1EAF">
        <w:rPr>
          <w:rFonts w:asciiTheme="majorHAnsi" w:eastAsia="Times New Roman" w:hAnsiTheme="majorHAnsi" w:cstheme="majorHAnsi"/>
          <w:sz w:val="24"/>
          <w:szCs w:val="24"/>
          <w:lang w:val="ro-MD"/>
        </w:rPr>
        <w:t xml:space="preserve"> </w:t>
      </w:r>
      <w:r w:rsidR="00250E74" w:rsidRPr="00CB5F81">
        <w:rPr>
          <w:rFonts w:asciiTheme="majorHAnsi" w:eastAsia="Times New Roman" w:hAnsiTheme="majorHAnsi" w:cstheme="majorHAnsi"/>
          <w:sz w:val="24"/>
          <w:szCs w:val="24"/>
          <w:lang w:val="ro-MD"/>
        </w:rPr>
        <w:t xml:space="preserve">în valoare de 666,6 </w:t>
      </w:r>
      <w:r w:rsidR="00726434" w:rsidRPr="00CB5F81">
        <w:rPr>
          <w:rFonts w:asciiTheme="majorHAnsi" w:eastAsia="Times New Roman" w:hAnsiTheme="majorHAnsi" w:cstheme="majorHAnsi"/>
          <w:color w:val="1F4E79" w:themeColor="accent1" w:themeShade="80"/>
          <w:sz w:val="24"/>
          <w:szCs w:val="24"/>
          <w:lang w:val="ro-MD"/>
        </w:rPr>
        <w:t>mil.</w:t>
      </w:r>
      <w:r w:rsidR="00250E74" w:rsidRPr="00CB5F81">
        <w:rPr>
          <w:rFonts w:asciiTheme="majorHAnsi" w:eastAsia="Times New Roman" w:hAnsiTheme="majorHAnsi" w:cstheme="majorHAnsi"/>
          <w:sz w:val="24"/>
          <w:szCs w:val="24"/>
          <w:lang w:val="ro-MD"/>
        </w:rPr>
        <w:t>lei</w:t>
      </w:r>
      <w:r w:rsidR="00250E74" w:rsidRPr="00CB5F81">
        <w:rPr>
          <w:rFonts w:asciiTheme="majorHAnsi" w:eastAsia="Times New Roman" w:hAnsiTheme="majorHAnsi" w:cstheme="majorHAnsi"/>
          <w:bCs/>
          <w:color w:val="000000"/>
          <w:sz w:val="24"/>
          <w:szCs w:val="24"/>
          <w:lang w:val="ro-MD"/>
        </w:rPr>
        <w:t>,</w:t>
      </w:r>
      <w:r w:rsidR="00250E74" w:rsidRPr="00CB5F81">
        <w:rPr>
          <w:rFonts w:asciiTheme="majorHAnsi" w:eastAsia="Times New Roman" w:hAnsiTheme="majorHAnsi" w:cstheme="majorHAnsi"/>
          <w:sz w:val="24"/>
          <w:szCs w:val="24"/>
          <w:lang w:val="ro-MD"/>
        </w:rPr>
        <w:t xml:space="preserve"> pentru 15 agenți economici implicați în fabricarea produselor de parfumerie și cosmetică.</w:t>
      </w:r>
      <w:r w:rsidR="00250E74" w:rsidRPr="00CB5F81">
        <w:rPr>
          <w:rFonts w:asciiTheme="majorHAnsi" w:eastAsia="Times New Roman" w:hAnsiTheme="majorHAnsi" w:cstheme="majorHAnsi"/>
          <w:color w:val="000000"/>
          <w:sz w:val="24"/>
          <w:szCs w:val="24"/>
          <w:lang w:val="ro-MD"/>
        </w:rPr>
        <w:t xml:space="preserve"> </w:t>
      </w:r>
      <w:r w:rsidR="00FF6D75" w:rsidRPr="00CB5F81">
        <w:rPr>
          <w:rFonts w:asciiTheme="majorHAnsi" w:eastAsia="Times New Roman" w:hAnsiTheme="majorHAnsi" w:cstheme="majorHAnsi"/>
          <w:color w:val="000000"/>
          <w:sz w:val="24"/>
          <w:szCs w:val="24"/>
          <w:lang w:val="ro-MD"/>
        </w:rPr>
        <w:t>Verificările de audit atestă că nu toate scrisorile</w:t>
      </w:r>
      <w:r w:rsidR="00EC1EAF">
        <w:rPr>
          <w:rFonts w:asciiTheme="majorHAnsi" w:eastAsia="Times New Roman" w:hAnsiTheme="majorHAnsi" w:cstheme="majorHAnsi"/>
          <w:color w:val="000000"/>
          <w:sz w:val="24"/>
          <w:szCs w:val="24"/>
          <w:lang w:val="ro-MD"/>
        </w:rPr>
        <w:t xml:space="preserve"> </w:t>
      </w:r>
      <w:r w:rsidR="00FF6D75" w:rsidRPr="00CB5F81">
        <w:rPr>
          <w:rFonts w:asciiTheme="majorHAnsi" w:eastAsia="Times New Roman" w:hAnsiTheme="majorHAnsi" w:cstheme="majorHAnsi"/>
          <w:color w:val="000000"/>
          <w:sz w:val="24"/>
          <w:szCs w:val="24"/>
          <w:lang w:val="ro-MD"/>
        </w:rPr>
        <w:t>ministerului au fost înregistrate la SFS și coordonate în modul stabilit.</w:t>
      </w:r>
      <w:r w:rsidR="00714C1F" w:rsidRPr="00CB5F81">
        <w:rPr>
          <w:rFonts w:asciiTheme="majorHAnsi" w:eastAsia="Times New Roman" w:hAnsiTheme="majorHAnsi" w:cstheme="majorHAnsi"/>
          <w:color w:val="000000"/>
          <w:sz w:val="24"/>
          <w:szCs w:val="24"/>
          <w:lang w:val="ro-MD"/>
        </w:rPr>
        <w:t xml:space="preserve"> Astfel,</w:t>
      </w:r>
      <w:r w:rsidR="00E11FBC" w:rsidRPr="00CB5F81">
        <w:rPr>
          <w:rFonts w:asciiTheme="majorHAnsi" w:eastAsia="Times New Roman" w:hAnsiTheme="majorHAnsi" w:cstheme="majorHAnsi"/>
          <w:color w:val="000000"/>
          <w:sz w:val="24"/>
          <w:szCs w:val="24"/>
          <w:lang w:val="ro-MD"/>
        </w:rPr>
        <w:t xml:space="preserve"> l</w:t>
      </w:r>
      <w:r w:rsidR="00250E74" w:rsidRPr="00CB5F81">
        <w:rPr>
          <w:rFonts w:asciiTheme="majorHAnsi" w:eastAsia="Times New Roman" w:hAnsiTheme="majorHAnsi" w:cstheme="majorHAnsi"/>
          <w:sz w:val="24"/>
          <w:szCs w:val="24"/>
          <w:lang w:val="ro-MD"/>
        </w:rPr>
        <w:t>a 26.03.2020 MA</w:t>
      </w:r>
      <w:r w:rsidR="00402B2F" w:rsidRPr="00CB5F81">
        <w:rPr>
          <w:rFonts w:asciiTheme="majorHAnsi" w:eastAsia="Times New Roman" w:hAnsiTheme="majorHAnsi" w:cstheme="majorHAnsi"/>
          <w:sz w:val="24"/>
          <w:szCs w:val="24"/>
          <w:lang w:val="ro-MD"/>
        </w:rPr>
        <w:t>IA</w:t>
      </w:r>
      <w:r w:rsidR="00250E74" w:rsidRPr="00CB5F81">
        <w:rPr>
          <w:rFonts w:asciiTheme="majorHAnsi" w:eastAsia="Times New Roman" w:hAnsiTheme="majorHAnsi" w:cstheme="majorHAnsi"/>
          <w:sz w:val="24"/>
          <w:szCs w:val="24"/>
          <w:lang w:val="ro-MD"/>
        </w:rPr>
        <w:t xml:space="preserve"> a remis</w:t>
      </w:r>
      <w:r w:rsidR="00EC1EAF">
        <w:rPr>
          <w:rFonts w:asciiTheme="majorHAnsi" w:eastAsia="Times New Roman" w:hAnsiTheme="majorHAnsi" w:cstheme="majorHAnsi"/>
          <w:sz w:val="24"/>
          <w:szCs w:val="24"/>
          <w:lang w:val="ro-MD"/>
        </w:rPr>
        <w:t xml:space="preserve"> </w:t>
      </w:r>
      <w:r w:rsidR="00402B2F" w:rsidRPr="00CB5F81">
        <w:rPr>
          <w:rFonts w:asciiTheme="majorHAnsi" w:eastAsia="Times New Roman" w:hAnsiTheme="majorHAnsi" w:cstheme="majorHAnsi"/>
          <w:sz w:val="24"/>
          <w:szCs w:val="24"/>
          <w:lang w:val="ro-MD"/>
        </w:rPr>
        <w:t>în adresa SFS</w:t>
      </w:r>
      <w:r w:rsidR="00A5210F">
        <w:rPr>
          <w:rFonts w:asciiTheme="majorHAnsi" w:eastAsia="Times New Roman" w:hAnsiTheme="majorHAnsi" w:cstheme="majorHAnsi"/>
          <w:sz w:val="24"/>
          <w:szCs w:val="24"/>
          <w:lang w:val="ro-MD"/>
        </w:rPr>
        <w:t>,</w:t>
      </w:r>
      <w:r w:rsidR="00402B2F" w:rsidRPr="00CB5F81">
        <w:rPr>
          <w:rFonts w:asciiTheme="majorHAnsi" w:eastAsia="Times New Roman" w:hAnsiTheme="majorHAnsi" w:cstheme="majorHAnsi"/>
          <w:sz w:val="24"/>
          <w:szCs w:val="24"/>
          <w:lang w:val="ro-MD"/>
        </w:rPr>
        <w:t xml:space="preserve"> </w:t>
      </w:r>
      <w:r w:rsidR="00250E74" w:rsidRPr="00CB5F81">
        <w:rPr>
          <w:rFonts w:asciiTheme="majorHAnsi" w:eastAsia="Times New Roman" w:hAnsiTheme="majorHAnsi" w:cstheme="majorHAnsi"/>
          <w:sz w:val="24"/>
          <w:szCs w:val="24"/>
          <w:lang w:val="ro-MD"/>
        </w:rPr>
        <w:t>prin intermediul Serviciului managementul documentelor</w:t>
      </w:r>
      <w:r w:rsidR="00402B2F" w:rsidRPr="00CB5F81">
        <w:rPr>
          <w:rStyle w:val="FootnoteReference"/>
          <w:rFonts w:asciiTheme="majorHAnsi" w:eastAsia="Times New Roman" w:hAnsiTheme="majorHAnsi" w:cstheme="majorHAnsi"/>
          <w:sz w:val="24"/>
          <w:szCs w:val="24"/>
          <w:lang w:val="ro-MD"/>
        </w:rPr>
        <w:footnoteReference w:id="49"/>
      </w:r>
      <w:r w:rsidR="00A5210F">
        <w:rPr>
          <w:rFonts w:asciiTheme="majorHAnsi" w:eastAsia="Times New Roman" w:hAnsiTheme="majorHAnsi" w:cstheme="majorHAnsi"/>
          <w:sz w:val="24"/>
          <w:szCs w:val="24"/>
          <w:lang w:val="ro-MD"/>
        </w:rPr>
        <w:t>,</w:t>
      </w:r>
      <w:r w:rsidR="00250E74" w:rsidRPr="00CB5F81">
        <w:rPr>
          <w:rFonts w:asciiTheme="majorHAnsi" w:eastAsia="Times New Roman" w:hAnsiTheme="majorHAnsi" w:cstheme="majorHAnsi"/>
          <w:sz w:val="24"/>
          <w:szCs w:val="24"/>
          <w:lang w:val="ro-MD"/>
        </w:rPr>
        <w:t xml:space="preserve"> scrisoarea cu nr.25-82/1635, prin care a solicitat coordonarea scutirii </w:t>
      </w:r>
      <w:r w:rsidR="00A5210F">
        <w:rPr>
          <w:rFonts w:asciiTheme="majorHAnsi" w:eastAsia="Times New Roman" w:hAnsiTheme="majorHAnsi" w:cstheme="majorHAnsi"/>
          <w:sz w:val="24"/>
          <w:szCs w:val="24"/>
          <w:lang w:val="ro-MD"/>
        </w:rPr>
        <w:t>de</w:t>
      </w:r>
      <w:r w:rsidR="00250E74" w:rsidRPr="00CB5F81">
        <w:rPr>
          <w:rFonts w:asciiTheme="majorHAnsi" w:eastAsia="Times New Roman" w:hAnsiTheme="majorHAnsi" w:cstheme="majorHAnsi"/>
          <w:sz w:val="24"/>
          <w:szCs w:val="24"/>
          <w:lang w:val="ro-MD"/>
        </w:rPr>
        <w:t xml:space="preserve"> acciz</w:t>
      </w:r>
      <w:r w:rsidR="00EC1EAF">
        <w:rPr>
          <w:rFonts w:asciiTheme="majorHAnsi" w:eastAsia="Times New Roman" w:hAnsiTheme="majorHAnsi" w:cstheme="majorHAnsi"/>
          <w:sz w:val="24"/>
          <w:szCs w:val="24"/>
          <w:lang w:val="ro-MD"/>
        </w:rPr>
        <w:t xml:space="preserve"> </w:t>
      </w:r>
      <w:r w:rsidR="00250E74" w:rsidRPr="00CB5F81">
        <w:rPr>
          <w:rFonts w:asciiTheme="majorHAnsi" w:eastAsia="Times New Roman" w:hAnsiTheme="majorHAnsi" w:cstheme="majorHAnsi"/>
          <w:sz w:val="24"/>
          <w:szCs w:val="24"/>
          <w:lang w:val="ro-MD"/>
        </w:rPr>
        <w:t>pentru</w:t>
      </w:r>
      <w:r w:rsidR="00EC1EAF">
        <w:rPr>
          <w:rFonts w:asciiTheme="majorHAnsi" w:eastAsia="Times New Roman" w:hAnsiTheme="majorHAnsi" w:cstheme="majorHAnsi"/>
          <w:sz w:val="24"/>
          <w:szCs w:val="24"/>
          <w:lang w:val="ro-MD"/>
        </w:rPr>
        <w:t xml:space="preserve"> </w:t>
      </w:r>
      <w:r w:rsidR="00250E74" w:rsidRPr="00CB5F81">
        <w:rPr>
          <w:rFonts w:asciiTheme="majorHAnsi" w:eastAsia="Times New Roman" w:hAnsiTheme="majorHAnsi" w:cstheme="majorHAnsi"/>
          <w:sz w:val="24"/>
          <w:szCs w:val="24"/>
          <w:lang w:val="ro-MD"/>
        </w:rPr>
        <w:t>un</w:t>
      </w:r>
      <w:r w:rsidR="00EC1EAF">
        <w:rPr>
          <w:rFonts w:asciiTheme="majorHAnsi" w:eastAsia="Times New Roman" w:hAnsiTheme="majorHAnsi" w:cstheme="majorHAnsi"/>
          <w:sz w:val="24"/>
          <w:szCs w:val="24"/>
          <w:lang w:val="ro-MD"/>
        </w:rPr>
        <w:t xml:space="preserve"> </w:t>
      </w:r>
      <w:r w:rsidR="00250E74" w:rsidRPr="00CB5F81">
        <w:rPr>
          <w:rFonts w:asciiTheme="majorHAnsi" w:eastAsia="Times New Roman" w:hAnsiTheme="majorHAnsi" w:cstheme="majorHAnsi"/>
          <w:sz w:val="24"/>
          <w:szCs w:val="24"/>
          <w:lang w:val="ro-MD"/>
        </w:rPr>
        <w:t>volum de 465400,0 decalitri de alcool etilic nedenaturat, în sumă totală de 466</w:t>
      </w:r>
      <w:r w:rsidR="00A5210F">
        <w:rPr>
          <w:rFonts w:asciiTheme="majorHAnsi" w:eastAsia="Times New Roman" w:hAnsiTheme="majorHAnsi" w:cstheme="majorHAnsi"/>
          <w:sz w:val="24"/>
          <w:szCs w:val="24"/>
          <w:lang w:val="ro-MD"/>
        </w:rPr>
        <w:t>,</w:t>
      </w:r>
      <w:r w:rsidR="00250E74" w:rsidRPr="00CB5F81">
        <w:rPr>
          <w:rFonts w:asciiTheme="majorHAnsi" w:eastAsia="Times New Roman" w:hAnsiTheme="majorHAnsi" w:cstheme="majorHAnsi"/>
          <w:sz w:val="24"/>
          <w:szCs w:val="24"/>
          <w:lang w:val="ro-MD"/>
        </w:rPr>
        <w:t>1 mil. lei, acordate la 6 agenți economici</w:t>
      </w:r>
      <w:r w:rsidR="00714C1F" w:rsidRPr="00CB5F81">
        <w:rPr>
          <w:rStyle w:val="FootnoteReference"/>
          <w:rFonts w:asciiTheme="majorHAnsi" w:eastAsia="Times New Roman" w:hAnsiTheme="majorHAnsi" w:cstheme="majorHAnsi"/>
          <w:sz w:val="24"/>
          <w:szCs w:val="24"/>
          <w:lang w:val="ro-MD"/>
        </w:rPr>
        <w:footnoteReference w:id="50"/>
      </w:r>
      <w:r w:rsidR="00714C1F" w:rsidRPr="00CB5F81">
        <w:rPr>
          <w:rFonts w:asciiTheme="majorHAnsi" w:eastAsia="Times New Roman" w:hAnsiTheme="majorHAnsi" w:cstheme="majorHAnsi"/>
          <w:sz w:val="24"/>
          <w:szCs w:val="24"/>
          <w:lang w:val="ro-MD"/>
        </w:rPr>
        <w:t>.</w:t>
      </w:r>
    </w:p>
    <w:p w:rsidR="00C5340F" w:rsidRPr="00CB5F81" w:rsidRDefault="00250E74" w:rsidP="00B43EC7">
      <w:pPr>
        <w:pStyle w:val="ListParagraph"/>
        <w:tabs>
          <w:tab w:val="left" w:pos="360"/>
        </w:tabs>
        <w:spacing w:after="120"/>
        <w:ind w:left="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In pofida faptului că MAIA confirmă direcționarea către SFS a documentului prenotat</w:t>
      </w:r>
      <w:r w:rsidR="00714C1F" w:rsidRPr="00CB5F81">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 xml:space="preserve">agenții economici indicați beneficiind de scutiri, conform datelor raportate </w:t>
      </w:r>
      <w:r w:rsidR="00402B2F" w:rsidRPr="00CB5F81">
        <w:rPr>
          <w:rFonts w:asciiTheme="majorHAnsi" w:eastAsia="Times New Roman" w:hAnsiTheme="majorHAnsi" w:cstheme="majorHAnsi"/>
          <w:color w:val="000000"/>
          <w:sz w:val="24"/>
          <w:szCs w:val="24"/>
          <w:lang w:val="ro-MD"/>
        </w:rPr>
        <w:t xml:space="preserve">de </w:t>
      </w:r>
      <w:r w:rsidRPr="00CB5F81">
        <w:rPr>
          <w:rFonts w:asciiTheme="majorHAnsi" w:eastAsia="Times New Roman" w:hAnsiTheme="majorHAnsi" w:cstheme="majorHAnsi"/>
          <w:color w:val="000000"/>
          <w:sz w:val="24"/>
          <w:szCs w:val="24"/>
          <w:lang w:val="ro-MD"/>
        </w:rPr>
        <w:t>MAIA)</w:t>
      </w:r>
      <w:r w:rsidR="00714C1F" w:rsidRPr="00CB5F81">
        <w:rPr>
          <w:rFonts w:asciiTheme="majorHAnsi" w:eastAsia="Times New Roman" w:hAnsiTheme="majorHAnsi" w:cstheme="majorHAnsi"/>
          <w:color w:val="000000"/>
          <w:sz w:val="24"/>
          <w:szCs w:val="24"/>
          <w:lang w:val="ro-MD"/>
        </w:rPr>
        <w:t xml:space="preserve">, </w:t>
      </w:r>
      <w:r w:rsidR="00402B2F" w:rsidRPr="00CB5F81">
        <w:rPr>
          <w:rFonts w:asciiTheme="majorHAnsi" w:eastAsia="Times New Roman" w:hAnsiTheme="majorHAnsi" w:cstheme="majorHAnsi"/>
          <w:color w:val="000000"/>
          <w:sz w:val="24"/>
          <w:szCs w:val="24"/>
          <w:lang w:val="ro-MD"/>
        </w:rPr>
        <w:t>în Registrele de înregistrare a corespondenței</w:t>
      </w:r>
      <w:r w:rsidR="003C698A" w:rsidRPr="00CB5F81">
        <w:rPr>
          <w:rFonts w:asciiTheme="majorHAnsi" w:eastAsia="Times New Roman" w:hAnsiTheme="majorHAnsi" w:cstheme="majorHAnsi"/>
          <w:color w:val="000000"/>
          <w:sz w:val="24"/>
          <w:szCs w:val="24"/>
          <w:lang w:val="ro-MD"/>
        </w:rPr>
        <w:t>,</w:t>
      </w:r>
      <w:r w:rsidR="002F3D39" w:rsidRPr="00CB5F81">
        <w:rPr>
          <w:rFonts w:asciiTheme="majorHAnsi" w:eastAsia="Times New Roman" w:hAnsiTheme="majorHAnsi" w:cstheme="majorHAnsi"/>
          <w:color w:val="000000"/>
          <w:sz w:val="24"/>
          <w:szCs w:val="24"/>
          <w:lang w:val="ro-MD"/>
        </w:rPr>
        <w:t xml:space="preserve"> </w:t>
      </w:r>
      <w:r w:rsidR="00A5210F">
        <w:rPr>
          <w:rFonts w:asciiTheme="majorHAnsi" w:eastAsia="Times New Roman" w:hAnsiTheme="majorHAnsi" w:cstheme="majorHAnsi"/>
          <w:color w:val="000000"/>
          <w:sz w:val="24"/>
          <w:szCs w:val="24"/>
          <w:lang w:val="ro-MD"/>
        </w:rPr>
        <w:t>potrivit</w:t>
      </w:r>
      <w:r w:rsidR="002F3D39" w:rsidRPr="00CB5F81">
        <w:rPr>
          <w:rFonts w:asciiTheme="majorHAnsi" w:eastAsia="Times New Roman" w:hAnsiTheme="majorHAnsi" w:cstheme="majorHAnsi"/>
          <w:color w:val="000000"/>
          <w:sz w:val="24"/>
          <w:szCs w:val="24"/>
          <w:lang w:val="ro-MD"/>
        </w:rPr>
        <w:t xml:space="preserve"> explicațiilor SFS,</w:t>
      </w:r>
      <w:r w:rsidR="00402B2F" w:rsidRPr="00CB5F81">
        <w:rPr>
          <w:rFonts w:asciiTheme="majorHAnsi" w:eastAsia="Times New Roman" w:hAnsiTheme="majorHAnsi" w:cstheme="majorHAnsi"/>
          <w:color w:val="000000"/>
          <w:sz w:val="24"/>
          <w:szCs w:val="24"/>
          <w:lang w:val="ro-MD"/>
        </w:rPr>
        <w:t xml:space="preserve"> nu figurează recepționarea acestei scrisori</w:t>
      </w:r>
      <w:r w:rsidR="002F3D39" w:rsidRPr="00CB5F81">
        <w:rPr>
          <w:rFonts w:asciiTheme="majorHAnsi" w:eastAsia="Times New Roman" w:hAnsiTheme="majorHAnsi" w:cstheme="majorHAnsi"/>
          <w:color w:val="000000"/>
          <w:sz w:val="24"/>
          <w:szCs w:val="24"/>
          <w:lang w:val="ro-MD"/>
        </w:rPr>
        <w:t>.</w:t>
      </w:r>
      <w:r w:rsidR="00B43EC7" w:rsidRPr="00CB5F81">
        <w:rPr>
          <w:rFonts w:asciiTheme="majorHAnsi" w:eastAsia="Times New Roman" w:hAnsiTheme="majorHAnsi" w:cstheme="majorHAnsi"/>
          <w:color w:val="000000"/>
          <w:sz w:val="24"/>
          <w:szCs w:val="24"/>
          <w:lang w:val="ro-MD"/>
        </w:rPr>
        <w:t xml:space="preserve"> Drept</w:t>
      </w:r>
      <w:r w:rsidR="00714C1F" w:rsidRPr="00CB5F81">
        <w:rPr>
          <w:rFonts w:asciiTheme="majorHAnsi" w:eastAsia="Times New Roman" w:hAnsiTheme="majorHAnsi" w:cstheme="majorHAnsi"/>
          <w:color w:val="000000"/>
          <w:sz w:val="24"/>
          <w:szCs w:val="24"/>
          <w:lang w:val="ro-MD"/>
        </w:rPr>
        <w:t xml:space="preserve"> rezultat</w:t>
      </w:r>
      <w:r w:rsidR="00402B2F" w:rsidRPr="00CB5F81">
        <w:rPr>
          <w:rFonts w:asciiTheme="majorHAnsi" w:eastAsia="Times New Roman" w:hAnsiTheme="majorHAnsi" w:cstheme="majorHAnsi"/>
          <w:color w:val="000000"/>
          <w:sz w:val="24"/>
          <w:szCs w:val="24"/>
          <w:lang w:val="ro-MD"/>
        </w:rPr>
        <w:t xml:space="preserve">, </w:t>
      </w:r>
      <w:r w:rsidR="002F3D39" w:rsidRPr="00CB5F81">
        <w:rPr>
          <w:rFonts w:asciiTheme="majorHAnsi" w:eastAsia="Times New Roman" w:hAnsiTheme="majorHAnsi" w:cstheme="majorHAnsi"/>
          <w:color w:val="000000"/>
          <w:sz w:val="24"/>
          <w:szCs w:val="24"/>
          <w:lang w:val="ro-MD"/>
        </w:rPr>
        <w:t xml:space="preserve">organul fiscal </w:t>
      </w:r>
      <w:r w:rsidR="00714C1F" w:rsidRPr="00CB5F81">
        <w:rPr>
          <w:rFonts w:asciiTheme="majorHAnsi" w:eastAsia="Times New Roman" w:hAnsiTheme="majorHAnsi" w:cstheme="majorHAnsi"/>
          <w:color w:val="000000"/>
          <w:sz w:val="24"/>
          <w:szCs w:val="24"/>
          <w:lang w:val="ro-MD"/>
        </w:rPr>
        <w:t xml:space="preserve">nu a </w:t>
      </w:r>
      <w:r w:rsidRPr="00CB5F81">
        <w:rPr>
          <w:rFonts w:asciiTheme="majorHAnsi" w:eastAsia="Times New Roman" w:hAnsiTheme="majorHAnsi" w:cstheme="majorHAnsi"/>
          <w:color w:val="000000"/>
          <w:sz w:val="24"/>
          <w:szCs w:val="24"/>
          <w:lang w:val="ro-MD"/>
        </w:rPr>
        <w:t>remis niciun răspuns în adresa ministerului referitor la poziția</w:t>
      </w:r>
      <w:r w:rsidR="00245228">
        <w:rPr>
          <w:rFonts w:asciiTheme="majorHAnsi" w:eastAsia="Times New Roman" w:hAnsiTheme="majorHAnsi" w:cstheme="majorHAnsi"/>
          <w:color w:val="000000"/>
          <w:sz w:val="24"/>
          <w:szCs w:val="24"/>
          <w:lang w:val="ro-MD"/>
        </w:rPr>
        <w:t xml:space="preserve"> sa </w:t>
      </w:r>
      <w:r w:rsidRPr="00CB5F81">
        <w:rPr>
          <w:rFonts w:asciiTheme="majorHAnsi" w:eastAsia="Times New Roman" w:hAnsiTheme="majorHAnsi" w:cstheme="majorHAnsi"/>
          <w:color w:val="000000"/>
          <w:sz w:val="24"/>
          <w:szCs w:val="24"/>
          <w:lang w:val="ro-MD"/>
        </w:rPr>
        <w:t xml:space="preserve"> </w:t>
      </w:r>
      <w:r w:rsidR="002F3D39" w:rsidRPr="00CB5F81">
        <w:rPr>
          <w:rFonts w:asciiTheme="majorHAnsi" w:eastAsia="Times New Roman" w:hAnsiTheme="majorHAnsi" w:cstheme="majorHAnsi"/>
          <w:color w:val="000000"/>
          <w:sz w:val="24"/>
          <w:szCs w:val="24"/>
          <w:lang w:val="ro-MD"/>
        </w:rPr>
        <w:t xml:space="preserve">oficială </w:t>
      </w:r>
      <w:r w:rsidR="00402B2F" w:rsidRPr="00CB5F81">
        <w:rPr>
          <w:rFonts w:asciiTheme="majorHAnsi" w:eastAsia="Times New Roman" w:hAnsiTheme="majorHAnsi" w:cstheme="majorHAnsi"/>
          <w:color w:val="000000"/>
          <w:sz w:val="24"/>
          <w:szCs w:val="24"/>
          <w:lang w:val="ro-MD"/>
        </w:rPr>
        <w:t xml:space="preserve">privind </w:t>
      </w:r>
      <w:r w:rsidR="00714C1F" w:rsidRPr="00CB5F81">
        <w:rPr>
          <w:rFonts w:asciiTheme="majorHAnsi" w:eastAsia="Times New Roman" w:hAnsiTheme="majorHAnsi" w:cstheme="majorHAnsi"/>
          <w:color w:val="000000"/>
          <w:sz w:val="24"/>
          <w:szCs w:val="24"/>
          <w:lang w:val="ro-MD"/>
        </w:rPr>
        <w:t>coordonarea scutirilor menționate mai sus</w:t>
      </w:r>
      <w:r w:rsidR="008B4D5B" w:rsidRPr="00CB5F81">
        <w:rPr>
          <w:rFonts w:asciiTheme="majorHAnsi" w:eastAsia="Times New Roman" w:hAnsiTheme="majorHAnsi" w:cstheme="majorHAnsi"/>
          <w:color w:val="000000"/>
          <w:sz w:val="24"/>
          <w:szCs w:val="24"/>
          <w:lang w:val="ro-MD"/>
        </w:rPr>
        <w:t xml:space="preserve">, </w:t>
      </w:r>
      <w:r w:rsidR="00245228">
        <w:rPr>
          <w:rFonts w:asciiTheme="majorHAnsi" w:eastAsia="Times New Roman" w:hAnsiTheme="majorHAnsi" w:cstheme="majorHAnsi"/>
          <w:color w:val="000000"/>
          <w:sz w:val="24"/>
          <w:szCs w:val="24"/>
          <w:lang w:val="ro-MD"/>
        </w:rPr>
        <w:t>dar</w:t>
      </w:r>
      <w:r w:rsidR="008B4D5B" w:rsidRPr="00CB5F81">
        <w:rPr>
          <w:rFonts w:asciiTheme="majorHAnsi" w:eastAsia="Times New Roman" w:hAnsiTheme="majorHAnsi" w:cstheme="majorHAnsi"/>
          <w:color w:val="000000"/>
          <w:sz w:val="24"/>
          <w:szCs w:val="24"/>
          <w:lang w:val="ro-MD"/>
        </w:rPr>
        <w:t xml:space="preserve"> și această sumă a facilităților acordate </w:t>
      </w:r>
      <w:r w:rsidR="00B43EC7" w:rsidRPr="00CB5F81">
        <w:rPr>
          <w:rFonts w:asciiTheme="majorHAnsi" w:eastAsia="Times New Roman" w:hAnsiTheme="majorHAnsi" w:cstheme="majorHAnsi"/>
          <w:color w:val="000000"/>
          <w:sz w:val="24"/>
          <w:szCs w:val="24"/>
          <w:lang w:val="ro-MD"/>
        </w:rPr>
        <w:t xml:space="preserve">de MAIA </w:t>
      </w:r>
      <w:r w:rsidR="008B4D5B" w:rsidRPr="00CB5F81">
        <w:rPr>
          <w:rFonts w:asciiTheme="majorHAnsi" w:eastAsia="Times New Roman" w:hAnsiTheme="majorHAnsi" w:cstheme="majorHAnsi"/>
          <w:color w:val="000000"/>
          <w:sz w:val="24"/>
          <w:szCs w:val="24"/>
          <w:lang w:val="ro-MD"/>
        </w:rPr>
        <w:t xml:space="preserve">nu a fost raportată de SFS în </w:t>
      </w:r>
      <w:r w:rsidR="008B4D5B" w:rsidRPr="00526D44">
        <w:rPr>
          <w:rFonts w:asciiTheme="majorHAnsi" w:eastAsia="Times New Roman" w:hAnsiTheme="majorHAnsi" w:cstheme="majorHAnsi"/>
          <w:color w:val="000000"/>
          <w:sz w:val="24"/>
          <w:szCs w:val="24"/>
          <w:lang w:val="ro-MD"/>
        </w:rPr>
        <w:t>Registrul unic al facilităților</w:t>
      </w:r>
      <w:r w:rsidR="006D7C36" w:rsidRPr="00526D44">
        <w:rPr>
          <w:rFonts w:asciiTheme="majorHAnsi" w:eastAsia="Times New Roman" w:hAnsiTheme="majorHAnsi" w:cstheme="majorHAnsi"/>
          <w:color w:val="000000"/>
          <w:sz w:val="24"/>
          <w:szCs w:val="24"/>
          <w:lang w:val="ro-MD"/>
        </w:rPr>
        <w:t xml:space="preserve"> fiscale</w:t>
      </w:r>
      <w:r w:rsidR="00714C1F" w:rsidRPr="00526D44">
        <w:rPr>
          <w:rFonts w:asciiTheme="majorHAnsi" w:eastAsia="Times New Roman" w:hAnsiTheme="majorHAnsi" w:cstheme="majorHAnsi"/>
          <w:color w:val="000000"/>
          <w:sz w:val="24"/>
          <w:szCs w:val="24"/>
          <w:lang w:val="ro-MD"/>
        </w:rPr>
        <w:t>.</w:t>
      </w:r>
      <w:r w:rsidR="00202322" w:rsidRPr="00CB5F81">
        <w:rPr>
          <w:rFonts w:asciiTheme="majorHAnsi" w:eastAsia="Times New Roman" w:hAnsiTheme="majorHAnsi" w:cstheme="majorHAnsi"/>
          <w:color w:val="000000"/>
          <w:sz w:val="24"/>
          <w:szCs w:val="24"/>
          <w:lang w:val="ro-MD"/>
        </w:rPr>
        <w:t xml:space="preserve"> </w:t>
      </w:r>
    </w:p>
    <w:p w:rsidR="00714C1F" w:rsidRPr="00CB5F81" w:rsidRDefault="0022691E" w:rsidP="006C18CD">
      <w:pPr>
        <w:jc w:val="both"/>
        <w:rPr>
          <w:rFonts w:asciiTheme="majorHAnsi" w:eastAsia="Times New Roman" w:hAnsiTheme="majorHAnsi" w:cstheme="majorHAnsi"/>
          <w:color w:val="000000"/>
          <w:sz w:val="24"/>
          <w:szCs w:val="24"/>
        </w:rPr>
      </w:pPr>
      <w:r w:rsidRPr="00CB5F81">
        <w:rPr>
          <w:rFonts w:asciiTheme="majorHAnsi" w:eastAsia="Times New Roman" w:hAnsiTheme="majorHAnsi" w:cstheme="majorHAnsi"/>
          <w:color w:val="000000"/>
          <w:sz w:val="24"/>
          <w:szCs w:val="24"/>
        </w:rPr>
        <w:t>Conform scrisorii prenotate mai</w:t>
      </w:r>
      <w:r w:rsidR="00114AF8" w:rsidRPr="00CB5F81">
        <w:rPr>
          <w:rFonts w:asciiTheme="majorHAnsi" w:eastAsia="Times New Roman" w:hAnsiTheme="majorHAnsi" w:cstheme="majorHAnsi"/>
          <w:color w:val="000000"/>
          <w:sz w:val="24"/>
          <w:szCs w:val="24"/>
        </w:rPr>
        <w:t xml:space="preserve"> sus</w:t>
      </w:r>
      <w:r w:rsidRPr="00CB5F81">
        <w:rPr>
          <w:rFonts w:asciiTheme="majorHAnsi" w:eastAsia="Times New Roman" w:hAnsiTheme="majorHAnsi" w:cstheme="majorHAnsi"/>
          <w:color w:val="000000"/>
          <w:sz w:val="24"/>
          <w:szCs w:val="24"/>
        </w:rPr>
        <w:t>, MAIA a acordat scutire</w:t>
      </w:r>
      <w:r w:rsidR="00245228">
        <w:rPr>
          <w:rFonts w:asciiTheme="majorHAnsi" w:eastAsia="Times New Roman" w:hAnsiTheme="majorHAnsi" w:cstheme="majorHAnsi"/>
          <w:color w:val="000000"/>
          <w:sz w:val="24"/>
          <w:szCs w:val="24"/>
        </w:rPr>
        <w:t>a</w:t>
      </w:r>
      <w:r w:rsidRPr="00CB5F81">
        <w:rPr>
          <w:rFonts w:asciiTheme="majorHAnsi" w:eastAsia="Times New Roman" w:hAnsiTheme="majorHAnsi" w:cstheme="majorHAnsi"/>
          <w:color w:val="000000"/>
          <w:sz w:val="24"/>
          <w:szCs w:val="24"/>
        </w:rPr>
        <w:t xml:space="preserve"> de acciz la alcool</w:t>
      </w:r>
      <w:r w:rsidR="00245228">
        <w:rPr>
          <w:rFonts w:asciiTheme="majorHAnsi" w:eastAsia="Times New Roman" w:hAnsiTheme="majorHAnsi" w:cstheme="majorHAnsi"/>
          <w:color w:val="000000"/>
          <w:sz w:val="24"/>
          <w:szCs w:val="24"/>
        </w:rPr>
        <w:t>ul</w:t>
      </w:r>
      <w:r w:rsidRPr="00CB5F81">
        <w:rPr>
          <w:rFonts w:asciiTheme="majorHAnsi" w:eastAsia="Times New Roman" w:hAnsiTheme="majorHAnsi" w:cstheme="majorHAnsi"/>
          <w:color w:val="000000"/>
          <w:sz w:val="24"/>
          <w:szCs w:val="24"/>
        </w:rPr>
        <w:t xml:space="preserve"> etilic</w:t>
      </w:r>
      <w:r w:rsidR="00245228">
        <w:rPr>
          <w:rFonts w:asciiTheme="majorHAnsi" w:eastAsia="Times New Roman" w:hAnsiTheme="majorHAnsi" w:cstheme="majorHAnsi"/>
          <w:color w:val="000000"/>
          <w:sz w:val="24"/>
          <w:szCs w:val="24"/>
        </w:rPr>
        <w:t xml:space="preserve">, </w:t>
      </w:r>
      <w:r w:rsidRPr="00CB5F81">
        <w:rPr>
          <w:rFonts w:asciiTheme="majorHAnsi" w:eastAsia="Times New Roman" w:hAnsiTheme="majorHAnsi" w:cstheme="majorHAnsi"/>
          <w:color w:val="000000"/>
          <w:sz w:val="24"/>
          <w:szCs w:val="24"/>
        </w:rPr>
        <w:t xml:space="preserve">în valoare de 2,0 </w:t>
      </w:r>
      <w:r w:rsidR="00726434" w:rsidRPr="00CB5F81">
        <w:rPr>
          <w:rFonts w:asciiTheme="majorHAnsi" w:eastAsia="Times New Roman" w:hAnsiTheme="majorHAnsi" w:cstheme="majorHAnsi"/>
          <w:color w:val="000000"/>
          <w:sz w:val="24"/>
          <w:szCs w:val="24"/>
        </w:rPr>
        <w:t>mil.</w:t>
      </w:r>
      <w:r w:rsidRPr="00CB5F81">
        <w:rPr>
          <w:rFonts w:asciiTheme="majorHAnsi" w:eastAsia="Times New Roman" w:hAnsiTheme="majorHAnsi" w:cstheme="majorHAnsi"/>
          <w:color w:val="000000"/>
          <w:sz w:val="24"/>
          <w:szCs w:val="24"/>
        </w:rPr>
        <w:t>lei</w:t>
      </w:r>
      <w:r w:rsidR="00245228">
        <w:rPr>
          <w:rFonts w:asciiTheme="majorHAnsi" w:eastAsia="Times New Roman" w:hAnsiTheme="majorHAnsi" w:cstheme="majorHAnsi"/>
          <w:color w:val="000000"/>
          <w:sz w:val="24"/>
          <w:szCs w:val="24"/>
        </w:rPr>
        <w:t>,</w:t>
      </w:r>
      <w:r w:rsidRPr="00CB5F81">
        <w:rPr>
          <w:rFonts w:asciiTheme="majorHAnsi" w:eastAsia="Times New Roman" w:hAnsiTheme="majorHAnsi" w:cstheme="majorHAnsi"/>
          <w:color w:val="000000"/>
          <w:sz w:val="24"/>
          <w:szCs w:val="24"/>
        </w:rPr>
        <w:t xml:space="preserve"> </w:t>
      </w:r>
      <w:r w:rsidR="00245228">
        <w:rPr>
          <w:rFonts w:asciiTheme="majorHAnsi" w:eastAsia="Times New Roman" w:hAnsiTheme="majorHAnsi" w:cstheme="majorHAnsi"/>
          <w:color w:val="000000"/>
          <w:sz w:val="24"/>
          <w:szCs w:val="24"/>
        </w:rPr>
        <w:t xml:space="preserve">către </w:t>
      </w:r>
      <w:r w:rsidRPr="00CB5F81">
        <w:rPr>
          <w:rFonts w:asciiTheme="majorHAnsi" w:eastAsia="Times New Roman" w:hAnsiTheme="majorHAnsi" w:cstheme="majorHAnsi"/>
          <w:color w:val="000000"/>
          <w:sz w:val="24"/>
          <w:szCs w:val="24"/>
        </w:rPr>
        <w:t>SRL „Spirits and Distilled Trade”(</w:t>
      </w:r>
      <w:r w:rsidRPr="00CB5F81">
        <w:rPr>
          <w:rFonts w:asciiTheme="majorHAnsi" w:hAnsiTheme="majorHAnsi" w:cstheme="majorHAnsi"/>
          <w:sz w:val="24"/>
          <w:szCs w:val="24"/>
        </w:rPr>
        <w:t xml:space="preserve"> </w:t>
      </w:r>
      <w:r w:rsidR="00245228">
        <w:rPr>
          <w:rFonts w:asciiTheme="majorHAnsi" w:hAnsiTheme="majorHAnsi" w:cstheme="majorHAnsi"/>
          <w:sz w:val="24"/>
          <w:szCs w:val="24"/>
        </w:rPr>
        <w:t xml:space="preserve">codul fiscal - </w:t>
      </w:r>
      <w:r w:rsidRPr="00CB5F81">
        <w:rPr>
          <w:rFonts w:asciiTheme="majorHAnsi" w:eastAsia="Times New Roman" w:hAnsiTheme="majorHAnsi" w:cstheme="majorHAnsi"/>
          <w:color w:val="000000"/>
          <w:sz w:val="24"/>
          <w:szCs w:val="24"/>
        </w:rPr>
        <w:t>1014600009096), care</w:t>
      </w:r>
      <w:r w:rsidR="00245228">
        <w:rPr>
          <w:rFonts w:asciiTheme="majorHAnsi" w:eastAsia="Times New Roman" w:hAnsiTheme="majorHAnsi" w:cstheme="majorHAnsi"/>
          <w:color w:val="000000"/>
          <w:sz w:val="24"/>
          <w:szCs w:val="24"/>
        </w:rPr>
        <w:t>,</w:t>
      </w:r>
      <w:r w:rsidRPr="00CB5F81">
        <w:rPr>
          <w:rFonts w:asciiTheme="majorHAnsi" w:eastAsia="Times New Roman" w:hAnsiTheme="majorHAnsi" w:cstheme="majorHAnsi"/>
          <w:color w:val="000000"/>
          <w:sz w:val="24"/>
          <w:szCs w:val="24"/>
        </w:rPr>
        <w:t xml:space="preserve"> potrivit</w:t>
      </w:r>
      <w:r w:rsidR="00EC1EAF">
        <w:rPr>
          <w:rFonts w:asciiTheme="majorHAnsi" w:eastAsia="Times New Roman" w:hAnsiTheme="majorHAnsi" w:cstheme="majorHAnsi"/>
          <w:color w:val="000000"/>
          <w:sz w:val="24"/>
          <w:szCs w:val="24"/>
        </w:rPr>
        <w:t xml:space="preserve"> </w:t>
      </w:r>
      <w:r w:rsidRPr="00CB5F81">
        <w:rPr>
          <w:rFonts w:asciiTheme="majorHAnsi" w:eastAsia="Times New Roman" w:hAnsiTheme="majorHAnsi" w:cstheme="majorHAnsi"/>
          <w:color w:val="000000"/>
          <w:sz w:val="24"/>
          <w:szCs w:val="24"/>
        </w:rPr>
        <w:t>SI a</w:t>
      </w:r>
      <w:r w:rsidR="00245228">
        <w:rPr>
          <w:rFonts w:asciiTheme="majorHAnsi" w:eastAsia="Times New Roman" w:hAnsiTheme="majorHAnsi" w:cstheme="majorHAnsi"/>
          <w:color w:val="000000"/>
          <w:sz w:val="24"/>
          <w:szCs w:val="24"/>
        </w:rPr>
        <w:t>l</w:t>
      </w:r>
      <w:r w:rsidRPr="00CB5F81">
        <w:rPr>
          <w:rFonts w:asciiTheme="majorHAnsi" w:eastAsia="Times New Roman" w:hAnsiTheme="majorHAnsi" w:cstheme="majorHAnsi"/>
          <w:color w:val="000000"/>
          <w:sz w:val="24"/>
          <w:szCs w:val="24"/>
        </w:rPr>
        <w:t xml:space="preserve"> SFS</w:t>
      </w:r>
      <w:r w:rsidR="00245228">
        <w:rPr>
          <w:rFonts w:asciiTheme="majorHAnsi" w:eastAsia="Times New Roman" w:hAnsiTheme="majorHAnsi" w:cstheme="majorHAnsi"/>
          <w:color w:val="000000"/>
          <w:sz w:val="24"/>
          <w:szCs w:val="24"/>
        </w:rPr>
        <w:t>,</w:t>
      </w:r>
      <w:r w:rsidR="00114AF8" w:rsidRPr="00CB5F81">
        <w:rPr>
          <w:rFonts w:asciiTheme="majorHAnsi" w:eastAsia="Times New Roman" w:hAnsiTheme="majorHAnsi" w:cstheme="majorHAnsi"/>
          <w:color w:val="000000"/>
          <w:sz w:val="24"/>
          <w:szCs w:val="24"/>
        </w:rPr>
        <w:t xml:space="preserve"> este înregistrat</w:t>
      </w:r>
      <w:r w:rsidR="00245228">
        <w:rPr>
          <w:rFonts w:asciiTheme="majorHAnsi" w:eastAsia="Times New Roman" w:hAnsiTheme="majorHAnsi" w:cstheme="majorHAnsi"/>
          <w:color w:val="000000"/>
          <w:sz w:val="24"/>
          <w:szCs w:val="24"/>
        </w:rPr>
        <w:t>ă</w:t>
      </w:r>
      <w:r w:rsidR="00114AF8" w:rsidRPr="00CB5F81">
        <w:rPr>
          <w:rFonts w:asciiTheme="majorHAnsi" w:eastAsia="Times New Roman" w:hAnsiTheme="majorHAnsi" w:cstheme="majorHAnsi"/>
          <w:color w:val="000000"/>
          <w:sz w:val="24"/>
          <w:szCs w:val="24"/>
        </w:rPr>
        <w:t xml:space="preserve"> cu denumirea</w:t>
      </w:r>
      <w:r w:rsidR="003A0DC5" w:rsidRPr="00CB5F81">
        <w:rPr>
          <w:rFonts w:asciiTheme="majorHAnsi" w:eastAsia="Times New Roman" w:hAnsiTheme="majorHAnsi" w:cstheme="majorHAnsi"/>
          <w:color w:val="000000"/>
          <w:sz w:val="24"/>
          <w:szCs w:val="24"/>
        </w:rPr>
        <w:t xml:space="preserve"> </w:t>
      </w:r>
      <w:r w:rsidR="00245228">
        <w:rPr>
          <w:rFonts w:asciiTheme="majorHAnsi" w:eastAsia="Times New Roman" w:hAnsiTheme="majorHAnsi" w:cstheme="majorHAnsi"/>
          <w:color w:val="000000"/>
          <w:sz w:val="24"/>
          <w:szCs w:val="24"/>
        </w:rPr>
        <w:t xml:space="preserve">de </w:t>
      </w:r>
      <w:r w:rsidR="003A0DC5" w:rsidRPr="00CB5F81">
        <w:rPr>
          <w:rFonts w:asciiTheme="majorHAnsi" w:eastAsia="Times New Roman" w:hAnsiTheme="majorHAnsi" w:cstheme="majorHAnsi"/>
          <w:color w:val="000000"/>
          <w:sz w:val="24"/>
          <w:szCs w:val="24"/>
        </w:rPr>
        <w:t xml:space="preserve">SRL </w:t>
      </w:r>
      <w:r w:rsidR="00245228">
        <w:rPr>
          <w:rFonts w:asciiTheme="majorHAnsi" w:eastAsia="Times New Roman" w:hAnsiTheme="majorHAnsi" w:cstheme="majorHAnsi"/>
          <w:color w:val="000000"/>
          <w:sz w:val="24"/>
          <w:szCs w:val="24"/>
        </w:rPr>
        <w:t>„</w:t>
      </w:r>
      <w:r w:rsidR="003A0DC5" w:rsidRPr="00CB5F81">
        <w:rPr>
          <w:rFonts w:asciiTheme="majorHAnsi" w:eastAsia="Times New Roman" w:hAnsiTheme="majorHAnsi" w:cstheme="majorHAnsi"/>
          <w:color w:val="000000"/>
          <w:sz w:val="24"/>
          <w:szCs w:val="24"/>
        </w:rPr>
        <w:t xml:space="preserve">Distileria Bulboaca”, </w:t>
      </w:r>
      <w:r w:rsidR="00114AF8" w:rsidRPr="00CB5F81">
        <w:rPr>
          <w:rFonts w:asciiTheme="majorHAnsi" w:eastAsia="Times New Roman" w:hAnsiTheme="majorHAnsi" w:cstheme="majorHAnsi"/>
          <w:color w:val="000000"/>
          <w:sz w:val="24"/>
          <w:szCs w:val="24"/>
        </w:rPr>
        <w:t xml:space="preserve">aceasta desfășurând </w:t>
      </w:r>
      <w:r w:rsidR="003A0DC5" w:rsidRPr="00CB5F81">
        <w:rPr>
          <w:rFonts w:asciiTheme="majorHAnsi" w:eastAsia="Times New Roman" w:hAnsiTheme="majorHAnsi" w:cstheme="majorHAnsi"/>
          <w:color w:val="000000"/>
          <w:sz w:val="24"/>
          <w:szCs w:val="24"/>
        </w:rPr>
        <w:t xml:space="preserve">activități în domeniul </w:t>
      </w:r>
      <w:r w:rsidR="002F3D39" w:rsidRPr="00CB5F81">
        <w:rPr>
          <w:rFonts w:asciiTheme="majorHAnsi" w:eastAsia="Times New Roman" w:hAnsiTheme="majorHAnsi" w:cstheme="majorHAnsi"/>
          <w:color w:val="000000"/>
          <w:sz w:val="24"/>
          <w:szCs w:val="24"/>
        </w:rPr>
        <w:t>fabricării</w:t>
      </w:r>
      <w:r w:rsidR="003A0DC5" w:rsidRPr="00CB5F81">
        <w:rPr>
          <w:rFonts w:asciiTheme="majorHAnsi" w:eastAsia="Times New Roman" w:hAnsiTheme="majorHAnsi" w:cstheme="majorHAnsi"/>
          <w:color w:val="000000"/>
          <w:sz w:val="24"/>
          <w:szCs w:val="24"/>
        </w:rPr>
        <w:t xml:space="preserve"> produselor alcoolice</w:t>
      </w:r>
      <w:r w:rsidR="002F3D39" w:rsidRPr="00CB5F81">
        <w:rPr>
          <w:rFonts w:asciiTheme="majorHAnsi" w:eastAsia="Times New Roman" w:hAnsiTheme="majorHAnsi" w:cstheme="majorHAnsi"/>
          <w:color w:val="000000"/>
          <w:sz w:val="24"/>
          <w:szCs w:val="24"/>
        </w:rPr>
        <w:t>.</w:t>
      </w:r>
      <w:r w:rsidR="003A0DC5" w:rsidRPr="00CB5F81">
        <w:rPr>
          <w:rFonts w:asciiTheme="majorHAnsi" w:eastAsia="Times New Roman" w:hAnsiTheme="majorHAnsi" w:cstheme="majorHAnsi"/>
          <w:color w:val="000000"/>
          <w:sz w:val="24"/>
          <w:szCs w:val="24"/>
        </w:rPr>
        <w:t xml:space="preserve"> </w:t>
      </w:r>
      <w:r w:rsidR="003902D7" w:rsidRPr="00CB5F81">
        <w:rPr>
          <w:rFonts w:asciiTheme="majorHAnsi" w:eastAsia="Times New Roman" w:hAnsiTheme="majorHAnsi" w:cstheme="majorHAnsi"/>
          <w:color w:val="000000"/>
          <w:sz w:val="24"/>
          <w:szCs w:val="24"/>
        </w:rPr>
        <w:t xml:space="preserve">La </w:t>
      </w:r>
      <w:r w:rsidR="003A0DC5" w:rsidRPr="00CB5F81">
        <w:rPr>
          <w:rFonts w:asciiTheme="majorHAnsi" w:eastAsia="Times New Roman" w:hAnsiTheme="majorHAnsi" w:cstheme="majorHAnsi"/>
          <w:color w:val="000000"/>
          <w:sz w:val="24"/>
          <w:szCs w:val="24"/>
        </w:rPr>
        <w:t>acordarea acestei facilități</w:t>
      </w:r>
      <w:r w:rsidR="00573B9A" w:rsidRPr="00CB5F81">
        <w:rPr>
          <w:rFonts w:asciiTheme="majorHAnsi" w:eastAsia="Times New Roman" w:hAnsiTheme="majorHAnsi" w:cstheme="majorHAnsi"/>
          <w:color w:val="000000"/>
          <w:sz w:val="24"/>
          <w:szCs w:val="24"/>
        </w:rPr>
        <w:t>, comisia de examinare a cererilor</w:t>
      </w:r>
      <w:r w:rsidR="002D11E3" w:rsidRPr="00CB5F81">
        <w:rPr>
          <w:rFonts w:asciiTheme="majorHAnsi" w:eastAsia="Times New Roman" w:hAnsiTheme="majorHAnsi" w:cstheme="majorHAnsi"/>
          <w:color w:val="000000"/>
          <w:sz w:val="24"/>
          <w:szCs w:val="24"/>
        </w:rPr>
        <w:t xml:space="preserve"> din cadrul MAIA</w:t>
      </w:r>
      <w:r w:rsidR="00245228">
        <w:rPr>
          <w:rFonts w:asciiTheme="majorHAnsi" w:eastAsia="Times New Roman" w:hAnsiTheme="majorHAnsi" w:cstheme="majorHAnsi"/>
          <w:color w:val="000000"/>
          <w:sz w:val="24"/>
          <w:szCs w:val="24"/>
        </w:rPr>
        <w:t>,</w:t>
      </w:r>
      <w:r w:rsidR="00EC1EAF">
        <w:rPr>
          <w:rFonts w:asciiTheme="majorHAnsi" w:eastAsia="Times New Roman" w:hAnsiTheme="majorHAnsi" w:cstheme="majorHAnsi"/>
          <w:color w:val="000000"/>
          <w:sz w:val="24"/>
          <w:szCs w:val="24"/>
        </w:rPr>
        <w:t xml:space="preserve"> </w:t>
      </w:r>
      <w:r w:rsidR="00573B9A" w:rsidRPr="00CB5F81">
        <w:rPr>
          <w:rFonts w:asciiTheme="majorHAnsi" w:eastAsia="Times New Roman" w:hAnsiTheme="majorHAnsi" w:cstheme="majorHAnsi"/>
          <w:color w:val="000000"/>
          <w:sz w:val="24"/>
          <w:szCs w:val="24"/>
        </w:rPr>
        <w:t xml:space="preserve">dar și factorii responsabili ai </w:t>
      </w:r>
      <w:r w:rsidR="002D11E3" w:rsidRPr="00CB5F81">
        <w:rPr>
          <w:rFonts w:asciiTheme="majorHAnsi" w:eastAsia="Times New Roman" w:hAnsiTheme="majorHAnsi" w:cstheme="majorHAnsi"/>
          <w:color w:val="000000"/>
          <w:sz w:val="24"/>
          <w:szCs w:val="24"/>
        </w:rPr>
        <w:t>ministerului</w:t>
      </w:r>
      <w:r w:rsidR="00573B9A" w:rsidRPr="00CB5F81">
        <w:rPr>
          <w:rFonts w:asciiTheme="majorHAnsi" w:eastAsia="Times New Roman" w:hAnsiTheme="majorHAnsi" w:cstheme="majorHAnsi"/>
          <w:color w:val="000000"/>
          <w:sz w:val="24"/>
          <w:szCs w:val="24"/>
        </w:rPr>
        <w:t xml:space="preserve">, care au semnat </w:t>
      </w:r>
      <w:r w:rsidR="003C698A" w:rsidRPr="00CB5F81">
        <w:rPr>
          <w:rFonts w:asciiTheme="majorHAnsi" w:eastAsia="Times New Roman" w:hAnsiTheme="majorHAnsi" w:cstheme="majorHAnsi"/>
          <w:color w:val="000000"/>
          <w:sz w:val="24"/>
          <w:szCs w:val="24"/>
        </w:rPr>
        <w:t>scrisoare</w:t>
      </w:r>
      <w:r w:rsidR="00C3204D" w:rsidRPr="00CB5F81">
        <w:rPr>
          <w:rFonts w:asciiTheme="majorHAnsi" w:eastAsia="Times New Roman" w:hAnsiTheme="majorHAnsi" w:cstheme="majorHAnsi"/>
          <w:color w:val="000000"/>
          <w:sz w:val="24"/>
          <w:szCs w:val="24"/>
        </w:rPr>
        <w:t>a</w:t>
      </w:r>
      <w:r w:rsidR="003C698A" w:rsidRPr="00CB5F81">
        <w:rPr>
          <w:rFonts w:asciiTheme="majorHAnsi" w:eastAsia="Times New Roman" w:hAnsiTheme="majorHAnsi" w:cstheme="majorHAnsi"/>
          <w:color w:val="000000"/>
          <w:sz w:val="24"/>
          <w:szCs w:val="24"/>
        </w:rPr>
        <w:t xml:space="preserve"> de acceptar</w:t>
      </w:r>
      <w:r w:rsidR="00AC26D5" w:rsidRPr="00CB5F81">
        <w:rPr>
          <w:rFonts w:asciiTheme="majorHAnsi" w:eastAsia="Times New Roman" w:hAnsiTheme="majorHAnsi" w:cstheme="majorHAnsi"/>
          <w:color w:val="000000"/>
          <w:sz w:val="24"/>
          <w:szCs w:val="24"/>
        </w:rPr>
        <w:t>e a facilității</w:t>
      </w:r>
      <w:r w:rsidR="00245228">
        <w:rPr>
          <w:rFonts w:asciiTheme="majorHAnsi" w:eastAsia="Times New Roman" w:hAnsiTheme="majorHAnsi" w:cstheme="majorHAnsi"/>
          <w:color w:val="000000"/>
          <w:sz w:val="24"/>
          <w:szCs w:val="24"/>
        </w:rPr>
        <w:t>,</w:t>
      </w:r>
      <w:r w:rsidR="00AC26D5" w:rsidRPr="00CB5F81">
        <w:rPr>
          <w:rFonts w:asciiTheme="majorHAnsi" w:eastAsia="Times New Roman" w:hAnsiTheme="majorHAnsi" w:cstheme="majorHAnsi"/>
          <w:color w:val="000000"/>
          <w:sz w:val="24"/>
          <w:szCs w:val="24"/>
        </w:rPr>
        <w:t xml:space="preserve"> </w:t>
      </w:r>
      <w:r w:rsidR="00573B9A" w:rsidRPr="00CB5F81">
        <w:rPr>
          <w:rFonts w:asciiTheme="majorHAnsi" w:eastAsia="Times New Roman" w:hAnsiTheme="majorHAnsi" w:cstheme="majorHAnsi"/>
          <w:color w:val="000000"/>
          <w:sz w:val="24"/>
          <w:szCs w:val="24"/>
        </w:rPr>
        <w:t xml:space="preserve">au </w:t>
      </w:r>
      <w:r w:rsidR="003A0DC5" w:rsidRPr="00CB5F81">
        <w:rPr>
          <w:rFonts w:asciiTheme="majorHAnsi" w:eastAsia="Times New Roman" w:hAnsiTheme="majorHAnsi" w:cstheme="majorHAnsi"/>
          <w:color w:val="000000"/>
          <w:sz w:val="24"/>
          <w:szCs w:val="24"/>
        </w:rPr>
        <w:t>încălcat</w:t>
      </w:r>
      <w:r w:rsidR="00EC1EAF">
        <w:rPr>
          <w:rFonts w:asciiTheme="majorHAnsi" w:eastAsia="Times New Roman" w:hAnsiTheme="majorHAnsi" w:cstheme="majorHAnsi"/>
          <w:color w:val="000000"/>
          <w:sz w:val="24"/>
          <w:szCs w:val="24"/>
        </w:rPr>
        <w:t xml:space="preserve"> </w:t>
      </w:r>
      <w:r w:rsidR="003A0DC5" w:rsidRPr="00CB5F81">
        <w:rPr>
          <w:rFonts w:asciiTheme="majorHAnsi" w:eastAsia="Times New Roman" w:hAnsiTheme="majorHAnsi" w:cstheme="majorHAnsi"/>
          <w:color w:val="000000"/>
          <w:sz w:val="24"/>
          <w:szCs w:val="24"/>
        </w:rPr>
        <w:t>prevederi</w:t>
      </w:r>
      <w:r w:rsidR="00811E6C">
        <w:rPr>
          <w:rFonts w:asciiTheme="majorHAnsi" w:eastAsia="Times New Roman" w:hAnsiTheme="majorHAnsi" w:cstheme="majorHAnsi"/>
          <w:color w:val="000000"/>
          <w:sz w:val="24"/>
          <w:szCs w:val="24"/>
        </w:rPr>
        <w:t xml:space="preserve">le art.124 alin.(16) din Codul </w:t>
      </w:r>
      <w:r w:rsidR="00811E6C" w:rsidRPr="005405A7">
        <w:rPr>
          <w:rFonts w:asciiTheme="majorHAnsi" w:eastAsia="Times New Roman" w:hAnsiTheme="majorHAnsi" w:cstheme="majorHAnsi"/>
          <w:color w:val="000000"/>
          <w:sz w:val="24"/>
          <w:szCs w:val="24"/>
        </w:rPr>
        <w:t>f</w:t>
      </w:r>
      <w:r w:rsidR="003A0DC5" w:rsidRPr="005405A7">
        <w:rPr>
          <w:rFonts w:asciiTheme="majorHAnsi" w:eastAsia="Times New Roman" w:hAnsiTheme="majorHAnsi" w:cstheme="majorHAnsi"/>
          <w:color w:val="000000"/>
          <w:sz w:val="24"/>
          <w:szCs w:val="24"/>
        </w:rPr>
        <w:t>isc</w:t>
      </w:r>
      <w:r w:rsidR="003A0DC5" w:rsidRPr="00CB5F81">
        <w:rPr>
          <w:rFonts w:asciiTheme="majorHAnsi" w:eastAsia="Times New Roman" w:hAnsiTheme="majorHAnsi" w:cstheme="majorHAnsi"/>
          <w:color w:val="000000"/>
          <w:sz w:val="24"/>
          <w:szCs w:val="24"/>
        </w:rPr>
        <w:t>al</w:t>
      </w:r>
      <w:r w:rsidR="00245228">
        <w:rPr>
          <w:rFonts w:asciiTheme="majorHAnsi" w:eastAsia="Times New Roman" w:hAnsiTheme="majorHAnsi" w:cstheme="majorHAnsi"/>
          <w:color w:val="000000"/>
          <w:sz w:val="24"/>
          <w:szCs w:val="24"/>
        </w:rPr>
        <w:t>,</w:t>
      </w:r>
      <w:r w:rsidR="003A0DC5" w:rsidRPr="00CB5F81">
        <w:rPr>
          <w:rFonts w:asciiTheme="majorHAnsi" w:eastAsia="Times New Roman" w:hAnsiTheme="majorHAnsi" w:cstheme="majorHAnsi"/>
          <w:color w:val="000000"/>
          <w:sz w:val="24"/>
          <w:szCs w:val="24"/>
        </w:rPr>
        <w:t xml:space="preserve"> </w:t>
      </w:r>
      <w:r w:rsidR="00245228">
        <w:rPr>
          <w:rFonts w:asciiTheme="majorHAnsi" w:eastAsia="Times New Roman" w:hAnsiTheme="majorHAnsi" w:cstheme="majorHAnsi"/>
          <w:color w:val="000000"/>
          <w:sz w:val="24"/>
          <w:szCs w:val="24"/>
        </w:rPr>
        <w:t>potrivit cărora,</w:t>
      </w:r>
      <w:r w:rsidR="003A0DC5" w:rsidRPr="00CB5F81">
        <w:rPr>
          <w:rFonts w:asciiTheme="majorHAnsi" w:eastAsia="Times New Roman" w:hAnsiTheme="majorHAnsi" w:cstheme="majorHAnsi"/>
          <w:color w:val="000000"/>
          <w:sz w:val="24"/>
          <w:szCs w:val="24"/>
        </w:rPr>
        <w:t xml:space="preserve"> </w:t>
      </w:r>
      <w:r w:rsidR="00245228">
        <w:rPr>
          <w:rFonts w:asciiTheme="majorHAnsi" w:eastAsia="Times New Roman" w:hAnsiTheme="majorHAnsi" w:cstheme="majorHAnsi"/>
          <w:color w:val="000000"/>
          <w:sz w:val="24"/>
          <w:szCs w:val="24"/>
        </w:rPr>
        <w:t>„</w:t>
      </w:r>
      <w:r w:rsidR="003A0DC5" w:rsidRPr="00CB5F81">
        <w:rPr>
          <w:rFonts w:asciiTheme="majorHAnsi" w:eastAsia="Times New Roman" w:hAnsiTheme="majorHAnsi" w:cstheme="majorHAnsi"/>
          <w:color w:val="000000"/>
          <w:sz w:val="24"/>
          <w:szCs w:val="24"/>
        </w:rPr>
        <w:t>n</w:t>
      </w:r>
      <w:r w:rsidR="003A0DC5" w:rsidRPr="00CB5F81">
        <w:rPr>
          <w:rFonts w:asciiTheme="majorHAnsi" w:hAnsiTheme="majorHAnsi" w:cstheme="majorHAnsi"/>
          <w:sz w:val="24"/>
          <w:szCs w:val="24"/>
        </w:rPr>
        <w:t xml:space="preserve">u este scutit de acciz alcoolul etilic nedenaturat utilizat de </w:t>
      </w:r>
      <w:r w:rsidR="002F3D39" w:rsidRPr="00CB5F81">
        <w:rPr>
          <w:rFonts w:asciiTheme="majorHAnsi" w:hAnsiTheme="majorHAnsi" w:cstheme="majorHAnsi"/>
          <w:sz w:val="24"/>
          <w:szCs w:val="24"/>
        </w:rPr>
        <w:t>subiecții</w:t>
      </w:r>
      <w:r w:rsidR="003A0DC5" w:rsidRPr="00CB5F81">
        <w:rPr>
          <w:rFonts w:asciiTheme="majorHAnsi" w:hAnsiTheme="majorHAnsi" w:cstheme="majorHAnsi"/>
          <w:sz w:val="24"/>
          <w:szCs w:val="24"/>
        </w:rPr>
        <w:t xml:space="preserve"> impunerii care desfășoară în același timp activitate atât în industria de parfumerie şi cosmetică, </w:t>
      </w:r>
      <w:r w:rsidR="002F3D39" w:rsidRPr="00CB5F81">
        <w:rPr>
          <w:rFonts w:asciiTheme="majorHAnsi" w:hAnsiTheme="majorHAnsi" w:cstheme="majorHAnsi"/>
          <w:sz w:val="24"/>
          <w:szCs w:val="24"/>
        </w:rPr>
        <w:t>c</w:t>
      </w:r>
      <w:r w:rsidR="00245228">
        <w:rPr>
          <w:rFonts w:asciiTheme="majorHAnsi" w:hAnsiTheme="majorHAnsi" w:cstheme="majorHAnsi"/>
          <w:sz w:val="24"/>
          <w:szCs w:val="24"/>
        </w:rPr>
        <w:t>â</w:t>
      </w:r>
      <w:r w:rsidR="002F3D39" w:rsidRPr="00CB5F81">
        <w:rPr>
          <w:rFonts w:asciiTheme="majorHAnsi" w:hAnsiTheme="majorHAnsi" w:cstheme="majorHAnsi"/>
          <w:sz w:val="24"/>
          <w:szCs w:val="24"/>
        </w:rPr>
        <w:t>t</w:t>
      </w:r>
      <w:r w:rsidR="003A0DC5" w:rsidRPr="00CB5F81">
        <w:rPr>
          <w:rFonts w:asciiTheme="majorHAnsi" w:hAnsiTheme="majorHAnsi" w:cstheme="majorHAnsi"/>
          <w:sz w:val="24"/>
          <w:szCs w:val="24"/>
        </w:rPr>
        <w:t xml:space="preserve"> </w:t>
      </w:r>
      <w:r w:rsidR="002F3D39" w:rsidRPr="00CB5F81">
        <w:rPr>
          <w:rFonts w:asciiTheme="majorHAnsi" w:hAnsiTheme="majorHAnsi" w:cstheme="majorHAnsi"/>
          <w:sz w:val="24"/>
          <w:szCs w:val="24"/>
        </w:rPr>
        <w:t>și</w:t>
      </w:r>
      <w:r w:rsidR="003A0DC5" w:rsidRPr="00CB5F81">
        <w:rPr>
          <w:rFonts w:asciiTheme="majorHAnsi" w:hAnsiTheme="majorHAnsi" w:cstheme="majorHAnsi"/>
          <w:sz w:val="24"/>
          <w:szCs w:val="24"/>
        </w:rPr>
        <w:t xml:space="preserve"> în domeniul producerii şi comercializării produselor alcoolice”.</w:t>
      </w:r>
      <w:r w:rsidR="003A0DC5" w:rsidRPr="00CB5F81">
        <w:rPr>
          <w:rFonts w:asciiTheme="majorHAnsi" w:eastAsia="Times New Roman" w:hAnsiTheme="majorHAnsi" w:cstheme="majorHAnsi"/>
          <w:color w:val="000000"/>
          <w:sz w:val="24"/>
          <w:szCs w:val="24"/>
        </w:rPr>
        <w:t xml:space="preserve"> </w:t>
      </w:r>
      <w:r w:rsidR="00573B9A" w:rsidRPr="00CB5F81">
        <w:rPr>
          <w:rFonts w:asciiTheme="majorHAnsi" w:eastAsia="Times New Roman" w:hAnsiTheme="majorHAnsi" w:cstheme="majorHAnsi"/>
          <w:color w:val="000000"/>
          <w:sz w:val="24"/>
          <w:szCs w:val="24"/>
        </w:rPr>
        <w:t>P</w:t>
      </w:r>
      <w:r w:rsidR="0083307F" w:rsidRPr="00CB5F81">
        <w:rPr>
          <w:rFonts w:asciiTheme="majorHAnsi" w:eastAsia="Times New Roman" w:hAnsiTheme="majorHAnsi" w:cstheme="majorHAnsi"/>
          <w:color w:val="000000"/>
          <w:sz w:val="24"/>
          <w:szCs w:val="24"/>
        </w:rPr>
        <w:t>rin acțiunile sale</w:t>
      </w:r>
      <w:r w:rsidR="00245228">
        <w:rPr>
          <w:rFonts w:asciiTheme="majorHAnsi" w:eastAsia="Times New Roman" w:hAnsiTheme="majorHAnsi" w:cstheme="majorHAnsi"/>
          <w:color w:val="000000"/>
          <w:sz w:val="24"/>
          <w:szCs w:val="24"/>
        </w:rPr>
        <w:t>,</w:t>
      </w:r>
      <w:r w:rsidR="00573B9A" w:rsidRPr="00CB5F81">
        <w:rPr>
          <w:rFonts w:asciiTheme="majorHAnsi" w:eastAsia="Times New Roman" w:hAnsiTheme="majorHAnsi" w:cstheme="majorHAnsi"/>
          <w:color w:val="000000"/>
          <w:sz w:val="24"/>
          <w:szCs w:val="24"/>
        </w:rPr>
        <w:t xml:space="preserve"> factorii responsabili </w:t>
      </w:r>
      <w:r w:rsidR="005405A7">
        <w:rPr>
          <w:rFonts w:asciiTheme="majorHAnsi" w:eastAsia="Times New Roman" w:hAnsiTheme="majorHAnsi" w:cstheme="majorHAnsi"/>
          <w:color w:val="000000"/>
          <w:sz w:val="24"/>
          <w:szCs w:val="24"/>
        </w:rPr>
        <w:t>menționați</w:t>
      </w:r>
      <w:r w:rsidR="00CC5DE5" w:rsidRPr="00CB5F81">
        <w:rPr>
          <w:rFonts w:asciiTheme="majorHAnsi" w:eastAsia="Times New Roman" w:hAnsiTheme="majorHAnsi" w:cstheme="majorHAnsi"/>
          <w:color w:val="000000"/>
          <w:sz w:val="24"/>
          <w:szCs w:val="24"/>
        </w:rPr>
        <w:t xml:space="preserve"> </w:t>
      </w:r>
      <w:r w:rsidR="00573B9A" w:rsidRPr="00CB5F81">
        <w:rPr>
          <w:rFonts w:asciiTheme="majorHAnsi" w:eastAsia="Times New Roman" w:hAnsiTheme="majorHAnsi" w:cstheme="majorHAnsi"/>
          <w:color w:val="000000"/>
          <w:sz w:val="24"/>
          <w:szCs w:val="24"/>
        </w:rPr>
        <w:t>au permis agentului economic să beneficieze nelegitim de scutirea de plata accizului</w:t>
      </w:r>
      <w:r w:rsidR="00AC26D5" w:rsidRPr="00CB5F81">
        <w:rPr>
          <w:rFonts w:asciiTheme="majorHAnsi" w:eastAsia="Times New Roman" w:hAnsiTheme="majorHAnsi" w:cstheme="majorHAnsi"/>
          <w:color w:val="000000"/>
          <w:sz w:val="24"/>
          <w:szCs w:val="24"/>
        </w:rPr>
        <w:t>,</w:t>
      </w:r>
      <w:r w:rsidR="00573B9A" w:rsidRPr="00CB5F81">
        <w:rPr>
          <w:rFonts w:asciiTheme="majorHAnsi" w:eastAsia="Times New Roman" w:hAnsiTheme="majorHAnsi" w:cstheme="majorHAnsi"/>
          <w:color w:val="000000"/>
          <w:sz w:val="24"/>
          <w:szCs w:val="24"/>
        </w:rPr>
        <w:t xml:space="preserve"> </w:t>
      </w:r>
      <w:r w:rsidR="00AC26D5" w:rsidRPr="00CB5F81">
        <w:rPr>
          <w:rFonts w:asciiTheme="majorHAnsi" w:eastAsia="Times New Roman" w:hAnsiTheme="majorHAnsi" w:cstheme="majorHAnsi"/>
          <w:color w:val="000000"/>
          <w:sz w:val="24"/>
          <w:szCs w:val="24"/>
        </w:rPr>
        <w:t>care</w:t>
      </w:r>
      <w:r w:rsidR="00245228">
        <w:rPr>
          <w:rFonts w:asciiTheme="majorHAnsi" w:eastAsia="Times New Roman" w:hAnsiTheme="majorHAnsi" w:cstheme="majorHAnsi"/>
          <w:color w:val="000000"/>
          <w:sz w:val="24"/>
          <w:szCs w:val="24"/>
        </w:rPr>
        <w:t>,</w:t>
      </w:r>
      <w:r w:rsidR="00AC26D5" w:rsidRPr="00CB5F81">
        <w:rPr>
          <w:rFonts w:asciiTheme="majorHAnsi" w:eastAsia="Times New Roman" w:hAnsiTheme="majorHAnsi" w:cstheme="majorHAnsi"/>
          <w:color w:val="000000"/>
          <w:sz w:val="24"/>
          <w:szCs w:val="24"/>
        </w:rPr>
        <w:t xml:space="preserve"> potrivit</w:t>
      </w:r>
      <w:r w:rsidR="003A0DC5" w:rsidRPr="00CB5F81">
        <w:rPr>
          <w:rFonts w:asciiTheme="majorHAnsi" w:eastAsia="Times New Roman" w:hAnsiTheme="majorHAnsi" w:cstheme="majorHAnsi"/>
          <w:color w:val="000000"/>
          <w:sz w:val="24"/>
          <w:szCs w:val="24"/>
        </w:rPr>
        <w:t xml:space="preserve"> datelor raportate de MAIA</w:t>
      </w:r>
      <w:r w:rsidR="00AC26D5" w:rsidRPr="00CB5F81">
        <w:rPr>
          <w:rStyle w:val="FootnoteReference"/>
          <w:rFonts w:asciiTheme="majorHAnsi" w:eastAsia="Times New Roman" w:hAnsiTheme="majorHAnsi" w:cstheme="majorHAnsi"/>
          <w:color w:val="000000"/>
          <w:sz w:val="24"/>
          <w:szCs w:val="24"/>
        </w:rPr>
        <w:footnoteReference w:id="51"/>
      </w:r>
      <w:r w:rsidR="00245228">
        <w:rPr>
          <w:rFonts w:asciiTheme="majorHAnsi" w:eastAsia="Times New Roman" w:hAnsiTheme="majorHAnsi" w:cstheme="majorHAnsi"/>
          <w:color w:val="000000"/>
          <w:sz w:val="24"/>
          <w:szCs w:val="24"/>
        </w:rPr>
        <w:t>,</w:t>
      </w:r>
      <w:r w:rsidR="00AC26D5" w:rsidRPr="00CB5F81">
        <w:rPr>
          <w:rFonts w:asciiTheme="majorHAnsi" w:eastAsia="Times New Roman" w:hAnsiTheme="majorHAnsi" w:cstheme="majorHAnsi"/>
          <w:color w:val="000000"/>
          <w:sz w:val="24"/>
          <w:szCs w:val="24"/>
        </w:rPr>
        <w:t xml:space="preserve"> efectiv a constituit 1,1 </w:t>
      </w:r>
      <w:r w:rsidR="00726434" w:rsidRPr="00CB5F81">
        <w:rPr>
          <w:rFonts w:asciiTheme="majorHAnsi" w:eastAsia="Times New Roman" w:hAnsiTheme="majorHAnsi" w:cstheme="majorHAnsi"/>
          <w:color w:val="000000"/>
          <w:sz w:val="24"/>
          <w:szCs w:val="24"/>
        </w:rPr>
        <w:t>mil.</w:t>
      </w:r>
      <w:r w:rsidR="00AC26D5" w:rsidRPr="00CB5F81">
        <w:rPr>
          <w:rFonts w:asciiTheme="majorHAnsi" w:eastAsia="Times New Roman" w:hAnsiTheme="majorHAnsi" w:cstheme="majorHAnsi"/>
          <w:color w:val="000000"/>
          <w:sz w:val="24"/>
          <w:szCs w:val="24"/>
        </w:rPr>
        <w:t>lei.</w:t>
      </w:r>
      <w:r w:rsidR="003A0DC5" w:rsidRPr="00CB5F81">
        <w:rPr>
          <w:rFonts w:asciiTheme="majorHAnsi" w:eastAsia="Times New Roman" w:hAnsiTheme="majorHAnsi" w:cstheme="majorHAnsi"/>
          <w:color w:val="000000"/>
          <w:sz w:val="24"/>
          <w:szCs w:val="24"/>
        </w:rPr>
        <w:t xml:space="preserve"> </w:t>
      </w:r>
    </w:p>
    <w:p w:rsidR="00041B5F" w:rsidRPr="00CB5F81" w:rsidRDefault="00B43EC7" w:rsidP="00D04386">
      <w:pPr>
        <w:pStyle w:val="ListParagraph"/>
        <w:numPr>
          <w:ilvl w:val="0"/>
          <w:numId w:val="14"/>
        </w:numPr>
        <w:tabs>
          <w:tab w:val="left" w:pos="450"/>
        </w:tabs>
        <w:spacing w:after="120"/>
        <w:ind w:left="630"/>
        <w:contextualSpacing w:val="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2E74B5" w:themeColor="accent1" w:themeShade="BF"/>
          <w:sz w:val="24"/>
          <w:szCs w:val="24"/>
          <w:lang w:val="ro-MD"/>
        </w:rPr>
        <w:t xml:space="preserve">SFS </w:t>
      </w:r>
      <w:r w:rsidR="0003028E" w:rsidRPr="00CB5F81">
        <w:rPr>
          <w:rFonts w:asciiTheme="majorHAnsi" w:eastAsia="Times New Roman" w:hAnsiTheme="majorHAnsi" w:cstheme="majorHAnsi"/>
          <w:color w:val="2E74B5" w:themeColor="accent1" w:themeShade="BF"/>
          <w:sz w:val="24"/>
          <w:szCs w:val="24"/>
          <w:lang w:val="ro-MD"/>
        </w:rPr>
        <w:t xml:space="preserve">a manifestat o atitudine pasivă în asigurarea conformității acordării scutirii </w:t>
      </w:r>
      <w:r w:rsidR="0025791B">
        <w:rPr>
          <w:rFonts w:asciiTheme="majorHAnsi" w:eastAsia="Times New Roman" w:hAnsiTheme="majorHAnsi" w:cstheme="majorHAnsi"/>
          <w:color w:val="2E74B5" w:themeColor="accent1" w:themeShade="BF"/>
          <w:sz w:val="24"/>
          <w:szCs w:val="24"/>
          <w:lang w:val="ro-MD"/>
        </w:rPr>
        <w:t>de</w:t>
      </w:r>
      <w:r w:rsidR="0003028E" w:rsidRPr="00CB5F81">
        <w:rPr>
          <w:rFonts w:asciiTheme="majorHAnsi" w:eastAsia="Times New Roman" w:hAnsiTheme="majorHAnsi" w:cstheme="majorHAnsi"/>
          <w:color w:val="2E74B5" w:themeColor="accent1" w:themeShade="BF"/>
          <w:sz w:val="24"/>
          <w:szCs w:val="24"/>
          <w:lang w:val="ro-MD"/>
        </w:rPr>
        <w:t xml:space="preserve"> plata acc</w:t>
      </w:r>
      <w:r w:rsidR="006B3891">
        <w:rPr>
          <w:rFonts w:asciiTheme="majorHAnsi" w:eastAsia="Times New Roman" w:hAnsiTheme="majorHAnsi" w:cstheme="majorHAnsi"/>
          <w:color w:val="2E74B5" w:themeColor="accent1" w:themeShade="BF"/>
          <w:sz w:val="24"/>
          <w:szCs w:val="24"/>
          <w:lang w:val="ro-MD"/>
        </w:rPr>
        <w:t>izelor</w:t>
      </w:r>
      <w:r w:rsidR="0003028E" w:rsidRPr="00CB5F81">
        <w:rPr>
          <w:rFonts w:asciiTheme="majorHAnsi" w:eastAsia="Times New Roman" w:hAnsiTheme="majorHAnsi" w:cstheme="majorHAnsi"/>
          <w:color w:val="2E74B5" w:themeColor="accent1" w:themeShade="BF"/>
          <w:sz w:val="24"/>
          <w:szCs w:val="24"/>
          <w:lang w:val="ro-MD"/>
        </w:rPr>
        <w:t>, neavând</w:t>
      </w:r>
      <w:r w:rsidR="00EC1EAF">
        <w:rPr>
          <w:rFonts w:asciiTheme="majorHAnsi" w:eastAsia="Times New Roman" w:hAnsiTheme="majorHAnsi" w:cstheme="majorHAnsi"/>
          <w:color w:val="2E74B5" w:themeColor="accent1" w:themeShade="BF"/>
          <w:sz w:val="24"/>
          <w:szCs w:val="24"/>
          <w:lang w:val="ro-MD"/>
        </w:rPr>
        <w:t xml:space="preserve"> </w:t>
      </w:r>
      <w:r w:rsidR="00616525" w:rsidRPr="00CB5F81">
        <w:rPr>
          <w:rFonts w:asciiTheme="majorHAnsi" w:eastAsia="Times New Roman" w:hAnsiTheme="majorHAnsi" w:cstheme="majorHAnsi"/>
          <w:color w:val="2E74B5" w:themeColor="accent1" w:themeShade="BF"/>
          <w:sz w:val="24"/>
          <w:szCs w:val="24"/>
          <w:lang w:val="ro-MD"/>
        </w:rPr>
        <w:t>instituit un proces funcțional de</w:t>
      </w:r>
      <w:r w:rsidR="0003028E" w:rsidRPr="00CB5F81">
        <w:rPr>
          <w:rFonts w:asciiTheme="majorHAnsi" w:eastAsia="Times New Roman" w:hAnsiTheme="majorHAnsi" w:cstheme="majorHAnsi"/>
          <w:color w:val="2E74B5" w:themeColor="accent1" w:themeShade="BF"/>
          <w:sz w:val="24"/>
          <w:szCs w:val="24"/>
          <w:lang w:val="ro-MD"/>
        </w:rPr>
        <w:t xml:space="preserve"> examinare și acceptare a </w:t>
      </w:r>
      <w:r w:rsidR="00041B5F" w:rsidRPr="00CB5F81">
        <w:rPr>
          <w:rFonts w:asciiTheme="majorHAnsi" w:eastAsia="Times New Roman" w:hAnsiTheme="majorHAnsi" w:cstheme="majorHAnsi"/>
          <w:color w:val="2E74B5" w:themeColor="accent1" w:themeShade="BF"/>
          <w:sz w:val="24"/>
          <w:szCs w:val="24"/>
          <w:lang w:val="ro-MD"/>
        </w:rPr>
        <w:t>acord</w:t>
      </w:r>
      <w:r w:rsidR="0003028E" w:rsidRPr="00CB5F81">
        <w:rPr>
          <w:rFonts w:asciiTheme="majorHAnsi" w:eastAsia="Times New Roman" w:hAnsiTheme="majorHAnsi" w:cstheme="majorHAnsi"/>
          <w:color w:val="2E74B5" w:themeColor="accent1" w:themeShade="BF"/>
          <w:sz w:val="24"/>
          <w:szCs w:val="24"/>
          <w:lang w:val="ro-MD"/>
        </w:rPr>
        <w:t>ării acestei</w:t>
      </w:r>
      <w:r w:rsidR="00EC1EAF">
        <w:rPr>
          <w:rFonts w:asciiTheme="majorHAnsi" w:eastAsia="Times New Roman" w:hAnsiTheme="majorHAnsi" w:cstheme="majorHAnsi"/>
          <w:color w:val="2E74B5" w:themeColor="accent1" w:themeShade="BF"/>
          <w:sz w:val="24"/>
          <w:szCs w:val="24"/>
          <w:lang w:val="ro-MD"/>
        </w:rPr>
        <w:t xml:space="preserve"> </w:t>
      </w:r>
      <w:r w:rsidR="00041B5F" w:rsidRPr="00CB5F81">
        <w:rPr>
          <w:rFonts w:asciiTheme="majorHAnsi" w:eastAsia="Times New Roman" w:hAnsiTheme="majorHAnsi" w:cstheme="majorHAnsi"/>
          <w:color w:val="2E74B5" w:themeColor="accent1" w:themeShade="BF"/>
          <w:sz w:val="24"/>
          <w:szCs w:val="24"/>
          <w:lang w:val="ro-MD"/>
        </w:rPr>
        <w:t>facilității</w:t>
      </w:r>
      <w:r w:rsidR="00EC1EAF">
        <w:rPr>
          <w:rFonts w:asciiTheme="majorHAnsi" w:eastAsia="Times New Roman" w:hAnsiTheme="majorHAnsi" w:cstheme="majorHAnsi"/>
          <w:color w:val="2E74B5" w:themeColor="accent1" w:themeShade="BF"/>
          <w:sz w:val="24"/>
          <w:szCs w:val="24"/>
          <w:lang w:val="ro-MD"/>
        </w:rPr>
        <w:t xml:space="preserve"> </w:t>
      </w:r>
    </w:p>
    <w:p w:rsidR="00CC5DE5" w:rsidRPr="00CB5F81" w:rsidRDefault="0003028E" w:rsidP="00CC5DE5">
      <w:pPr>
        <w:tabs>
          <w:tab w:val="left" w:pos="360"/>
          <w:tab w:val="left" w:pos="450"/>
        </w:tabs>
        <w:spacing w:after="120"/>
        <w:jc w:val="both"/>
        <w:rPr>
          <w:rFonts w:asciiTheme="majorHAnsi" w:eastAsia="Times New Roman" w:hAnsiTheme="majorHAnsi" w:cstheme="majorHAnsi"/>
          <w:color w:val="000000"/>
          <w:sz w:val="24"/>
          <w:szCs w:val="24"/>
        </w:rPr>
      </w:pPr>
      <w:r w:rsidRPr="00CB5F81">
        <w:rPr>
          <w:rFonts w:asciiTheme="majorHAnsi" w:eastAsia="Times New Roman" w:hAnsiTheme="majorHAnsi" w:cstheme="majorHAnsi"/>
          <w:color w:val="000000"/>
          <w:sz w:val="24"/>
          <w:szCs w:val="24"/>
        </w:rPr>
        <w:t>SFS nu a</w:t>
      </w:r>
      <w:r w:rsidR="00593C6C" w:rsidRPr="00CB5F81">
        <w:rPr>
          <w:rFonts w:asciiTheme="majorHAnsi" w:eastAsia="Times New Roman" w:hAnsiTheme="majorHAnsi" w:cstheme="majorHAnsi"/>
          <w:color w:val="000000"/>
          <w:sz w:val="24"/>
          <w:szCs w:val="24"/>
        </w:rPr>
        <w:t xml:space="preserve"> </w:t>
      </w:r>
      <w:r w:rsidR="00593C6C" w:rsidRPr="005405A7">
        <w:rPr>
          <w:rFonts w:asciiTheme="majorHAnsi" w:eastAsia="Times New Roman" w:hAnsiTheme="majorHAnsi" w:cstheme="majorHAnsi"/>
          <w:color w:val="000000"/>
          <w:sz w:val="24"/>
          <w:szCs w:val="24"/>
        </w:rPr>
        <w:t>dispus</w:t>
      </w:r>
      <w:r w:rsidRPr="005405A7">
        <w:rPr>
          <w:rFonts w:asciiTheme="majorHAnsi" w:eastAsia="Times New Roman" w:hAnsiTheme="majorHAnsi" w:cstheme="majorHAnsi"/>
          <w:color w:val="000000"/>
          <w:sz w:val="24"/>
          <w:szCs w:val="24"/>
        </w:rPr>
        <w:t xml:space="preserve"> </w:t>
      </w:r>
      <w:r w:rsidR="0089781D" w:rsidRPr="005405A7">
        <w:rPr>
          <w:rFonts w:asciiTheme="majorHAnsi" w:eastAsia="Times New Roman" w:hAnsiTheme="majorHAnsi" w:cstheme="majorHAnsi"/>
          <w:color w:val="000000"/>
          <w:sz w:val="24"/>
          <w:szCs w:val="24"/>
        </w:rPr>
        <w:t>de</w:t>
      </w:r>
      <w:r w:rsidR="0089781D">
        <w:rPr>
          <w:rFonts w:asciiTheme="majorHAnsi" w:eastAsia="Times New Roman" w:hAnsiTheme="majorHAnsi" w:cstheme="majorHAnsi"/>
          <w:color w:val="000000"/>
          <w:sz w:val="24"/>
          <w:szCs w:val="24"/>
        </w:rPr>
        <w:t xml:space="preserve"> </w:t>
      </w:r>
      <w:r w:rsidRPr="00CB5F81">
        <w:rPr>
          <w:rFonts w:asciiTheme="majorHAnsi" w:eastAsia="Times New Roman" w:hAnsiTheme="majorHAnsi" w:cstheme="majorHAnsi"/>
          <w:color w:val="000000"/>
          <w:sz w:val="24"/>
          <w:szCs w:val="24"/>
        </w:rPr>
        <w:t xml:space="preserve">reglementări aferente </w:t>
      </w:r>
      <w:r w:rsidR="00974C58" w:rsidRPr="00CB5F81">
        <w:rPr>
          <w:rFonts w:asciiTheme="majorHAnsi" w:eastAsia="Times New Roman" w:hAnsiTheme="majorHAnsi" w:cstheme="majorHAnsi"/>
          <w:color w:val="000000"/>
          <w:sz w:val="24"/>
          <w:szCs w:val="24"/>
        </w:rPr>
        <w:t>procesului de coordonare</w:t>
      </w:r>
      <w:r w:rsidR="00593C6C" w:rsidRPr="00CB5F81">
        <w:rPr>
          <w:rFonts w:asciiTheme="majorHAnsi" w:eastAsia="Times New Roman" w:hAnsiTheme="majorHAnsi" w:cstheme="majorHAnsi"/>
          <w:color w:val="000000"/>
          <w:sz w:val="24"/>
          <w:szCs w:val="24"/>
        </w:rPr>
        <w:t xml:space="preserve"> a </w:t>
      </w:r>
      <w:r w:rsidR="00974C58" w:rsidRPr="00CB5F81">
        <w:rPr>
          <w:rFonts w:asciiTheme="majorHAnsi" w:eastAsia="Times New Roman" w:hAnsiTheme="majorHAnsi" w:cstheme="majorHAnsi"/>
          <w:color w:val="000000"/>
          <w:sz w:val="24"/>
          <w:szCs w:val="24"/>
        </w:rPr>
        <w:t>scutir</w:t>
      </w:r>
      <w:r w:rsidR="00593C6C" w:rsidRPr="00CB5F81">
        <w:rPr>
          <w:rFonts w:asciiTheme="majorHAnsi" w:eastAsia="Times New Roman" w:hAnsiTheme="majorHAnsi" w:cstheme="majorHAnsi"/>
          <w:color w:val="000000"/>
          <w:sz w:val="24"/>
          <w:szCs w:val="24"/>
        </w:rPr>
        <w:t>ii</w:t>
      </w:r>
      <w:r w:rsidR="00974C58" w:rsidRPr="00CB5F81">
        <w:rPr>
          <w:rFonts w:asciiTheme="majorHAnsi" w:eastAsia="Times New Roman" w:hAnsiTheme="majorHAnsi" w:cstheme="majorHAnsi"/>
          <w:color w:val="000000"/>
          <w:sz w:val="24"/>
          <w:szCs w:val="24"/>
        </w:rPr>
        <w:t xml:space="preserve"> de plata acci</w:t>
      </w:r>
      <w:r w:rsidR="006B3891">
        <w:rPr>
          <w:rFonts w:asciiTheme="majorHAnsi" w:eastAsia="Times New Roman" w:hAnsiTheme="majorHAnsi" w:cstheme="majorHAnsi"/>
          <w:color w:val="000000"/>
          <w:sz w:val="24"/>
          <w:szCs w:val="24"/>
        </w:rPr>
        <w:t>zelor</w:t>
      </w:r>
      <w:r w:rsidR="00974C58" w:rsidRPr="00CB5F81">
        <w:rPr>
          <w:rFonts w:asciiTheme="majorHAnsi" w:eastAsia="Times New Roman" w:hAnsiTheme="majorHAnsi" w:cstheme="majorHAnsi"/>
          <w:color w:val="000000"/>
          <w:sz w:val="24"/>
          <w:szCs w:val="24"/>
        </w:rPr>
        <w:t xml:space="preserve"> </w:t>
      </w:r>
      <w:r w:rsidR="0025791B">
        <w:rPr>
          <w:rFonts w:asciiTheme="majorHAnsi" w:eastAsia="Times New Roman" w:hAnsiTheme="majorHAnsi" w:cstheme="majorHAnsi"/>
          <w:color w:val="000000"/>
          <w:sz w:val="24"/>
          <w:szCs w:val="24"/>
        </w:rPr>
        <w:t>l</w:t>
      </w:r>
      <w:r w:rsidR="00974C58" w:rsidRPr="00CB5F81">
        <w:rPr>
          <w:rFonts w:asciiTheme="majorHAnsi" w:eastAsia="Times New Roman" w:hAnsiTheme="majorHAnsi" w:cstheme="majorHAnsi"/>
          <w:color w:val="000000"/>
          <w:sz w:val="24"/>
          <w:szCs w:val="24"/>
        </w:rPr>
        <w:t>a alcoolul etilic nedenaturat,</w:t>
      </w:r>
      <w:r w:rsidR="00593C6C" w:rsidRPr="00CB5F81">
        <w:rPr>
          <w:rFonts w:asciiTheme="majorHAnsi" w:eastAsia="Times New Roman" w:hAnsiTheme="majorHAnsi" w:cstheme="majorHAnsi"/>
          <w:color w:val="000000"/>
          <w:sz w:val="24"/>
          <w:szCs w:val="24"/>
        </w:rPr>
        <w:t xml:space="preserve"> astfel de proces nefiind instituit în cadrul autorității</w:t>
      </w:r>
      <w:r w:rsidR="00A260DD" w:rsidRPr="00CB5F81">
        <w:rPr>
          <w:rFonts w:asciiTheme="majorHAnsi" w:eastAsia="Times New Roman" w:hAnsiTheme="majorHAnsi" w:cstheme="majorHAnsi"/>
          <w:color w:val="000000"/>
          <w:sz w:val="24"/>
          <w:szCs w:val="24"/>
        </w:rPr>
        <w:t xml:space="preserve">. </w:t>
      </w:r>
    </w:p>
    <w:p w:rsidR="00AF1445" w:rsidRPr="00CB5F81" w:rsidRDefault="001C30D2" w:rsidP="0000773A">
      <w:pPr>
        <w:tabs>
          <w:tab w:val="left" w:pos="360"/>
          <w:tab w:val="left" w:pos="450"/>
        </w:tabs>
        <w:spacing w:after="120"/>
        <w:jc w:val="both"/>
        <w:rPr>
          <w:rFonts w:asciiTheme="majorHAnsi" w:eastAsia="Times New Roman" w:hAnsiTheme="majorHAnsi" w:cstheme="majorHAnsi"/>
          <w:color w:val="000000"/>
          <w:sz w:val="24"/>
          <w:szCs w:val="24"/>
        </w:rPr>
      </w:pPr>
      <w:r w:rsidRPr="00CB5F81">
        <w:rPr>
          <w:rFonts w:asciiTheme="majorHAnsi" w:eastAsia="Times New Roman" w:hAnsiTheme="majorHAnsi" w:cstheme="majorHAnsi"/>
          <w:color w:val="000000"/>
          <w:sz w:val="24"/>
          <w:szCs w:val="24"/>
        </w:rPr>
        <w:t>Observațiile de audit relevă că examinarea solicitărilor adresate de MAIA s-a efectuat de către d</w:t>
      </w:r>
      <w:r w:rsidR="0025791B">
        <w:rPr>
          <w:rFonts w:asciiTheme="majorHAnsi" w:eastAsia="Times New Roman" w:hAnsiTheme="majorHAnsi" w:cstheme="majorHAnsi"/>
          <w:color w:val="000000"/>
          <w:sz w:val="24"/>
          <w:szCs w:val="24"/>
        </w:rPr>
        <w:t>i</w:t>
      </w:r>
      <w:r w:rsidRPr="00CB5F81">
        <w:rPr>
          <w:rFonts w:asciiTheme="majorHAnsi" w:eastAsia="Times New Roman" w:hAnsiTheme="majorHAnsi" w:cstheme="majorHAnsi"/>
          <w:color w:val="000000"/>
          <w:sz w:val="24"/>
          <w:szCs w:val="24"/>
        </w:rPr>
        <w:t>ferite subdiviziuni ale SFS, care</w:t>
      </w:r>
      <w:r w:rsidR="0025791B">
        <w:rPr>
          <w:rFonts w:asciiTheme="majorHAnsi" w:eastAsia="Times New Roman" w:hAnsiTheme="majorHAnsi" w:cstheme="majorHAnsi"/>
          <w:color w:val="000000"/>
          <w:sz w:val="24"/>
          <w:szCs w:val="24"/>
        </w:rPr>
        <w:t>,</w:t>
      </w:r>
      <w:r w:rsidRPr="00CB5F81">
        <w:rPr>
          <w:rFonts w:asciiTheme="majorHAnsi" w:eastAsia="Times New Roman" w:hAnsiTheme="majorHAnsi" w:cstheme="majorHAnsi"/>
          <w:color w:val="000000"/>
          <w:sz w:val="24"/>
          <w:szCs w:val="24"/>
        </w:rPr>
        <w:t xml:space="preserve"> la rândul </w:t>
      </w:r>
      <w:r w:rsidR="0025791B">
        <w:rPr>
          <w:rFonts w:asciiTheme="majorHAnsi" w:eastAsia="Times New Roman" w:hAnsiTheme="majorHAnsi" w:cstheme="majorHAnsi"/>
          <w:color w:val="000000"/>
          <w:sz w:val="24"/>
          <w:szCs w:val="24"/>
        </w:rPr>
        <w:t>lor,</w:t>
      </w:r>
      <w:r w:rsidRPr="00CB5F81">
        <w:rPr>
          <w:rFonts w:asciiTheme="majorHAnsi" w:eastAsia="Times New Roman" w:hAnsiTheme="majorHAnsi" w:cstheme="majorHAnsi"/>
          <w:color w:val="000000"/>
          <w:sz w:val="24"/>
          <w:szCs w:val="24"/>
        </w:rPr>
        <w:t xml:space="preserve"> </w:t>
      </w:r>
      <w:r w:rsidR="0025791B" w:rsidRPr="00CB5F81">
        <w:rPr>
          <w:rFonts w:asciiTheme="majorHAnsi" w:eastAsia="Times New Roman" w:hAnsiTheme="majorHAnsi" w:cstheme="majorHAnsi"/>
          <w:color w:val="000000"/>
          <w:sz w:val="24"/>
          <w:szCs w:val="24"/>
        </w:rPr>
        <w:t xml:space="preserve">au avut </w:t>
      </w:r>
      <w:r w:rsidRPr="00CB5F81">
        <w:rPr>
          <w:rFonts w:asciiTheme="majorHAnsi" w:eastAsia="Times New Roman" w:hAnsiTheme="majorHAnsi" w:cstheme="majorHAnsi"/>
          <w:color w:val="000000"/>
          <w:sz w:val="24"/>
          <w:szCs w:val="24"/>
        </w:rPr>
        <w:t>și o abordare diferențiată în procesul de examinare și coordonare privind acordarea facilității respective. Astfel, unele răspunsuri perfectate de SFS și remise MAIA conțin informația despre atribuțiile exercitate de către SFS și comunică că informația prezentată va fi utilizată în realizarea acestora</w:t>
      </w:r>
      <w:r w:rsidR="00CC5DE5" w:rsidRPr="00CB5F81">
        <w:rPr>
          <w:rStyle w:val="FootnoteReference"/>
          <w:rFonts w:asciiTheme="majorHAnsi" w:eastAsia="Times New Roman" w:hAnsiTheme="majorHAnsi" w:cstheme="majorHAnsi"/>
          <w:color w:val="000000"/>
          <w:sz w:val="24"/>
          <w:szCs w:val="24"/>
        </w:rPr>
        <w:footnoteReference w:id="52"/>
      </w:r>
      <w:r w:rsidRPr="00CB5F81">
        <w:rPr>
          <w:rFonts w:asciiTheme="majorHAnsi" w:eastAsia="Times New Roman" w:hAnsiTheme="majorHAnsi" w:cstheme="majorHAnsi"/>
          <w:color w:val="000000"/>
          <w:sz w:val="24"/>
          <w:szCs w:val="24"/>
        </w:rPr>
        <w:t>, altele comunică despre riscurile identificate în activitatea agenților economici beneficiari de scutiri, stabilindu-se și efectuarea unei vizite fiscale</w:t>
      </w:r>
      <w:r w:rsidR="00CC5DE5" w:rsidRPr="00CB5F81">
        <w:rPr>
          <w:rStyle w:val="FootnoteReference"/>
          <w:rFonts w:asciiTheme="majorHAnsi" w:eastAsia="Times New Roman" w:hAnsiTheme="majorHAnsi" w:cstheme="majorHAnsi"/>
          <w:color w:val="000000"/>
          <w:sz w:val="24"/>
          <w:szCs w:val="24"/>
        </w:rPr>
        <w:footnoteReference w:id="53"/>
      </w:r>
      <w:r w:rsidRPr="00CB5F81">
        <w:rPr>
          <w:rFonts w:asciiTheme="majorHAnsi" w:eastAsia="Times New Roman" w:hAnsiTheme="majorHAnsi" w:cstheme="majorHAnsi"/>
          <w:color w:val="000000"/>
          <w:sz w:val="24"/>
          <w:szCs w:val="24"/>
        </w:rPr>
        <w:t xml:space="preserve">. </w:t>
      </w:r>
    </w:p>
    <w:p w:rsidR="0001212F" w:rsidRPr="00CB5F81" w:rsidRDefault="00AF1445" w:rsidP="0001212F">
      <w:pPr>
        <w:tabs>
          <w:tab w:val="left" w:pos="360"/>
          <w:tab w:val="left" w:pos="450"/>
        </w:tabs>
        <w:spacing w:after="0"/>
        <w:jc w:val="both"/>
        <w:rPr>
          <w:rFonts w:asciiTheme="majorHAnsi" w:eastAsia="Times New Roman" w:hAnsiTheme="majorHAnsi" w:cstheme="majorHAnsi"/>
          <w:color w:val="000000"/>
          <w:sz w:val="24"/>
          <w:szCs w:val="24"/>
        </w:rPr>
      </w:pPr>
      <w:r w:rsidRPr="00CB5F81">
        <w:rPr>
          <w:rFonts w:asciiTheme="majorHAnsi" w:eastAsia="Times New Roman" w:hAnsiTheme="majorHAnsi" w:cstheme="majorHAnsi"/>
          <w:bCs/>
          <w:color w:val="000000"/>
          <w:sz w:val="24"/>
          <w:szCs w:val="24"/>
        </w:rPr>
        <w:lastRenderedPageBreak/>
        <w:t>În contextul expus</w:t>
      </w:r>
      <w:r w:rsidR="0025791B">
        <w:rPr>
          <w:rFonts w:asciiTheme="majorHAnsi" w:eastAsia="Times New Roman" w:hAnsiTheme="majorHAnsi" w:cstheme="majorHAnsi"/>
          <w:bCs/>
          <w:color w:val="000000"/>
          <w:sz w:val="24"/>
          <w:szCs w:val="24"/>
        </w:rPr>
        <w:t>,</w:t>
      </w:r>
      <w:r w:rsidRPr="00CB5F81">
        <w:rPr>
          <w:rFonts w:asciiTheme="majorHAnsi" w:eastAsia="Times New Roman" w:hAnsiTheme="majorHAnsi" w:cstheme="majorHAnsi"/>
          <w:bCs/>
          <w:color w:val="000000"/>
          <w:sz w:val="24"/>
          <w:szCs w:val="24"/>
        </w:rPr>
        <w:t xml:space="preserve"> se exemplifică situația constatată la examinarea</w:t>
      </w:r>
      <w:r w:rsidR="00EC1EAF">
        <w:rPr>
          <w:rFonts w:asciiTheme="majorHAnsi" w:eastAsia="Times New Roman" w:hAnsiTheme="majorHAnsi" w:cstheme="majorHAnsi"/>
          <w:b/>
          <w:bCs/>
          <w:color w:val="000000"/>
          <w:sz w:val="24"/>
          <w:szCs w:val="24"/>
        </w:rPr>
        <w:t xml:space="preserve"> </w:t>
      </w:r>
      <w:r w:rsidRPr="00CB5F81">
        <w:rPr>
          <w:rFonts w:asciiTheme="majorHAnsi" w:eastAsia="Times New Roman" w:hAnsiTheme="majorHAnsi" w:cstheme="majorHAnsi"/>
          <w:bCs/>
          <w:color w:val="000000"/>
          <w:sz w:val="24"/>
          <w:szCs w:val="24"/>
        </w:rPr>
        <w:t>scrisorii</w:t>
      </w:r>
      <w:r w:rsidR="00250E74" w:rsidRPr="00CB5F81">
        <w:rPr>
          <w:rFonts w:asciiTheme="majorHAnsi" w:eastAsia="Times New Roman" w:hAnsiTheme="majorHAnsi" w:cstheme="majorHAnsi"/>
          <w:bCs/>
          <w:color w:val="000000"/>
          <w:sz w:val="24"/>
          <w:szCs w:val="24"/>
        </w:rPr>
        <w:t xml:space="preserve"> nr.</w:t>
      </w:r>
      <w:r w:rsidR="00250E74" w:rsidRPr="00CB5F81">
        <w:rPr>
          <w:rFonts w:asciiTheme="majorHAnsi" w:eastAsia="Times New Roman" w:hAnsiTheme="majorHAnsi" w:cstheme="majorHAnsi"/>
          <w:color w:val="000000"/>
          <w:sz w:val="24"/>
          <w:szCs w:val="24"/>
        </w:rPr>
        <w:t>25-104/1935</w:t>
      </w:r>
      <w:r w:rsidR="003C698A" w:rsidRPr="00CB5F81">
        <w:rPr>
          <w:rFonts w:asciiTheme="majorHAnsi" w:eastAsia="Times New Roman" w:hAnsiTheme="majorHAnsi" w:cstheme="majorHAnsi"/>
          <w:color w:val="000000"/>
          <w:sz w:val="24"/>
          <w:szCs w:val="24"/>
        </w:rPr>
        <w:t xml:space="preserve"> din 08.05.2020</w:t>
      </w:r>
      <w:r w:rsidRPr="00CB5F81">
        <w:rPr>
          <w:rFonts w:asciiTheme="majorHAnsi" w:eastAsia="Times New Roman" w:hAnsiTheme="majorHAnsi" w:cstheme="majorHAnsi"/>
          <w:color w:val="000000"/>
          <w:sz w:val="24"/>
          <w:szCs w:val="24"/>
        </w:rPr>
        <w:t xml:space="preserve">, prin care MAIA </w:t>
      </w:r>
      <w:r w:rsidR="00250E74" w:rsidRPr="00CB5F81">
        <w:rPr>
          <w:rFonts w:asciiTheme="majorHAnsi" w:eastAsia="Times New Roman" w:hAnsiTheme="majorHAnsi" w:cstheme="majorHAnsi"/>
          <w:color w:val="000000"/>
          <w:sz w:val="24"/>
          <w:szCs w:val="24"/>
        </w:rPr>
        <w:t xml:space="preserve">a solicitat coordonarea acordării scutirii </w:t>
      </w:r>
      <w:r w:rsidR="0025791B">
        <w:rPr>
          <w:rFonts w:asciiTheme="majorHAnsi" w:eastAsia="Times New Roman" w:hAnsiTheme="majorHAnsi" w:cstheme="majorHAnsi"/>
          <w:color w:val="000000"/>
          <w:sz w:val="24"/>
          <w:szCs w:val="24"/>
        </w:rPr>
        <w:t>de</w:t>
      </w:r>
      <w:r w:rsidR="00250E74" w:rsidRPr="00CB5F81">
        <w:rPr>
          <w:rFonts w:asciiTheme="majorHAnsi" w:eastAsia="Times New Roman" w:hAnsiTheme="majorHAnsi" w:cstheme="majorHAnsi"/>
          <w:color w:val="000000"/>
          <w:sz w:val="24"/>
          <w:szCs w:val="24"/>
        </w:rPr>
        <w:t xml:space="preserve"> acciz</w:t>
      </w:r>
      <w:r w:rsidR="006B3891">
        <w:rPr>
          <w:rFonts w:asciiTheme="majorHAnsi" w:eastAsia="Times New Roman" w:hAnsiTheme="majorHAnsi" w:cstheme="majorHAnsi"/>
          <w:color w:val="000000"/>
          <w:sz w:val="24"/>
          <w:szCs w:val="24"/>
        </w:rPr>
        <w:t>e</w:t>
      </w:r>
      <w:r w:rsidR="00250E74" w:rsidRPr="00CB5F81">
        <w:rPr>
          <w:rFonts w:asciiTheme="majorHAnsi" w:eastAsia="Times New Roman" w:hAnsiTheme="majorHAnsi" w:cstheme="majorHAnsi"/>
          <w:color w:val="000000"/>
          <w:sz w:val="24"/>
          <w:szCs w:val="24"/>
        </w:rPr>
        <w:t xml:space="preserve"> pentru trei contribuabili</w:t>
      </w:r>
      <w:r w:rsidR="00535226" w:rsidRPr="00CB5F81">
        <w:rPr>
          <w:rFonts w:asciiTheme="majorHAnsi" w:eastAsia="Times New Roman" w:hAnsiTheme="majorHAnsi" w:cstheme="majorHAnsi"/>
          <w:color w:val="000000"/>
          <w:sz w:val="24"/>
          <w:szCs w:val="24"/>
        </w:rPr>
        <w:t>, inclusiv</w:t>
      </w:r>
      <w:r w:rsidR="00250E74" w:rsidRPr="00CB5F81">
        <w:rPr>
          <w:rFonts w:asciiTheme="majorHAnsi" w:eastAsia="Times New Roman" w:hAnsiTheme="majorHAnsi" w:cstheme="majorHAnsi"/>
          <w:color w:val="000000"/>
          <w:sz w:val="24"/>
          <w:szCs w:val="24"/>
        </w:rPr>
        <w:t xml:space="preserve">: </w:t>
      </w:r>
    </w:p>
    <w:p w:rsidR="00250E74" w:rsidRPr="00CB5F81" w:rsidRDefault="00250E74" w:rsidP="00D04386">
      <w:pPr>
        <w:pStyle w:val="ListParagraph"/>
        <w:numPr>
          <w:ilvl w:val="0"/>
          <w:numId w:val="3"/>
        </w:numPr>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SRL „Leonardo Cellars”- 10000 dal</w:t>
      </w:r>
      <w:r w:rsidR="0025791B">
        <w:rPr>
          <w:rFonts w:asciiTheme="majorHAnsi" w:eastAsia="Times New Roman" w:hAnsiTheme="majorHAnsi" w:cstheme="majorHAnsi"/>
          <w:color w:val="000000"/>
          <w:sz w:val="24"/>
          <w:szCs w:val="24"/>
          <w:lang w:val="ro-MD"/>
        </w:rPr>
        <w:t>,</w:t>
      </w:r>
      <w:r w:rsidR="00535226" w:rsidRPr="00CB5F81">
        <w:rPr>
          <w:rFonts w:asciiTheme="majorHAnsi" w:eastAsia="Times New Roman" w:hAnsiTheme="majorHAnsi" w:cstheme="majorHAnsi"/>
          <w:color w:val="000000"/>
          <w:sz w:val="24"/>
          <w:szCs w:val="24"/>
          <w:lang w:val="ro-MD"/>
        </w:rPr>
        <w:t xml:space="preserve"> în </w:t>
      </w:r>
      <w:r w:rsidR="0025791B">
        <w:rPr>
          <w:rFonts w:asciiTheme="majorHAnsi" w:eastAsia="Times New Roman" w:hAnsiTheme="majorHAnsi" w:cstheme="majorHAnsi"/>
          <w:color w:val="000000"/>
          <w:sz w:val="24"/>
          <w:szCs w:val="24"/>
          <w:lang w:val="ro-MD"/>
        </w:rPr>
        <w:t>sumă</w:t>
      </w:r>
      <w:r w:rsidR="00535226" w:rsidRPr="00CB5F81">
        <w:rPr>
          <w:rFonts w:asciiTheme="majorHAnsi" w:eastAsia="Times New Roman" w:hAnsiTheme="majorHAnsi" w:cstheme="majorHAnsi"/>
          <w:color w:val="000000"/>
          <w:sz w:val="24"/>
          <w:szCs w:val="24"/>
          <w:lang w:val="ro-MD"/>
        </w:rPr>
        <w:t xml:space="preserve"> de 9,9 </w:t>
      </w:r>
      <w:r w:rsidR="00726434" w:rsidRPr="00CB5F81">
        <w:rPr>
          <w:rFonts w:asciiTheme="majorHAnsi" w:eastAsia="Times New Roman" w:hAnsiTheme="majorHAnsi" w:cstheme="majorHAnsi"/>
          <w:color w:val="000000"/>
          <w:sz w:val="24"/>
          <w:szCs w:val="24"/>
          <w:lang w:val="ro-MD"/>
        </w:rPr>
        <w:t>mil.</w:t>
      </w:r>
      <w:r w:rsidR="00535226" w:rsidRPr="00CB5F81">
        <w:rPr>
          <w:rFonts w:asciiTheme="majorHAnsi" w:eastAsia="Times New Roman" w:hAnsiTheme="majorHAnsi" w:cstheme="majorHAnsi"/>
          <w:color w:val="000000"/>
          <w:sz w:val="24"/>
          <w:szCs w:val="24"/>
          <w:lang w:val="ro-MD"/>
        </w:rPr>
        <w:t>lei</w:t>
      </w:r>
      <w:r w:rsidRPr="00CB5F81">
        <w:rPr>
          <w:rFonts w:asciiTheme="majorHAnsi" w:eastAsia="Times New Roman" w:hAnsiTheme="majorHAnsi" w:cstheme="majorHAnsi"/>
          <w:color w:val="000000"/>
          <w:sz w:val="24"/>
          <w:szCs w:val="24"/>
          <w:lang w:val="ro-MD"/>
        </w:rPr>
        <w:t>;</w:t>
      </w:r>
    </w:p>
    <w:p w:rsidR="00250E74" w:rsidRPr="00CB5F81" w:rsidRDefault="00250E74" w:rsidP="00D04386">
      <w:pPr>
        <w:pStyle w:val="ListParagraph"/>
        <w:numPr>
          <w:ilvl w:val="0"/>
          <w:numId w:val="3"/>
        </w:numPr>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SRL „Chemix Grupp”- 2000 dal</w:t>
      </w:r>
      <w:r w:rsidR="0025791B">
        <w:rPr>
          <w:rFonts w:asciiTheme="majorHAnsi" w:eastAsia="Times New Roman" w:hAnsiTheme="majorHAnsi" w:cstheme="majorHAnsi"/>
          <w:color w:val="000000"/>
          <w:sz w:val="24"/>
          <w:szCs w:val="24"/>
          <w:lang w:val="ro-MD"/>
        </w:rPr>
        <w:t>,</w:t>
      </w:r>
      <w:r w:rsidR="00535226" w:rsidRPr="00CB5F81">
        <w:rPr>
          <w:rFonts w:asciiTheme="majorHAnsi" w:eastAsia="Times New Roman" w:hAnsiTheme="majorHAnsi" w:cstheme="majorHAnsi"/>
          <w:color w:val="000000"/>
          <w:sz w:val="24"/>
          <w:szCs w:val="24"/>
          <w:lang w:val="ro-MD"/>
        </w:rPr>
        <w:t xml:space="preserve"> în sumă de</w:t>
      </w:r>
      <w:r w:rsidR="00EC1EAF">
        <w:rPr>
          <w:rFonts w:asciiTheme="majorHAnsi" w:eastAsia="Times New Roman" w:hAnsiTheme="majorHAnsi" w:cstheme="majorHAnsi"/>
          <w:color w:val="000000"/>
          <w:sz w:val="24"/>
          <w:szCs w:val="24"/>
          <w:lang w:val="ro-MD"/>
        </w:rPr>
        <w:t xml:space="preserve"> </w:t>
      </w:r>
      <w:r w:rsidR="00535226" w:rsidRPr="00CB5F81">
        <w:rPr>
          <w:rFonts w:asciiTheme="majorHAnsi" w:eastAsia="Times New Roman" w:hAnsiTheme="majorHAnsi" w:cstheme="majorHAnsi"/>
          <w:color w:val="000000"/>
          <w:sz w:val="24"/>
          <w:szCs w:val="24"/>
          <w:lang w:val="ro-MD"/>
        </w:rPr>
        <w:t>2,0 mil. lei</w:t>
      </w:r>
      <w:r w:rsidRPr="00CB5F81">
        <w:rPr>
          <w:rFonts w:asciiTheme="majorHAnsi" w:eastAsia="Times New Roman" w:hAnsiTheme="majorHAnsi" w:cstheme="majorHAnsi"/>
          <w:color w:val="000000"/>
          <w:sz w:val="24"/>
          <w:szCs w:val="24"/>
          <w:lang w:val="ro-MD"/>
        </w:rPr>
        <w:t>;</w:t>
      </w:r>
    </w:p>
    <w:p w:rsidR="002C2AA8" w:rsidRPr="00CB5F81" w:rsidRDefault="00535226" w:rsidP="00D04386">
      <w:pPr>
        <w:pStyle w:val="ListParagraph"/>
        <w:numPr>
          <w:ilvl w:val="0"/>
          <w:numId w:val="3"/>
        </w:numPr>
        <w:spacing w:after="120"/>
        <w:ind w:left="835"/>
        <w:contextualSpacing w:val="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SRL ”Golub- Stil”</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- 500</w:t>
      </w:r>
      <w:r w:rsidR="00C3204D" w:rsidRPr="00CB5F81">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dal</w:t>
      </w:r>
      <w:r w:rsidR="008024D5">
        <w:rPr>
          <w:rFonts w:asciiTheme="majorHAnsi" w:eastAsia="Times New Roman" w:hAnsiTheme="majorHAnsi" w:cstheme="majorHAnsi"/>
          <w:color w:val="000000"/>
          <w:sz w:val="24"/>
          <w:szCs w:val="24"/>
          <w:lang w:val="ro-MD"/>
        </w:rPr>
        <w:t>,</w:t>
      </w:r>
      <w:r w:rsidRPr="00CB5F81">
        <w:rPr>
          <w:rFonts w:asciiTheme="majorHAnsi" w:eastAsia="Times New Roman" w:hAnsiTheme="majorHAnsi" w:cstheme="majorHAnsi"/>
          <w:color w:val="000000"/>
          <w:sz w:val="24"/>
          <w:szCs w:val="24"/>
          <w:lang w:val="ro-MD"/>
        </w:rPr>
        <w:t xml:space="preserve"> în sumă de 0,5 mil. lei.</w:t>
      </w:r>
    </w:p>
    <w:p w:rsidR="00250E74" w:rsidRPr="00CB5F81" w:rsidRDefault="00250E74" w:rsidP="002C2AA8">
      <w:pPr>
        <w:pStyle w:val="ListParagraph"/>
        <w:spacing w:after="120"/>
        <w:ind w:left="0"/>
        <w:contextualSpacing w:val="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Prin răspunsul întocmit de către SFS (scrisoarea nr.26-10-02/11438 din 18.05.2020),</w:t>
      </w:r>
      <w:r w:rsidR="00535226" w:rsidRPr="00CB5F81">
        <w:rPr>
          <w:rFonts w:asciiTheme="majorHAnsi" w:eastAsia="Times New Roman" w:hAnsiTheme="majorHAnsi" w:cstheme="majorHAnsi"/>
          <w:color w:val="000000"/>
          <w:sz w:val="24"/>
          <w:szCs w:val="24"/>
          <w:lang w:val="ro-MD"/>
        </w:rPr>
        <w:t xml:space="preserve"> MAIA</w:t>
      </w:r>
      <w:r w:rsidR="00EC1EAF">
        <w:rPr>
          <w:rFonts w:asciiTheme="majorHAnsi" w:eastAsia="Times New Roman" w:hAnsiTheme="majorHAnsi" w:cstheme="majorHAnsi"/>
          <w:color w:val="000000"/>
          <w:sz w:val="24"/>
          <w:szCs w:val="24"/>
          <w:lang w:val="ro-MD"/>
        </w:rPr>
        <w:t xml:space="preserve"> </w:t>
      </w:r>
      <w:r w:rsidR="00480940" w:rsidRPr="00CB5F81">
        <w:rPr>
          <w:rFonts w:asciiTheme="majorHAnsi" w:eastAsia="Times New Roman" w:hAnsiTheme="majorHAnsi" w:cstheme="majorHAnsi"/>
          <w:color w:val="000000"/>
          <w:sz w:val="24"/>
          <w:szCs w:val="24"/>
          <w:lang w:val="ro-MD"/>
        </w:rPr>
        <w:t>a fost</w:t>
      </w:r>
      <w:r w:rsidR="00EC1EAF">
        <w:rPr>
          <w:rFonts w:asciiTheme="majorHAnsi" w:eastAsia="Times New Roman" w:hAnsiTheme="majorHAnsi" w:cstheme="majorHAnsi"/>
          <w:color w:val="000000"/>
          <w:sz w:val="24"/>
          <w:szCs w:val="24"/>
          <w:lang w:val="ro-MD"/>
        </w:rPr>
        <w:t xml:space="preserve"> </w:t>
      </w:r>
      <w:r w:rsidR="00480940" w:rsidRPr="00CB5F81">
        <w:rPr>
          <w:rFonts w:asciiTheme="majorHAnsi" w:eastAsia="Times New Roman" w:hAnsiTheme="majorHAnsi" w:cstheme="majorHAnsi"/>
          <w:color w:val="000000"/>
          <w:sz w:val="24"/>
          <w:szCs w:val="24"/>
          <w:lang w:val="ro-MD"/>
        </w:rPr>
        <w:t xml:space="preserve">informat </w:t>
      </w:r>
      <w:r w:rsidRPr="00CB5F81">
        <w:rPr>
          <w:rFonts w:asciiTheme="majorHAnsi" w:eastAsia="Times New Roman" w:hAnsiTheme="majorHAnsi" w:cstheme="majorHAnsi"/>
          <w:color w:val="000000"/>
          <w:sz w:val="24"/>
          <w:szCs w:val="24"/>
          <w:lang w:val="ro-MD"/>
        </w:rPr>
        <w:t>că organul fiscal va utiliza informația respectivă în realizarea atrib</w:t>
      </w:r>
      <w:r w:rsidR="00631605" w:rsidRPr="00CB5F81">
        <w:rPr>
          <w:rFonts w:asciiTheme="majorHAnsi" w:eastAsia="Times New Roman" w:hAnsiTheme="majorHAnsi" w:cstheme="majorHAnsi"/>
          <w:color w:val="000000"/>
          <w:sz w:val="24"/>
          <w:szCs w:val="24"/>
          <w:lang w:val="ro-MD"/>
        </w:rPr>
        <w:t xml:space="preserve">uțiilor de administrare fiscală. Or, acest răspuns </w:t>
      </w:r>
      <w:r w:rsidRPr="00CB5F81">
        <w:rPr>
          <w:rFonts w:asciiTheme="majorHAnsi" w:eastAsia="Times New Roman" w:hAnsiTheme="majorHAnsi" w:cstheme="majorHAnsi"/>
          <w:color w:val="000000"/>
          <w:sz w:val="24"/>
          <w:szCs w:val="24"/>
          <w:lang w:val="ro-MD"/>
        </w:rPr>
        <w:t xml:space="preserve">nu reflectă o poziție clară privind </w:t>
      </w:r>
      <w:r w:rsidR="0089781D" w:rsidRPr="00426E0E">
        <w:rPr>
          <w:rFonts w:asciiTheme="majorHAnsi" w:eastAsia="Times New Roman" w:hAnsiTheme="majorHAnsi" w:cstheme="majorHAnsi"/>
          <w:color w:val="000000"/>
          <w:sz w:val="24"/>
          <w:szCs w:val="24"/>
          <w:lang w:val="ro-MD"/>
        </w:rPr>
        <w:t>acceptul</w:t>
      </w:r>
      <w:r w:rsidR="0089781D">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SFS referitor la acordarea scutirii de plata acciz</w:t>
      </w:r>
      <w:r w:rsidR="00926712" w:rsidRPr="00CB5F81">
        <w:rPr>
          <w:rFonts w:asciiTheme="majorHAnsi" w:eastAsia="Times New Roman" w:hAnsiTheme="majorHAnsi" w:cstheme="majorHAnsi"/>
          <w:color w:val="000000"/>
          <w:sz w:val="24"/>
          <w:szCs w:val="24"/>
          <w:lang w:val="ro-MD"/>
        </w:rPr>
        <w:t>e</w:t>
      </w:r>
      <w:r w:rsidRPr="00CB5F81">
        <w:rPr>
          <w:rFonts w:asciiTheme="majorHAnsi" w:eastAsia="Times New Roman" w:hAnsiTheme="majorHAnsi" w:cstheme="majorHAnsi"/>
          <w:color w:val="000000"/>
          <w:sz w:val="24"/>
          <w:szCs w:val="24"/>
          <w:lang w:val="ro-MD"/>
        </w:rPr>
        <w:t>lor pentru agenți</w:t>
      </w:r>
      <w:r w:rsidR="008024D5">
        <w:rPr>
          <w:rFonts w:asciiTheme="majorHAnsi" w:eastAsia="Times New Roman" w:hAnsiTheme="majorHAnsi" w:cstheme="majorHAnsi"/>
          <w:color w:val="000000"/>
          <w:sz w:val="24"/>
          <w:szCs w:val="24"/>
          <w:lang w:val="ro-MD"/>
        </w:rPr>
        <w:t>i</w:t>
      </w:r>
      <w:r w:rsidRPr="00CB5F81">
        <w:rPr>
          <w:rFonts w:asciiTheme="majorHAnsi" w:eastAsia="Times New Roman" w:hAnsiTheme="majorHAnsi" w:cstheme="majorHAnsi"/>
          <w:color w:val="000000"/>
          <w:sz w:val="24"/>
          <w:szCs w:val="24"/>
          <w:lang w:val="ro-MD"/>
        </w:rPr>
        <w:t xml:space="preserve"> economicii menționați.</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 xml:space="preserve">Mai mult </w:t>
      </w:r>
      <w:r w:rsidR="008024D5">
        <w:rPr>
          <w:rFonts w:asciiTheme="majorHAnsi" w:eastAsia="Times New Roman" w:hAnsiTheme="majorHAnsi" w:cstheme="majorHAnsi"/>
          <w:color w:val="000000"/>
          <w:sz w:val="24"/>
          <w:szCs w:val="24"/>
          <w:lang w:val="ro-MD"/>
        </w:rPr>
        <w:t>decât</w:t>
      </w:r>
      <w:r w:rsidRPr="00CB5F81">
        <w:rPr>
          <w:rFonts w:asciiTheme="majorHAnsi" w:eastAsia="Times New Roman" w:hAnsiTheme="majorHAnsi" w:cstheme="majorHAnsi"/>
          <w:color w:val="000000"/>
          <w:sz w:val="24"/>
          <w:szCs w:val="24"/>
          <w:lang w:val="ro-MD"/>
        </w:rPr>
        <w:t xml:space="preserve"> atât, la completarea Registrului unic al facilităților fiscale pentru anul 2020,</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valoarea volumul</w:t>
      </w:r>
      <w:r w:rsidR="00480940" w:rsidRPr="00CB5F81">
        <w:rPr>
          <w:rFonts w:asciiTheme="majorHAnsi" w:eastAsia="Times New Roman" w:hAnsiTheme="majorHAnsi" w:cstheme="majorHAnsi"/>
          <w:color w:val="000000"/>
          <w:sz w:val="24"/>
          <w:szCs w:val="24"/>
          <w:lang w:val="ro-MD"/>
        </w:rPr>
        <w:t>ui</w:t>
      </w:r>
      <w:r w:rsidRPr="00CB5F81">
        <w:rPr>
          <w:rFonts w:asciiTheme="majorHAnsi" w:eastAsia="Times New Roman" w:hAnsiTheme="majorHAnsi" w:cstheme="majorHAnsi"/>
          <w:color w:val="000000"/>
          <w:sz w:val="24"/>
          <w:szCs w:val="24"/>
          <w:lang w:val="ro-MD"/>
        </w:rPr>
        <w:t xml:space="preserve"> de alcool etilic scutit de acciz</w:t>
      </w:r>
      <w:r w:rsidR="00480940" w:rsidRPr="00CB5F81">
        <w:rPr>
          <w:rFonts w:asciiTheme="majorHAnsi" w:eastAsia="Times New Roman" w:hAnsiTheme="majorHAnsi" w:cstheme="majorHAnsi"/>
          <w:color w:val="000000"/>
          <w:sz w:val="24"/>
          <w:szCs w:val="24"/>
          <w:lang w:val="ro-MD"/>
        </w:rPr>
        <w:t>e</w:t>
      </w:r>
      <w:r w:rsidRPr="00CB5F81">
        <w:rPr>
          <w:rFonts w:asciiTheme="majorHAnsi" w:eastAsia="Times New Roman" w:hAnsiTheme="majorHAnsi" w:cstheme="majorHAnsi"/>
          <w:color w:val="000000"/>
          <w:sz w:val="24"/>
          <w:szCs w:val="24"/>
          <w:lang w:val="ro-MD"/>
        </w:rPr>
        <w:t xml:space="preserve"> pentru cei trei agenți economici nu a fost agregată, nefiind reflectată</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și raportată M</w:t>
      </w:r>
      <w:r w:rsidR="00DC66D0">
        <w:rPr>
          <w:rFonts w:asciiTheme="majorHAnsi" w:eastAsia="Times New Roman" w:hAnsiTheme="majorHAnsi" w:cstheme="majorHAnsi"/>
          <w:color w:val="000000"/>
          <w:sz w:val="24"/>
          <w:szCs w:val="24"/>
          <w:lang w:val="ro-MD"/>
        </w:rPr>
        <w:t>F</w:t>
      </w:r>
      <w:r w:rsidRPr="00CB5F81">
        <w:rPr>
          <w:rFonts w:asciiTheme="majorHAnsi" w:eastAsia="Times New Roman" w:hAnsiTheme="majorHAnsi" w:cstheme="majorHAnsi"/>
          <w:color w:val="000000"/>
          <w:sz w:val="24"/>
          <w:szCs w:val="24"/>
          <w:lang w:val="ro-MD"/>
        </w:rPr>
        <w:t>. De menționat că în alte situații, când scrisorile adresate  MADRM de către SFS aveau un conținut analogic, datele au stat la baza evidenț</w:t>
      </w:r>
      <w:r w:rsidR="008024D5">
        <w:rPr>
          <w:rFonts w:asciiTheme="majorHAnsi" w:eastAsia="Times New Roman" w:hAnsiTheme="majorHAnsi" w:cstheme="majorHAnsi"/>
          <w:color w:val="000000"/>
          <w:sz w:val="24"/>
          <w:szCs w:val="24"/>
          <w:lang w:val="ro-MD"/>
        </w:rPr>
        <w:t>e</w:t>
      </w:r>
      <w:r w:rsidRPr="00CB5F81">
        <w:rPr>
          <w:rFonts w:asciiTheme="majorHAnsi" w:eastAsia="Times New Roman" w:hAnsiTheme="majorHAnsi" w:cstheme="majorHAnsi"/>
          <w:color w:val="000000"/>
          <w:sz w:val="24"/>
          <w:szCs w:val="24"/>
          <w:lang w:val="ro-MD"/>
        </w:rPr>
        <w:t xml:space="preserve">i și raportării facilității indicate. </w:t>
      </w:r>
    </w:p>
    <w:p w:rsidR="00F7669E" w:rsidRPr="00CB5F81" w:rsidRDefault="003C698A" w:rsidP="00535226">
      <w:pPr>
        <w:pStyle w:val="ListParagraph"/>
        <w:tabs>
          <w:tab w:val="left" w:pos="360"/>
        </w:tabs>
        <w:spacing w:after="120"/>
        <w:ind w:left="0"/>
        <w:contextualSpacing w:val="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Un alt aspect constatat</w:t>
      </w:r>
      <w:r w:rsidR="00480940" w:rsidRPr="00CB5F81">
        <w:rPr>
          <w:rFonts w:asciiTheme="majorHAnsi" w:eastAsia="Times New Roman" w:hAnsiTheme="majorHAnsi" w:cstheme="majorHAnsi"/>
          <w:color w:val="000000"/>
          <w:sz w:val="24"/>
          <w:szCs w:val="24"/>
          <w:lang w:val="ro-MD"/>
        </w:rPr>
        <w:t xml:space="preserve"> de audit</w:t>
      </w:r>
      <w:r w:rsidRPr="00CB5F81">
        <w:rPr>
          <w:rFonts w:asciiTheme="majorHAnsi" w:eastAsia="Times New Roman" w:hAnsiTheme="majorHAnsi" w:cstheme="majorHAnsi"/>
          <w:color w:val="000000"/>
          <w:sz w:val="24"/>
          <w:szCs w:val="24"/>
          <w:lang w:val="ro-MD"/>
        </w:rPr>
        <w:t xml:space="preserve"> </w:t>
      </w:r>
      <w:r w:rsidR="008024D5">
        <w:rPr>
          <w:rFonts w:asciiTheme="majorHAnsi" w:eastAsia="Times New Roman" w:hAnsiTheme="majorHAnsi" w:cstheme="majorHAnsi"/>
          <w:color w:val="000000"/>
          <w:sz w:val="24"/>
          <w:szCs w:val="24"/>
          <w:lang w:val="ro-MD"/>
        </w:rPr>
        <w:t>este</w:t>
      </w:r>
      <w:r w:rsidR="00250E74" w:rsidRPr="00CB5F81">
        <w:rPr>
          <w:rFonts w:asciiTheme="majorHAnsi" w:eastAsia="Times New Roman" w:hAnsiTheme="majorHAnsi" w:cstheme="majorHAnsi"/>
          <w:color w:val="000000"/>
          <w:sz w:val="24"/>
          <w:szCs w:val="24"/>
          <w:lang w:val="ro-MD"/>
        </w:rPr>
        <w:t xml:space="preserve"> că</w:t>
      </w:r>
      <w:r w:rsidR="008024D5">
        <w:rPr>
          <w:rFonts w:asciiTheme="majorHAnsi" w:eastAsia="Times New Roman" w:hAnsiTheme="majorHAnsi" w:cstheme="majorHAnsi"/>
          <w:color w:val="000000"/>
          <w:sz w:val="24"/>
          <w:szCs w:val="24"/>
          <w:lang w:val="ro-MD"/>
        </w:rPr>
        <w:t xml:space="preserve"> </w:t>
      </w:r>
      <w:r w:rsidR="00250E74" w:rsidRPr="00CB5F81">
        <w:rPr>
          <w:rFonts w:asciiTheme="majorHAnsi" w:eastAsia="Times New Roman" w:hAnsiTheme="majorHAnsi" w:cstheme="majorHAnsi"/>
          <w:color w:val="000000"/>
          <w:sz w:val="24"/>
          <w:szCs w:val="24"/>
          <w:lang w:val="ro-MD"/>
        </w:rPr>
        <w:t>SRL „Leonardo Cellars”</w:t>
      </w:r>
      <w:r w:rsidR="008024D5">
        <w:rPr>
          <w:rFonts w:asciiTheme="majorHAnsi" w:eastAsia="Times New Roman" w:hAnsiTheme="majorHAnsi" w:cstheme="majorHAnsi"/>
          <w:color w:val="000000"/>
          <w:sz w:val="24"/>
          <w:szCs w:val="24"/>
          <w:lang w:val="ro-MD"/>
        </w:rPr>
        <w:t>,</w:t>
      </w:r>
      <w:r w:rsidR="00250E74" w:rsidRPr="00CB5F81">
        <w:rPr>
          <w:rFonts w:asciiTheme="majorHAnsi" w:eastAsia="Times New Roman" w:hAnsiTheme="majorHAnsi" w:cstheme="majorHAnsi"/>
          <w:color w:val="000000"/>
          <w:sz w:val="24"/>
          <w:szCs w:val="24"/>
          <w:lang w:val="ro-MD"/>
        </w:rPr>
        <w:t>modific</w:t>
      </w:r>
      <w:r w:rsidR="008024D5">
        <w:rPr>
          <w:rFonts w:asciiTheme="majorHAnsi" w:eastAsia="Times New Roman" w:hAnsiTheme="majorHAnsi" w:cstheme="majorHAnsi"/>
          <w:color w:val="000000"/>
          <w:sz w:val="24"/>
          <w:szCs w:val="24"/>
          <w:lang w:val="ro-MD"/>
        </w:rPr>
        <w:t>ându-și</w:t>
      </w:r>
      <w:r w:rsidR="00250E74" w:rsidRPr="00CB5F81">
        <w:rPr>
          <w:rFonts w:asciiTheme="majorHAnsi" w:eastAsia="Times New Roman" w:hAnsiTheme="majorHAnsi" w:cstheme="majorHAnsi"/>
          <w:color w:val="000000"/>
          <w:sz w:val="24"/>
          <w:szCs w:val="24"/>
          <w:lang w:val="ro-MD"/>
        </w:rPr>
        <w:t xml:space="preserve"> </w:t>
      </w:r>
      <w:r w:rsidR="008024D5" w:rsidRPr="00CB5F81">
        <w:rPr>
          <w:rFonts w:asciiTheme="majorHAnsi" w:eastAsia="Times New Roman" w:hAnsiTheme="majorHAnsi" w:cstheme="majorHAnsi"/>
          <w:color w:val="000000"/>
          <w:sz w:val="24"/>
          <w:szCs w:val="24"/>
          <w:lang w:val="ro-MD"/>
        </w:rPr>
        <w:t>la 07.05.2020</w:t>
      </w:r>
      <w:r w:rsidR="008024D5">
        <w:rPr>
          <w:rFonts w:asciiTheme="majorHAnsi" w:eastAsia="Times New Roman" w:hAnsiTheme="majorHAnsi" w:cstheme="majorHAnsi"/>
          <w:color w:val="000000"/>
          <w:sz w:val="24"/>
          <w:szCs w:val="24"/>
          <w:lang w:val="ro-MD"/>
        </w:rPr>
        <w:t xml:space="preserve"> </w:t>
      </w:r>
      <w:r w:rsidR="00250E74" w:rsidRPr="00CB5F81">
        <w:rPr>
          <w:rFonts w:asciiTheme="majorHAnsi" w:eastAsia="Times New Roman" w:hAnsiTheme="majorHAnsi" w:cstheme="majorHAnsi"/>
          <w:color w:val="000000"/>
          <w:sz w:val="24"/>
          <w:szCs w:val="24"/>
          <w:lang w:val="ro-MD"/>
        </w:rPr>
        <w:t xml:space="preserve">genul de activitate privind fabricarea parfumurilor și produselor cosmetice, </w:t>
      </w:r>
      <w:r w:rsidR="008024D5" w:rsidRPr="00CB5F81">
        <w:rPr>
          <w:rFonts w:asciiTheme="majorHAnsi" w:eastAsia="Times New Roman" w:hAnsiTheme="majorHAnsi" w:cstheme="majorHAnsi"/>
          <w:color w:val="000000"/>
          <w:sz w:val="24"/>
          <w:szCs w:val="24"/>
          <w:lang w:val="ro-MD"/>
        </w:rPr>
        <w:t xml:space="preserve">deja </w:t>
      </w:r>
      <w:r w:rsidRPr="00CB5F81">
        <w:rPr>
          <w:rFonts w:asciiTheme="majorHAnsi" w:eastAsia="Times New Roman" w:hAnsiTheme="majorHAnsi" w:cstheme="majorHAnsi"/>
          <w:color w:val="000000"/>
          <w:sz w:val="24"/>
          <w:szCs w:val="24"/>
          <w:lang w:val="ro-MD"/>
        </w:rPr>
        <w:t>în următoarea zi</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w:t>
      </w:r>
      <w:r w:rsidR="00250E74" w:rsidRPr="00CB5F81">
        <w:rPr>
          <w:rFonts w:asciiTheme="majorHAnsi" w:eastAsia="Times New Roman" w:hAnsiTheme="majorHAnsi" w:cstheme="majorHAnsi"/>
          <w:color w:val="000000"/>
          <w:sz w:val="24"/>
          <w:szCs w:val="24"/>
          <w:lang w:val="ro-MD"/>
        </w:rPr>
        <w:t>08.05.</w:t>
      </w:r>
      <w:r w:rsidR="00AF1445" w:rsidRPr="00CB5F81">
        <w:rPr>
          <w:rFonts w:asciiTheme="majorHAnsi" w:eastAsia="Times New Roman" w:hAnsiTheme="majorHAnsi" w:cstheme="majorHAnsi"/>
          <w:color w:val="000000"/>
          <w:sz w:val="24"/>
          <w:szCs w:val="24"/>
          <w:lang w:val="ro-MD"/>
        </w:rPr>
        <w:t>2</w:t>
      </w:r>
      <w:r w:rsidR="00250E74" w:rsidRPr="00CB5F81">
        <w:rPr>
          <w:rFonts w:asciiTheme="majorHAnsi" w:eastAsia="Times New Roman" w:hAnsiTheme="majorHAnsi" w:cstheme="majorHAnsi"/>
          <w:color w:val="000000"/>
          <w:sz w:val="24"/>
          <w:szCs w:val="24"/>
          <w:lang w:val="ro-MD"/>
        </w:rPr>
        <w:t>020</w:t>
      </w:r>
      <w:r w:rsidRPr="00CB5F81">
        <w:rPr>
          <w:rFonts w:asciiTheme="majorHAnsi" w:eastAsia="Times New Roman" w:hAnsiTheme="majorHAnsi" w:cstheme="majorHAnsi"/>
          <w:color w:val="000000"/>
          <w:sz w:val="24"/>
          <w:szCs w:val="24"/>
          <w:lang w:val="ro-MD"/>
        </w:rPr>
        <w:t>)</w:t>
      </w:r>
      <w:r w:rsidR="00250E74" w:rsidRPr="00CB5F81">
        <w:rPr>
          <w:rFonts w:asciiTheme="majorHAnsi" w:eastAsia="Times New Roman" w:hAnsiTheme="majorHAnsi" w:cstheme="majorHAnsi"/>
          <w:color w:val="000000"/>
          <w:sz w:val="24"/>
          <w:szCs w:val="24"/>
          <w:lang w:val="ro-MD"/>
        </w:rPr>
        <w:t xml:space="preserve"> </w:t>
      </w:r>
      <w:r w:rsidR="008024D5">
        <w:rPr>
          <w:rFonts w:asciiTheme="majorHAnsi" w:eastAsia="Times New Roman" w:hAnsiTheme="majorHAnsi" w:cstheme="majorHAnsi"/>
          <w:color w:val="000000"/>
          <w:sz w:val="24"/>
          <w:szCs w:val="24"/>
          <w:lang w:val="ro-MD"/>
        </w:rPr>
        <w:t>i s-a</w:t>
      </w:r>
      <w:r w:rsidR="00250E74" w:rsidRPr="00CB5F81">
        <w:rPr>
          <w:rFonts w:asciiTheme="majorHAnsi" w:eastAsia="Times New Roman" w:hAnsiTheme="majorHAnsi" w:cstheme="majorHAnsi"/>
          <w:color w:val="000000"/>
          <w:sz w:val="24"/>
          <w:szCs w:val="24"/>
          <w:lang w:val="ro-MD"/>
        </w:rPr>
        <w:t xml:space="preserve"> acordat dreptul la scutire în valoare de 10,0 mil</w:t>
      </w:r>
      <w:r w:rsidR="00AF1445" w:rsidRPr="00CB5F81">
        <w:rPr>
          <w:rFonts w:asciiTheme="majorHAnsi" w:eastAsia="Times New Roman" w:hAnsiTheme="majorHAnsi" w:cstheme="majorHAnsi"/>
          <w:color w:val="000000"/>
          <w:sz w:val="24"/>
          <w:szCs w:val="24"/>
          <w:lang w:val="ro-MD"/>
        </w:rPr>
        <w:t>.</w:t>
      </w:r>
      <w:r w:rsidR="00250E74" w:rsidRPr="00CB5F81">
        <w:rPr>
          <w:rFonts w:asciiTheme="majorHAnsi" w:eastAsia="Times New Roman" w:hAnsiTheme="majorHAnsi" w:cstheme="majorHAnsi"/>
          <w:color w:val="000000"/>
          <w:sz w:val="24"/>
          <w:szCs w:val="24"/>
          <w:lang w:val="ro-MD"/>
        </w:rPr>
        <w:t xml:space="preserve"> lei. Până la ace</w:t>
      </w:r>
      <w:r w:rsidR="00480940" w:rsidRPr="00CB5F81">
        <w:rPr>
          <w:rFonts w:asciiTheme="majorHAnsi" w:eastAsia="Times New Roman" w:hAnsiTheme="majorHAnsi" w:cstheme="majorHAnsi"/>
          <w:color w:val="000000"/>
          <w:sz w:val="24"/>
          <w:szCs w:val="24"/>
          <w:lang w:val="ro-MD"/>
        </w:rPr>
        <w:t>a</w:t>
      </w:r>
      <w:r w:rsidR="00250E74" w:rsidRPr="00CB5F81">
        <w:rPr>
          <w:rFonts w:asciiTheme="majorHAnsi" w:eastAsia="Times New Roman" w:hAnsiTheme="majorHAnsi" w:cstheme="majorHAnsi"/>
          <w:color w:val="000000"/>
          <w:sz w:val="24"/>
          <w:szCs w:val="24"/>
          <w:lang w:val="ro-MD"/>
        </w:rPr>
        <w:t>stă dată contribuabil</w:t>
      </w:r>
      <w:r w:rsidR="00480940" w:rsidRPr="00CB5F81">
        <w:rPr>
          <w:rFonts w:asciiTheme="majorHAnsi" w:eastAsia="Times New Roman" w:hAnsiTheme="majorHAnsi" w:cstheme="majorHAnsi"/>
          <w:color w:val="000000"/>
          <w:sz w:val="24"/>
          <w:szCs w:val="24"/>
          <w:lang w:val="ro-MD"/>
        </w:rPr>
        <w:t>ul</w:t>
      </w:r>
      <w:r w:rsidR="00250E74" w:rsidRPr="00CB5F81">
        <w:rPr>
          <w:rFonts w:asciiTheme="majorHAnsi" w:eastAsia="Times New Roman" w:hAnsiTheme="majorHAnsi" w:cstheme="majorHAnsi"/>
          <w:color w:val="000000"/>
          <w:sz w:val="24"/>
          <w:szCs w:val="24"/>
          <w:lang w:val="ro-MD"/>
        </w:rPr>
        <w:t xml:space="preserve"> </w:t>
      </w:r>
      <w:r w:rsidR="00480940" w:rsidRPr="00CB5F81">
        <w:rPr>
          <w:rFonts w:asciiTheme="majorHAnsi" w:eastAsia="Times New Roman" w:hAnsiTheme="majorHAnsi" w:cstheme="majorHAnsi"/>
          <w:color w:val="000000"/>
          <w:sz w:val="24"/>
          <w:szCs w:val="24"/>
          <w:lang w:val="ro-MD"/>
        </w:rPr>
        <w:t xml:space="preserve">respectiv </w:t>
      </w:r>
      <w:r w:rsidR="00250E74" w:rsidRPr="00CB5F81">
        <w:rPr>
          <w:rFonts w:asciiTheme="majorHAnsi" w:eastAsia="Times New Roman" w:hAnsiTheme="majorHAnsi" w:cstheme="majorHAnsi"/>
          <w:color w:val="000000"/>
          <w:sz w:val="24"/>
          <w:szCs w:val="24"/>
          <w:lang w:val="ro-MD"/>
        </w:rPr>
        <w:t>practica activități de producere a băuturilor alcoolice de diferite tipuri, fiind afiliat unui grup de contribuabili care practică activități privind fabricarea alcoolului etilic și băuturilor alcoolice</w:t>
      </w:r>
      <w:r w:rsidR="00F7669E" w:rsidRPr="00CB5F81">
        <w:rPr>
          <w:rFonts w:asciiTheme="majorHAnsi" w:eastAsia="Times New Roman" w:hAnsiTheme="majorHAnsi" w:cstheme="majorHAnsi"/>
          <w:color w:val="000000"/>
          <w:sz w:val="24"/>
          <w:szCs w:val="24"/>
          <w:lang w:val="ro-MD"/>
        </w:rPr>
        <w:t>.</w:t>
      </w:r>
      <w:r w:rsidR="00EC1EAF">
        <w:rPr>
          <w:rFonts w:asciiTheme="majorHAnsi" w:eastAsia="Times New Roman" w:hAnsiTheme="majorHAnsi" w:cstheme="majorHAnsi"/>
          <w:color w:val="000000"/>
          <w:sz w:val="24"/>
          <w:szCs w:val="24"/>
          <w:lang w:val="ro-MD"/>
        </w:rPr>
        <w:t xml:space="preserve"> </w:t>
      </w:r>
      <w:r w:rsidR="00F7669E" w:rsidRPr="00CB5F81">
        <w:rPr>
          <w:rFonts w:asciiTheme="majorHAnsi" w:eastAsia="Times New Roman" w:hAnsiTheme="majorHAnsi" w:cstheme="majorHAnsi"/>
          <w:color w:val="000000"/>
          <w:sz w:val="24"/>
          <w:szCs w:val="24"/>
          <w:lang w:val="ro-MD"/>
        </w:rPr>
        <w:t>Potrivit informației prezentate de SFS</w:t>
      </w:r>
      <w:r w:rsidR="00E32CD7" w:rsidRPr="00CB5F81">
        <w:rPr>
          <w:rFonts w:asciiTheme="majorHAnsi" w:eastAsia="Times New Roman" w:hAnsiTheme="majorHAnsi" w:cstheme="majorHAnsi"/>
          <w:color w:val="000000"/>
          <w:sz w:val="24"/>
          <w:szCs w:val="24"/>
          <w:lang w:val="ro-MD"/>
        </w:rPr>
        <w:t>,</w:t>
      </w:r>
      <w:r w:rsidR="00F7669E" w:rsidRPr="00CB5F81">
        <w:rPr>
          <w:rFonts w:asciiTheme="majorHAnsi" w:eastAsia="Times New Roman" w:hAnsiTheme="majorHAnsi" w:cstheme="majorHAnsi"/>
          <w:color w:val="000000"/>
          <w:sz w:val="24"/>
          <w:szCs w:val="24"/>
          <w:lang w:val="ro-MD"/>
        </w:rPr>
        <w:t xml:space="preserve"> </w:t>
      </w:r>
      <w:r w:rsidR="00CF3AE4" w:rsidRPr="00CB5F81">
        <w:rPr>
          <w:rFonts w:asciiTheme="majorHAnsi" w:eastAsia="Times New Roman" w:hAnsiTheme="majorHAnsi" w:cstheme="majorHAnsi"/>
          <w:color w:val="000000"/>
          <w:sz w:val="24"/>
          <w:szCs w:val="24"/>
          <w:lang w:val="ro-MD"/>
        </w:rPr>
        <w:t xml:space="preserve">în baza unui </w:t>
      </w:r>
      <w:r w:rsidR="00F7669E" w:rsidRPr="00426E0E">
        <w:rPr>
          <w:rFonts w:asciiTheme="majorHAnsi" w:eastAsia="Times New Roman" w:hAnsiTheme="majorHAnsi" w:cstheme="majorHAnsi"/>
          <w:color w:val="000000"/>
          <w:sz w:val="24"/>
          <w:szCs w:val="24"/>
          <w:lang w:val="ro-MD"/>
        </w:rPr>
        <w:t xml:space="preserve">contract </w:t>
      </w:r>
      <w:r w:rsidR="0089781D" w:rsidRPr="00426E0E">
        <w:rPr>
          <w:rFonts w:asciiTheme="majorHAnsi" w:eastAsia="Times New Roman" w:hAnsiTheme="majorHAnsi" w:cstheme="majorHAnsi"/>
          <w:color w:val="000000"/>
          <w:sz w:val="24"/>
          <w:szCs w:val="24"/>
          <w:lang w:val="ro-MD"/>
        </w:rPr>
        <w:t xml:space="preserve"> încheiat cu una din</w:t>
      </w:r>
      <w:r w:rsidR="008024D5">
        <w:rPr>
          <w:rFonts w:asciiTheme="majorHAnsi" w:eastAsia="Times New Roman" w:hAnsiTheme="majorHAnsi" w:cstheme="majorHAnsi"/>
          <w:color w:val="000000"/>
          <w:sz w:val="24"/>
          <w:szCs w:val="24"/>
          <w:lang w:val="ro-MD"/>
        </w:rPr>
        <w:t>tre</w:t>
      </w:r>
      <w:r w:rsidR="0089781D" w:rsidRPr="00426E0E">
        <w:rPr>
          <w:rFonts w:asciiTheme="majorHAnsi" w:eastAsia="Times New Roman" w:hAnsiTheme="majorHAnsi" w:cstheme="majorHAnsi"/>
          <w:color w:val="000000"/>
          <w:sz w:val="24"/>
          <w:szCs w:val="24"/>
          <w:lang w:val="ro-MD"/>
        </w:rPr>
        <w:t xml:space="preserve"> firmele afiliate,  </w:t>
      </w:r>
      <w:r w:rsidR="00E32CD7" w:rsidRPr="00426E0E">
        <w:rPr>
          <w:rFonts w:asciiTheme="majorHAnsi" w:eastAsia="Times New Roman" w:hAnsiTheme="majorHAnsi" w:cstheme="majorHAnsi"/>
          <w:color w:val="000000"/>
          <w:sz w:val="24"/>
          <w:szCs w:val="24"/>
          <w:lang w:val="ro-MD"/>
        </w:rPr>
        <w:t>SRL „Leonardo Cellars”</w:t>
      </w:r>
      <w:r w:rsidR="00EC1EAF" w:rsidRPr="00426E0E">
        <w:rPr>
          <w:rFonts w:asciiTheme="majorHAnsi" w:eastAsia="Times New Roman" w:hAnsiTheme="majorHAnsi" w:cstheme="majorHAnsi"/>
          <w:color w:val="000000"/>
          <w:sz w:val="24"/>
          <w:szCs w:val="24"/>
          <w:lang w:val="ro-MD"/>
        </w:rPr>
        <w:t xml:space="preserve"> </w:t>
      </w:r>
      <w:r w:rsidR="00CF3AE4" w:rsidRPr="00426E0E">
        <w:rPr>
          <w:rFonts w:asciiTheme="majorHAnsi" w:eastAsia="Times New Roman" w:hAnsiTheme="majorHAnsi" w:cstheme="majorHAnsi"/>
          <w:color w:val="000000"/>
          <w:sz w:val="24"/>
          <w:szCs w:val="24"/>
          <w:lang w:val="ro-MD"/>
        </w:rPr>
        <w:t>a îmbuteliat</w:t>
      </w:r>
      <w:r w:rsidR="00EC1EAF" w:rsidRPr="00426E0E">
        <w:rPr>
          <w:rFonts w:asciiTheme="majorHAnsi" w:eastAsia="Times New Roman" w:hAnsiTheme="majorHAnsi" w:cstheme="majorHAnsi"/>
          <w:color w:val="000000"/>
          <w:sz w:val="24"/>
          <w:szCs w:val="24"/>
          <w:lang w:val="ro-MD"/>
        </w:rPr>
        <w:t xml:space="preserve"> </w:t>
      </w:r>
      <w:r w:rsidR="00CF3AE4" w:rsidRPr="00426E0E">
        <w:rPr>
          <w:rFonts w:asciiTheme="majorHAnsi" w:eastAsia="Times New Roman" w:hAnsiTheme="majorHAnsi" w:cstheme="majorHAnsi"/>
          <w:color w:val="000000"/>
          <w:sz w:val="24"/>
          <w:szCs w:val="24"/>
          <w:lang w:val="ro-MD"/>
        </w:rPr>
        <w:t xml:space="preserve">și </w:t>
      </w:r>
      <w:r w:rsidR="00480940" w:rsidRPr="00426E0E">
        <w:rPr>
          <w:rFonts w:asciiTheme="majorHAnsi" w:eastAsia="Times New Roman" w:hAnsiTheme="majorHAnsi" w:cstheme="majorHAnsi"/>
          <w:color w:val="000000"/>
          <w:sz w:val="24"/>
          <w:szCs w:val="24"/>
          <w:lang w:val="ro-MD"/>
        </w:rPr>
        <w:t xml:space="preserve">a </w:t>
      </w:r>
      <w:r w:rsidR="00CF3AE4" w:rsidRPr="00426E0E">
        <w:rPr>
          <w:rFonts w:asciiTheme="majorHAnsi" w:eastAsia="Times New Roman" w:hAnsiTheme="majorHAnsi" w:cstheme="majorHAnsi"/>
          <w:color w:val="000000"/>
          <w:sz w:val="24"/>
          <w:szCs w:val="24"/>
          <w:lang w:val="ro-MD"/>
        </w:rPr>
        <w:t>produs dezinfectanți.</w:t>
      </w:r>
      <w:r w:rsidR="00EC1EAF" w:rsidRPr="00426E0E">
        <w:rPr>
          <w:rFonts w:asciiTheme="majorHAnsi" w:eastAsia="Times New Roman" w:hAnsiTheme="majorHAnsi" w:cstheme="majorHAnsi"/>
          <w:color w:val="000000"/>
          <w:sz w:val="24"/>
          <w:szCs w:val="24"/>
          <w:lang w:val="ro-MD"/>
        </w:rPr>
        <w:t xml:space="preserve"> </w:t>
      </w:r>
      <w:r w:rsidR="00B13092" w:rsidRPr="00426E0E">
        <w:rPr>
          <w:rFonts w:asciiTheme="majorHAnsi" w:eastAsia="Times New Roman" w:hAnsiTheme="majorHAnsi" w:cstheme="majorHAnsi"/>
          <w:color w:val="000000"/>
          <w:sz w:val="24"/>
          <w:szCs w:val="24"/>
          <w:lang w:val="ro-MD"/>
        </w:rPr>
        <w:t>La fel, în anul 2021,</w:t>
      </w:r>
      <w:r w:rsidR="00EC1EAF" w:rsidRPr="00426E0E">
        <w:rPr>
          <w:rFonts w:asciiTheme="majorHAnsi" w:eastAsia="Times New Roman" w:hAnsiTheme="majorHAnsi" w:cstheme="majorHAnsi"/>
          <w:color w:val="000000"/>
          <w:sz w:val="24"/>
          <w:szCs w:val="24"/>
          <w:lang w:val="ro-MD"/>
        </w:rPr>
        <w:t xml:space="preserve"> </w:t>
      </w:r>
      <w:r w:rsidR="00B13092" w:rsidRPr="00426E0E">
        <w:rPr>
          <w:rFonts w:asciiTheme="majorHAnsi" w:eastAsia="Times New Roman" w:hAnsiTheme="majorHAnsi" w:cstheme="majorHAnsi"/>
          <w:color w:val="000000"/>
          <w:sz w:val="24"/>
          <w:szCs w:val="24"/>
          <w:lang w:val="ro-MD"/>
        </w:rPr>
        <w:t>prin scrisoarea MAIA</w:t>
      </w:r>
      <w:r w:rsidR="00B13092" w:rsidRPr="00426E0E">
        <w:rPr>
          <w:rStyle w:val="FootnoteReference"/>
          <w:rFonts w:asciiTheme="majorHAnsi" w:eastAsia="Times New Roman" w:hAnsiTheme="majorHAnsi" w:cstheme="majorHAnsi"/>
          <w:color w:val="000000"/>
          <w:sz w:val="24"/>
          <w:szCs w:val="24"/>
          <w:lang w:val="ro-MD"/>
        </w:rPr>
        <w:footnoteReference w:id="54"/>
      </w:r>
      <w:r w:rsidR="008024D5">
        <w:rPr>
          <w:rFonts w:asciiTheme="majorHAnsi" w:eastAsia="Times New Roman" w:hAnsiTheme="majorHAnsi" w:cstheme="majorHAnsi"/>
          <w:color w:val="000000"/>
          <w:sz w:val="24"/>
          <w:szCs w:val="24"/>
          <w:lang w:val="ro-MD"/>
        </w:rPr>
        <w:t>,</w:t>
      </w:r>
      <w:r w:rsidR="00B13092" w:rsidRPr="00426E0E">
        <w:rPr>
          <w:rFonts w:asciiTheme="majorHAnsi" w:eastAsia="Times New Roman" w:hAnsiTheme="majorHAnsi" w:cstheme="majorHAnsi"/>
          <w:color w:val="000000"/>
          <w:sz w:val="24"/>
          <w:szCs w:val="24"/>
          <w:lang w:val="ro-MD"/>
        </w:rPr>
        <w:t xml:space="preserve"> s-a</w:t>
      </w:r>
      <w:r w:rsidR="00421B9A">
        <w:rPr>
          <w:rFonts w:asciiTheme="majorHAnsi" w:eastAsia="Times New Roman" w:hAnsiTheme="majorHAnsi" w:cstheme="majorHAnsi"/>
          <w:color w:val="000000"/>
          <w:sz w:val="24"/>
          <w:szCs w:val="24"/>
          <w:lang w:val="ro-MD"/>
        </w:rPr>
        <w:t>u</w:t>
      </w:r>
      <w:r w:rsidR="00B13092" w:rsidRPr="00426E0E">
        <w:rPr>
          <w:rFonts w:asciiTheme="majorHAnsi" w:eastAsia="Times New Roman" w:hAnsiTheme="majorHAnsi" w:cstheme="majorHAnsi"/>
          <w:color w:val="000000"/>
          <w:sz w:val="24"/>
          <w:szCs w:val="24"/>
          <w:lang w:val="ro-MD"/>
        </w:rPr>
        <w:t xml:space="preserve"> acordat scutiri acestui </w:t>
      </w:r>
      <w:r w:rsidR="001E064D" w:rsidRPr="00426E0E">
        <w:rPr>
          <w:rFonts w:asciiTheme="majorHAnsi" w:eastAsia="Times New Roman" w:hAnsiTheme="majorHAnsi" w:cstheme="majorHAnsi"/>
          <w:color w:val="000000"/>
          <w:sz w:val="24"/>
          <w:szCs w:val="24"/>
          <w:lang w:val="ro-MD"/>
        </w:rPr>
        <w:t>agent economic în valoare de 8,0</w:t>
      </w:r>
      <w:r w:rsidR="00B13092" w:rsidRPr="00CB5F81">
        <w:rPr>
          <w:rFonts w:asciiTheme="majorHAnsi" w:eastAsia="Times New Roman" w:hAnsiTheme="majorHAnsi" w:cstheme="majorHAnsi"/>
          <w:color w:val="000000"/>
          <w:sz w:val="24"/>
          <w:szCs w:val="24"/>
          <w:lang w:val="ro-MD"/>
        </w:rPr>
        <w:t xml:space="preserve"> mil. lei, coordonate </w:t>
      </w:r>
      <w:r w:rsidR="00480940" w:rsidRPr="00CB5F81">
        <w:rPr>
          <w:rFonts w:asciiTheme="majorHAnsi" w:eastAsia="Times New Roman" w:hAnsiTheme="majorHAnsi" w:cstheme="majorHAnsi"/>
          <w:color w:val="000000"/>
          <w:sz w:val="24"/>
          <w:szCs w:val="24"/>
          <w:lang w:val="ro-MD"/>
        </w:rPr>
        <w:t xml:space="preserve">cu </w:t>
      </w:r>
      <w:r w:rsidR="00B13092" w:rsidRPr="00CB5F81">
        <w:rPr>
          <w:rFonts w:asciiTheme="majorHAnsi" w:eastAsia="Times New Roman" w:hAnsiTheme="majorHAnsi" w:cstheme="majorHAnsi"/>
          <w:color w:val="000000"/>
          <w:sz w:val="24"/>
          <w:szCs w:val="24"/>
          <w:lang w:val="ro-MD"/>
        </w:rPr>
        <w:t xml:space="preserve">SFS. </w:t>
      </w:r>
    </w:p>
    <w:p w:rsidR="00FF48F0" w:rsidRPr="00CB5F81" w:rsidRDefault="00FF48F0" w:rsidP="00535226">
      <w:pPr>
        <w:pStyle w:val="ListParagraph"/>
        <w:tabs>
          <w:tab w:val="left" w:pos="360"/>
        </w:tabs>
        <w:spacing w:after="120"/>
        <w:ind w:left="0"/>
        <w:contextualSpacing w:val="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 xml:space="preserve">Merită de menționat </w:t>
      </w:r>
      <w:r w:rsidR="00421B9A">
        <w:rPr>
          <w:rFonts w:asciiTheme="majorHAnsi" w:eastAsia="Times New Roman" w:hAnsiTheme="majorHAnsi" w:cstheme="majorHAnsi"/>
          <w:color w:val="000000"/>
          <w:sz w:val="24"/>
          <w:szCs w:val="24"/>
          <w:lang w:val="ro-MD"/>
        </w:rPr>
        <w:t xml:space="preserve">faptul </w:t>
      </w:r>
      <w:r w:rsidRPr="00CB5F81">
        <w:rPr>
          <w:rFonts w:asciiTheme="majorHAnsi" w:eastAsia="Times New Roman" w:hAnsiTheme="majorHAnsi" w:cstheme="majorHAnsi"/>
          <w:color w:val="000000"/>
          <w:sz w:val="24"/>
          <w:szCs w:val="24"/>
          <w:lang w:val="ro-MD"/>
        </w:rPr>
        <w:t xml:space="preserve">că </w:t>
      </w:r>
      <w:r w:rsidRPr="00426E0E">
        <w:rPr>
          <w:rFonts w:asciiTheme="majorHAnsi" w:eastAsia="Times New Roman" w:hAnsiTheme="majorHAnsi" w:cstheme="majorHAnsi"/>
          <w:color w:val="000000"/>
          <w:sz w:val="24"/>
          <w:szCs w:val="24"/>
          <w:lang w:val="ro-MD"/>
        </w:rPr>
        <w:t>agent</w:t>
      </w:r>
      <w:r w:rsidR="004B7413" w:rsidRPr="00426E0E">
        <w:rPr>
          <w:rFonts w:asciiTheme="majorHAnsi" w:eastAsia="Times New Roman" w:hAnsiTheme="majorHAnsi" w:cstheme="majorHAnsi"/>
          <w:color w:val="000000"/>
          <w:sz w:val="24"/>
          <w:szCs w:val="24"/>
          <w:lang w:val="ro-MD"/>
        </w:rPr>
        <w:t>ului</w:t>
      </w:r>
      <w:r w:rsidRPr="00426E0E">
        <w:rPr>
          <w:rFonts w:asciiTheme="majorHAnsi" w:eastAsia="Times New Roman" w:hAnsiTheme="majorHAnsi" w:cstheme="majorHAnsi"/>
          <w:color w:val="000000"/>
          <w:sz w:val="24"/>
          <w:szCs w:val="24"/>
          <w:lang w:val="ro-MD"/>
        </w:rPr>
        <w:t xml:space="preserve"> economic</w:t>
      </w:r>
      <w:r w:rsidR="004B7413" w:rsidRPr="00426E0E">
        <w:rPr>
          <w:rFonts w:asciiTheme="majorHAnsi" w:eastAsia="Times New Roman" w:hAnsiTheme="majorHAnsi" w:cstheme="majorHAnsi"/>
          <w:color w:val="000000"/>
          <w:sz w:val="24"/>
          <w:szCs w:val="24"/>
          <w:lang w:val="ro-MD"/>
        </w:rPr>
        <w:t xml:space="preserve"> vizat</w:t>
      </w:r>
      <w:r w:rsidRPr="00426E0E">
        <w:rPr>
          <w:rFonts w:asciiTheme="majorHAnsi" w:eastAsia="Times New Roman" w:hAnsiTheme="majorHAnsi" w:cstheme="majorHAnsi"/>
          <w:color w:val="000000"/>
          <w:sz w:val="24"/>
          <w:szCs w:val="24"/>
          <w:lang w:val="ro-MD"/>
        </w:rPr>
        <w:t xml:space="preserve"> </w:t>
      </w:r>
      <w:r w:rsidR="00B13092" w:rsidRPr="00426E0E">
        <w:rPr>
          <w:rFonts w:asciiTheme="majorHAnsi" w:eastAsia="Times New Roman" w:hAnsiTheme="majorHAnsi" w:cstheme="majorHAnsi"/>
          <w:color w:val="000000"/>
          <w:sz w:val="24"/>
          <w:szCs w:val="24"/>
          <w:lang w:val="ro-MD"/>
        </w:rPr>
        <w:t>i s-</w:t>
      </w:r>
      <w:r w:rsidRPr="00426E0E">
        <w:rPr>
          <w:rFonts w:asciiTheme="majorHAnsi" w:eastAsia="Times New Roman" w:hAnsiTheme="majorHAnsi" w:cstheme="majorHAnsi"/>
          <w:color w:val="000000"/>
          <w:sz w:val="24"/>
          <w:szCs w:val="24"/>
          <w:lang w:val="ro-MD"/>
        </w:rPr>
        <w:t>a</w:t>
      </w:r>
      <w:r w:rsidR="009D1DAE" w:rsidRPr="00426E0E">
        <w:rPr>
          <w:rFonts w:asciiTheme="majorHAnsi" w:eastAsia="Times New Roman" w:hAnsiTheme="majorHAnsi" w:cstheme="majorHAnsi"/>
          <w:color w:val="000000"/>
          <w:sz w:val="24"/>
          <w:szCs w:val="24"/>
          <w:lang w:val="ro-MD"/>
        </w:rPr>
        <w:t>u</w:t>
      </w:r>
      <w:r w:rsidRPr="00426E0E">
        <w:rPr>
          <w:rFonts w:asciiTheme="majorHAnsi" w:eastAsia="Times New Roman" w:hAnsiTheme="majorHAnsi" w:cstheme="majorHAnsi"/>
          <w:color w:val="000000"/>
          <w:sz w:val="24"/>
          <w:szCs w:val="24"/>
          <w:lang w:val="ro-MD"/>
        </w:rPr>
        <w:t xml:space="preserve"> </w:t>
      </w:r>
      <w:r w:rsidR="00B13092" w:rsidRPr="00426E0E">
        <w:rPr>
          <w:rFonts w:asciiTheme="majorHAnsi" w:eastAsia="Times New Roman" w:hAnsiTheme="majorHAnsi" w:cstheme="majorHAnsi"/>
          <w:color w:val="000000"/>
          <w:sz w:val="24"/>
          <w:szCs w:val="24"/>
          <w:lang w:val="ro-MD"/>
        </w:rPr>
        <w:t xml:space="preserve">acordat </w:t>
      </w:r>
      <w:r w:rsidR="0057722E" w:rsidRPr="00426E0E">
        <w:rPr>
          <w:rFonts w:asciiTheme="majorHAnsi" w:eastAsia="Times New Roman" w:hAnsiTheme="majorHAnsi" w:cstheme="majorHAnsi"/>
          <w:color w:val="000000"/>
          <w:sz w:val="24"/>
          <w:szCs w:val="24"/>
          <w:lang w:val="ro-MD"/>
        </w:rPr>
        <w:t>înlesniri</w:t>
      </w:r>
      <w:r w:rsidR="00B13092" w:rsidRPr="00426E0E">
        <w:rPr>
          <w:rFonts w:asciiTheme="majorHAnsi" w:eastAsia="Times New Roman" w:hAnsiTheme="majorHAnsi" w:cstheme="majorHAnsi"/>
          <w:color w:val="000000"/>
          <w:sz w:val="24"/>
          <w:szCs w:val="24"/>
          <w:lang w:val="ro-MD"/>
        </w:rPr>
        <w:t xml:space="preserve"> </w:t>
      </w:r>
      <w:r w:rsidRPr="00426E0E">
        <w:rPr>
          <w:rFonts w:asciiTheme="majorHAnsi" w:eastAsia="Times New Roman" w:hAnsiTheme="majorHAnsi" w:cstheme="majorHAnsi"/>
          <w:color w:val="000000"/>
          <w:sz w:val="24"/>
          <w:szCs w:val="24"/>
          <w:lang w:val="ro-MD"/>
        </w:rPr>
        <w:t xml:space="preserve">în pofida faptului </w:t>
      </w:r>
      <w:r w:rsidR="0057722E" w:rsidRPr="00426E0E">
        <w:rPr>
          <w:rFonts w:asciiTheme="majorHAnsi" w:eastAsia="Times New Roman" w:hAnsiTheme="majorHAnsi" w:cstheme="majorHAnsi"/>
          <w:color w:val="000000"/>
          <w:sz w:val="24"/>
          <w:szCs w:val="24"/>
          <w:lang w:val="ro-MD"/>
        </w:rPr>
        <w:t xml:space="preserve">că </w:t>
      </w:r>
      <w:r w:rsidR="004B7413" w:rsidRPr="00426E0E">
        <w:rPr>
          <w:rFonts w:asciiTheme="majorHAnsi" w:eastAsia="Times New Roman" w:hAnsiTheme="majorHAnsi" w:cstheme="majorHAnsi"/>
          <w:color w:val="000000"/>
          <w:sz w:val="24"/>
          <w:szCs w:val="24"/>
          <w:lang w:val="ro-MD"/>
        </w:rPr>
        <w:t xml:space="preserve">acesta </w:t>
      </w:r>
      <w:r w:rsidR="0057722E" w:rsidRPr="00426E0E">
        <w:rPr>
          <w:rFonts w:asciiTheme="majorHAnsi" w:eastAsia="Times New Roman" w:hAnsiTheme="majorHAnsi" w:cstheme="majorHAnsi"/>
          <w:color w:val="000000"/>
          <w:sz w:val="24"/>
          <w:szCs w:val="24"/>
          <w:lang w:val="ro-MD"/>
        </w:rPr>
        <w:t>trei ani la rând</w:t>
      </w:r>
      <w:r w:rsidR="00EC1EAF" w:rsidRPr="00426E0E">
        <w:rPr>
          <w:rFonts w:asciiTheme="majorHAnsi" w:eastAsia="Times New Roman" w:hAnsiTheme="majorHAnsi" w:cstheme="majorHAnsi"/>
          <w:color w:val="000000"/>
          <w:sz w:val="24"/>
          <w:szCs w:val="24"/>
          <w:lang w:val="ro-MD"/>
        </w:rPr>
        <w:t xml:space="preserve"> </w:t>
      </w:r>
      <w:r w:rsidR="0057722E" w:rsidRPr="00426E0E">
        <w:rPr>
          <w:rFonts w:asciiTheme="majorHAnsi" w:eastAsia="Times New Roman" w:hAnsiTheme="majorHAnsi" w:cstheme="majorHAnsi"/>
          <w:color w:val="000000"/>
          <w:sz w:val="24"/>
          <w:szCs w:val="24"/>
          <w:lang w:val="ro-MD"/>
        </w:rPr>
        <w:t>(2017</w:t>
      </w:r>
      <w:r w:rsidR="00480940" w:rsidRPr="00426E0E">
        <w:rPr>
          <w:rFonts w:asciiTheme="majorHAnsi" w:eastAsia="Times New Roman" w:hAnsiTheme="majorHAnsi" w:cstheme="majorHAnsi"/>
          <w:color w:val="000000"/>
          <w:sz w:val="24"/>
          <w:szCs w:val="24"/>
          <w:lang w:val="ro-MD"/>
        </w:rPr>
        <w:t xml:space="preserve">, 2018, </w:t>
      </w:r>
      <w:r w:rsidR="0057722E" w:rsidRPr="00426E0E">
        <w:rPr>
          <w:rFonts w:asciiTheme="majorHAnsi" w:eastAsia="Times New Roman" w:hAnsiTheme="majorHAnsi" w:cstheme="majorHAnsi"/>
          <w:color w:val="000000"/>
          <w:sz w:val="24"/>
          <w:szCs w:val="24"/>
          <w:lang w:val="ro-MD"/>
        </w:rPr>
        <w:t xml:space="preserve">2019) </w:t>
      </w:r>
      <w:r w:rsidR="00250E74" w:rsidRPr="00426E0E">
        <w:rPr>
          <w:rFonts w:asciiTheme="majorHAnsi" w:eastAsia="Times New Roman" w:hAnsiTheme="majorHAnsi" w:cstheme="majorHAnsi"/>
          <w:color w:val="000000"/>
          <w:sz w:val="24"/>
          <w:szCs w:val="24"/>
          <w:lang w:val="ro-MD"/>
        </w:rPr>
        <w:t>înregistra</w:t>
      </w:r>
      <w:r w:rsidR="00250E74" w:rsidRPr="00CB5F81">
        <w:rPr>
          <w:rFonts w:asciiTheme="majorHAnsi" w:eastAsia="Times New Roman" w:hAnsiTheme="majorHAnsi" w:cstheme="majorHAnsi"/>
          <w:color w:val="000000"/>
          <w:sz w:val="24"/>
          <w:szCs w:val="24"/>
          <w:lang w:val="ro-MD"/>
        </w:rPr>
        <w:t xml:space="preserve"> pierderi aferente activității de întreprinzător, </w:t>
      </w:r>
      <w:r w:rsidRPr="00CB5F81">
        <w:rPr>
          <w:rFonts w:asciiTheme="majorHAnsi" w:eastAsia="Times New Roman" w:hAnsiTheme="majorHAnsi" w:cstheme="majorHAnsi"/>
          <w:color w:val="000000"/>
          <w:sz w:val="24"/>
          <w:szCs w:val="24"/>
          <w:lang w:val="ro-MD"/>
        </w:rPr>
        <w:t>prin urmare</w:t>
      </w:r>
      <w:r w:rsidR="00421B9A">
        <w:rPr>
          <w:rFonts w:asciiTheme="majorHAnsi" w:eastAsia="Times New Roman" w:hAnsiTheme="majorHAnsi" w:cstheme="majorHAnsi"/>
          <w:color w:val="000000"/>
          <w:sz w:val="24"/>
          <w:szCs w:val="24"/>
          <w:lang w:val="ro-MD"/>
        </w:rPr>
        <w:t>,</w:t>
      </w:r>
      <w:r w:rsidRPr="00CB5F81">
        <w:rPr>
          <w:rFonts w:asciiTheme="majorHAnsi" w:eastAsia="Times New Roman" w:hAnsiTheme="majorHAnsi" w:cstheme="majorHAnsi"/>
          <w:color w:val="000000"/>
          <w:sz w:val="24"/>
          <w:szCs w:val="24"/>
          <w:lang w:val="ro-MD"/>
        </w:rPr>
        <w:t xml:space="preserve"> </w:t>
      </w:r>
      <w:r w:rsidR="00B13092" w:rsidRPr="00CB5F81">
        <w:rPr>
          <w:rFonts w:asciiTheme="majorHAnsi" w:eastAsia="Times New Roman" w:hAnsiTheme="majorHAnsi" w:cstheme="majorHAnsi"/>
          <w:color w:val="000000"/>
          <w:sz w:val="24"/>
          <w:szCs w:val="24"/>
          <w:lang w:val="ro-MD"/>
        </w:rPr>
        <w:t>prezentând</w:t>
      </w:r>
      <w:r w:rsidR="00A62702" w:rsidRPr="00CB5F81">
        <w:rPr>
          <w:rFonts w:asciiTheme="majorHAnsi" w:eastAsia="Times New Roman" w:hAnsiTheme="majorHAnsi" w:cstheme="majorHAnsi"/>
          <w:color w:val="000000"/>
          <w:sz w:val="24"/>
          <w:szCs w:val="24"/>
          <w:lang w:val="ro-MD"/>
        </w:rPr>
        <w:t xml:space="preserve"> riscuri</w:t>
      </w:r>
      <w:r w:rsidR="00CF3AE4" w:rsidRPr="00CB5F81">
        <w:rPr>
          <w:rFonts w:asciiTheme="majorHAnsi" w:eastAsia="Times New Roman" w:hAnsiTheme="majorHAnsi" w:cstheme="majorHAnsi"/>
          <w:color w:val="000000"/>
          <w:sz w:val="24"/>
          <w:szCs w:val="24"/>
          <w:lang w:val="ro-MD"/>
        </w:rPr>
        <w:t xml:space="preserve"> asociate administrării fiscal</w:t>
      </w:r>
      <w:r w:rsidR="0057722E" w:rsidRPr="00CB5F81">
        <w:rPr>
          <w:rFonts w:asciiTheme="majorHAnsi" w:eastAsia="Times New Roman" w:hAnsiTheme="majorHAnsi" w:cstheme="majorHAnsi"/>
          <w:color w:val="000000"/>
          <w:sz w:val="24"/>
          <w:szCs w:val="24"/>
          <w:lang w:val="ro-MD"/>
        </w:rPr>
        <w:t>e</w:t>
      </w:r>
      <w:r w:rsidR="00CF3AE4" w:rsidRPr="00CB5F81">
        <w:rPr>
          <w:rFonts w:asciiTheme="majorHAnsi" w:eastAsia="Times New Roman" w:hAnsiTheme="majorHAnsi" w:cstheme="majorHAnsi"/>
          <w:color w:val="000000"/>
          <w:sz w:val="24"/>
          <w:szCs w:val="24"/>
          <w:lang w:val="ro-MD"/>
        </w:rPr>
        <w:t xml:space="preserve"> </w:t>
      </w:r>
      <w:r w:rsidR="00421B9A">
        <w:rPr>
          <w:rFonts w:asciiTheme="majorHAnsi" w:eastAsia="Times New Roman" w:hAnsiTheme="majorHAnsi" w:cstheme="majorHAnsi"/>
          <w:color w:val="000000"/>
          <w:sz w:val="24"/>
          <w:szCs w:val="24"/>
          <w:lang w:val="ro-MD"/>
        </w:rPr>
        <w:t>la</w:t>
      </w:r>
      <w:r w:rsidR="00CF3AE4" w:rsidRPr="00CB5F81">
        <w:rPr>
          <w:rFonts w:asciiTheme="majorHAnsi" w:eastAsia="Times New Roman" w:hAnsiTheme="majorHAnsi" w:cstheme="majorHAnsi"/>
          <w:color w:val="000000"/>
          <w:sz w:val="24"/>
          <w:szCs w:val="24"/>
          <w:lang w:val="ro-MD"/>
        </w:rPr>
        <w:t xml:space="preserve"> această componentă</w:t>
      </w:r>
      <w:r w:rsidR="00A62702" w:rsidRPr="00CB5F81">
        <w:rPr>
          <w:rStyle w:val="FootnoteReference"/>
          <w:rFonts w:asciiTheme="majorHAnsi" w:eastAsia="Times New Roman" w:hAnsiTheme="majorHAnsi" w:cstheme="majorHAnsi"/>
          <w:color w:val="000000"/>
          <w:sz w:val="24"/>
          <w:szCs w:val="24"/>
          <w:lang w:val="ro-MD"/>
        </w:rPr>
        <w:footnoteReference w:id="55"/>
      </w:r>
      <w:r w:rsidRPr="00CB5F81">
        <w:rPr>
          <w:rFonts w:asciiTheme="majorHAnsi" w:eastAsia="Times New Roman" w:hAnsiTheme="majorHAnsi" w:cstheme="majorHAnsi"/>
          <w:color w:val="000000"/>
          <w:sz w:val="24"/>
          <w:szCs w:val="24"/>
          <w:lang w:val="ro-MD"/>
        </w:rPr>
        <w:t xml:space="preserve">. </w:t>
      </w:r>
      <w:r w:rsidR="00421B9A">
        <w:rPr>
          <w:rFonts w:asciiTheme="majorHAnsi" w:eastAsia="Times New Roman" w:hAnsiTheme="majorHAnsi" w:cstheme="majorHAnsi"/>
          <w:color w:val="000000"/>
          <w:sz w:val="24"/>
          <w:szCs w:val="24"/>
          <w:lang w:val="ro-MD"/>
        </w:rPr>
        <w:t xml:space="preserve">Și </w:t>
      </w:r>
      <w:r w:rsidRPr="00CB5F81">
        <w:rPr>
          <w:rFonts w:asciiTheme="majorHAnsi" w:eastAsia="Times New Roman" w:hAnsiTheme="majorHAnsi" w:cstheme="majorHAnsi"/>
          <w:color w:val="000000"/>
          <w:sz w:val="24"/>
          <w:szCs w:val="24"/>
          <w:lang w:val="ro-MD"/>
        </w:rPr>
        <w:t xml:space="preserve">în anul 2021 </w:t>
      </w:r>
      <w:r w:rsidR="0057722E" w:rsidRPr="00CB5F81">
        <w:rPr>
          <w:rFonts w:asciiTheme="majorHAnsi" w:eastAsia="Times New Roman" w:hAnsiTheme="majorHAnsi" w:cstheme="majorHAnsi"/>
          <w:color w:val="000000"/>
          <w:sz w:val="24"/>
          <w:szCs w:val="24"/>
          <w:lang w:val="ro-MD"/>
        </w:rPr>
        <w:t xml:space="preserve">agentul economic a înregistrat pierderi, concomitent </w:t>
      </w:r>
      <w:r w:rsidR="009D1DAE" w:rsidRPr="00CB5F81">
        <w:rPr>
          <w:rFonts w:asciiTheme="majorHAnsi" w:eastAsia="Times New Roman" w:hAnsiTheme="majorHAnsi" w:cstheme="majorHAnsi"/>
          <w:color w:val="000000"/>
          <w:sz w:val="24"/>
          <w:szCs w:val="24"/>
          <w:lang w:val="ro-MD"/>
        </w:rPr>
        <w:t>SFS identificând</w:t>
      </w:r>
      <w:r w:rsidR="00EC1EAF">
        <w:rPr>
          <w:rFonts w:asciiTheme="majorHAnsi" w:eastAsia="Times New Roman" w:hAnsiTheme="majorHAnsi" w:cstheme="majorHAnsi"/>
          <w:color w:val="000000"/>
          <w:sz w:val="24"/>
          <w:szCs w:val="24"/>
          <w:lang w:val="ro-MD"/>
        </w:rPr>
        <w:t xml:space="preserve"> </w:t>
      </w:r>
      <w:r w:rsidR="0057722E" w:rsidRPr="00CB5F81">
        <w:rPr>
          <w:rFonts w:asciiTheme="majorHAnsi" w:eastAsia="Times New Roman" w:hAnsiTheme="majorHAnsi" w:cstheme="majorHAnsi"/>
          <w:color w:val="000000"/>
          <w:sz w:val="24"/>
          <w:szCs w:val="24"/>
          <w:lang w:val="ro-MD"/>
        </w:rPr>
        <w:t xml:space="preserve">și alte riscuri </w:t>
      </w:r>
      <w:r w:rsidRPr="00CB5F81">
        <w:rPr>
          <w:rFonts w:asciiTheme="majorHAnsi" w:eastAsia="Times New Roman" w:hAnsiTheme="majorHAnsi" w:cstheme="majorHAnsi"/>
          <w:color w:val="000000"/>
          <w:sz w:val="24"/>
          <w:szCs w:val="24"/>
          <w:lang w:val="ro-MD"/>
        </w:rPr>
        <w:t xml:space="preserve">în </w:t>
      </w:r>
      <w:r w:rsidRPr="00426E0E">
        <w:rPr>
          <w:rFonts w:asciiTheme="majorHAnsi" w:eastAsia="Times New Roman" w:hAnsiTheme="majorHAnsi" w:cstheme="majorHAnsi"/>
          <w:color w:val="000000"/>
          <w:sz w:val="24"/>
          <w:szCs w:val="24"/>
          <w:lang w:val="ro-MD"/>
        </w:rPr>
        <w:t>activitatea</w:t>
      </w:r>
      <w:r w:rsidR="004B7413" w:rsidRPr="00426E0E">
        <w:rPr>
          <w:rFonts w:asciiTheme="majorHAnsi" w:eastAsia="Times New Roman" w:hAnsiTheme="majorHAnsi" w:cstheme="majorHAnsi"/>
          <w:color w:val="000000"/>
          <w:sz w:val="24"/>
          <w:szCs w:val="24"/>
          <w:lang w:val="ro-MD"/>
        </w:rPr>
        <w:t xml:space="preserve"> lui</w:t>
      </w:r>
      <w:r w:rsidR="0057722E" w:rsidRPr="00CB5F81">
        <w:rPr>
          <w:rFonts w:asciiTheme="majorHAnsi" w:eastAsia="Times New Roman" w:hAnsiTheme="majorHAnsi" w:cstheme="majorHAnsi"/>
          <w:color w:val="000000"/>
          <w:sz w:val="24"/>
          <w:szCs w:val="24"/>
          <w:lang w:val="ro-MD"/>
        </w:rPr>
        <w:t>, inclusiv:</w:t>
      </w:r>
      <w:r w:rsidR="00EC1EAF">
        <w:rPr>
          <w:rFonts w:asciiTheme="majorHAnsi" w:eastAsia="Times New Roman" w:hAnsiTheme="majorHAnsi" w:cstheme="majorHAnsi"/>
          <w:color w:val="000000"/>
          <w:sz w:val="24"/>
          <w:szCs w:val="24"/>
          <w:lang w:val="ro-MD"/>
        </w:rPr>
        <w:t xml:space="preserve"> </w:t>
      </w:r>
    </w:p>
    <w:p w:rsidR="00B13092" w:rsidRPr="00CB5F81" w:rsidRDefault="00B13092" w:rsidP="00D04386">
      <w:pPr>
        <w:widowControl w:val="0"/>
        <w:numPr>
          <w:ilvl w:val="0"/>
          <w:numId w:val="16"/>
        </w:numPr>
        <w:tabs>
          <w:tab w:val="left" w:pos="942"/>
        </w:tabs>
        <w:spacing w:after="0" w:line="283" w:lineRule="exact"/>
        <w:ind w:left="960" w:hanging="360"/>
        <w:rPr>
          <w:rFonts w:asciiTheme="majorHAnsi" w:hAnsiTheme="majorHAnsi" w:cstheme="majorHAnsi"/>
        </w:rPr>
      </w:pPr>
      <w:r w:rsidRPr="00CB5F81">
        <w:rPr>
          <w:rFonts w:asciiTheme="majorHAnsi" w:hAnsiTheme="majorHAnsi" w:cstheme="majorHAnsi"/>
          <w:color w:val="000000"/>
          <w:sz w:val="24"/>
          <w:szCs w:val="24"/>
          <w:lang w:eastAsia="ro-RO" w:bidi="ro-RO"/>
        </w:rPr>
        <w:t>Riscul achitării salariului în plic (în perioada L/01/2021-L/02/2022 a declarat un salariu mediu lunar calculat mai mic decât salariul minim garantat - 1 881 lei);</w:t>
      </w:r>
    </w:p>
    <w:p w:rsidR="00B13092" w:rsidRPr="00CB5F81" w:rsidRDefault="00B13092" w:rsidP="00D04386">
      <w:pPr>
        <w:widowControl w:val="0"/>
        <w:numPr>
          <w:ilvl w:val="0"/>
          <w:numId w:val="16"/>
        </w:numPr>
        <w:tabs>
          <w:tab w:val="left" w:pos="942"/>
        </w:tabs>
        <w:spacing w:after="0" w:line="283" w:lineRule="exact"/>
        <w:ind w:left="960" w:hanging="360"/>
        <w:rPr>
          <w:rFonts w:asciiTheme="majorHAnsi" w:hAnsiTheme="majorHAnsi" w:cstheme="majorHAnsi"/>
        </w:rPr>
      </w:pPr>
      <w:r w:rsidRPr="00CB5F81">
        <w:rPr>
          <w:rFonts w:asciiTheme="majorHAnsi" w:hAnsiTheme="majorHAnsi" w:cstheme="majorHAnsi"/>
          <w:color w:val="000000"/>
          <w:sz w:val="24"/>
          <w:szCs w:val="24"/>
          <w:lang w:eastAsia="ro-RO" w:bidi="ro-RO"/>
        </w:rPr>
        <w:t xml:space="preserve">Riscul practicării muncii „la negru” (în perioada L/01/2021 -L/02/2022 a declarat un singur angajat, în anul 2020 nu a declarat </w:t>
      </w:r>
      <w:r w:rsidR="00F169FB" w:rsidRPr="00CB5F81">
        <w:rPr>
          <w:rFonts w:asciiTheme="majorHAnsi" w:hAnsiTheme="majorHAnsi" w:cstheme="majorHAnsi"/>
          <w:color w:val="000000"/>
          <w:sz w:val="24"/>
          <w:szCs w:val="24"/>
          <w:lang w:eastAsia="ro-RO" w:bidi="ro-RO"/>
        </w:rPr>
        <w:t>angajați</w:t>
      </w:r>
      <w:r w:rsidR="00421B9A">
        <w:rPr>
          <w:rFonts w:asciiTheme="majorHAnsi" w:hAnsiTheme="majorHAnsi" w:cstheme="majorHAnsi"/>
          <w:color w:val="000000"/>
          <w:sz w:val="24"/>
          <w:szCs w:val="24"/>
          <w:lang w:eastAsia="ro-RO" w:bidi="ro-RO"/>
        </w:rPr>
        <w:t>)</w:t>
      </w:r>
      <w:r w:rsidRPr="00CB5F81">
        <w:rPr>
          <w:rFonts w:asciiTheme="majorHAnsi" w:hAnsiTheme="majorHAnsi" w:cstheme="majorHAnsi"/>
          <w:color w:val="000000"/>
          <w:sz w:val="24"/>
          <w:szCs w:val="24"/>
          <w:lang w:eastAsia="ro-RO" w:bidi="ro-RO"/>
        </w:rPr>
        <w:t>;</w:t>
      </w:r>
    </w:p>
    <w:p w:rsidR="0057722E" w:rsidRPr="00CB5F81" w:rsidRDefault="00B13092" w:rsidP="00D04386">
      <w:pPr>
        <w:widowControl w:val="0"/>
        <w:numPr>
          <w:ilvl w:val="0"/>
          <w:numId w:val="16"/>
        </w:numPr>
        <w:tabs>
          <w:tab w:val="left" w:pos="942"/>
        </w:tabs>
        <w:spacing w:after="120" w:line="283" w:lineRule="exact"/>
        <w:ind w:left="965" w:hanging="360"/>
        <w:jc w:val="both"/>
        <w:rPr>
          <w:rFonts w:asciiTheme="majorHAnsi" w:eastAsia="Times New Roman" w:hAnsiTheme="majorHAnsi" w:cstheme="majorHAnsi"/>
          <w:color w:val="000000"/>
          <w:sz w:val="24"/>
          <w:szCs w:val="24"/>
        </w:rPr>
      </w:pPr>
      <w:r w:rsidRPr="00CB5F81">
        <w:rPr>
          <w:rStyle w:val="Bodytext4NotItalic"/>
          <w:rFonts w:asciiTheme="majorHAnsi" w:eastAsiaTheme="minorHAnsi" w:hAnsiTheme="majorHAnsi" w:cstheme="majorHAnsi"/>
          <w:i w:val="0"/>
          <w:lang w:val="ro-MD"/>
        </w:rPr>
        <w:t>Achitări nesemnificative la BNP în raport cu volumul livrărilor efectuate</w:t>
      </w:r>
      <w:r w:rsidR="0057722E" w:rsidRPr="00CB5F81">
        <w:rPr>
          <w:rStyle w:val="FootnoteReference"/>
          <w:rFonts w:asciiTheme="majorHAnsi" w:hAnsiTheme="majorHAnsi" w:cstheme="majorHAnsi"/>
          <w:i/>
          <w:iCs/>
          <w:color w:val="000000"/>
          <w:sz w:val="24"/>
          <w:szCs w:val="24"/>
          <w:lang w:eastAsia="ro-RO" w:bidi="ro-RO"/>
        </w:rPr>
        <w:footnoteReference w:id="56"/>
      </w:r>
      <w:r w:rsidR="0057722E" w:rsidRPr="00CB5F81">
        <w:rPr>
          <w:rStyle w:val="Bodytext4NotItalic"/>
          <w:rFonts w:asciiTheme="majorHAnsi" w:eastAsiaTheme="minorHAnsi" w:hAnsiTheme="majorHAnsi" w:cstheme="majorHAnsi"/>
          <w:i w:val="0"/>
          <w:lang w:val="ro-MD"/>
        </w:rPr>
        <w:t>.</w:t>
      </w:r>
      <w:r w:rsidRPr="00CB5F81">
        <w:rPr>
          <w:rStyle w:val="Bodytext4NotItalic"/>
          <w:rFonts w:asciiTheme="majorHAnsi" w:eastAsiaTheme="minorHAnsi" w:hAnsiTheme="majorHAnsi" w:cstheme="majorHAnsi"/>
          <w:lang w:val="ro-MD"/>
        </w:rPr>
        <w:t xml:space="preserve"> </w:t>
      </w:r>
      <w:r w:rsidR="0057722E" w:rsidRPr="00CB5F81">
        <w:rPr>
          <w:rStyle w:val="Bodytext4NotItalic"/>
          <w:rFonts w:asciiTheme="majorHAnsi" w:eastAsiaTheme="minorHAnsi" w:hAnsiTheme="majorHAnsi" w:cstheme="majorHAnsi"/>
          <w:i w:val="0"/>
          <w:lang w:val="ro-MD"/>
        </w:rPr>
        <w:t>Subsecvent,</w:t>
      </w:r>
      <w:r w:rsidR="0057722E" w:rsidRPr="00CB5F81">
        <w:rPr>
          <w:rStyle w:val="Bodytext4NotItalic"/>
          <w:rFonts w:asciiTheme="majorHAnsi" w:eastAsiaTheme="minorHAnsi" w:hAnsiTheme="majorHAnsi" w:cstheme="majorHAnsi"/>
          <w:lang w:val="ro-MD"/>
        </w:rPr>
        <w:t xml:space="preserve"> </w:t>
      </w:r>
      <w:r w:rsidR="00F169FB" w:rsidRPr="00CB5F81">
        <w:rPr>
          <w:rStyle w:val="Bodytext4NotItalic"/>
          <w:rFonts w:asciiTheme="majorHAnsi" w:eastAsiaTheme="minorHAnsi" w:hAnsiTheme="majorHAnsi" w:cstheme="majorHAnsi"/>
          <w:i w:val="0"/>
          <w:lang w:val="ro-MD"/>
        </w:rPr>
        <w:t xml:space="preserve">analizele </w:t>
      </w:r>
      <w:r w:rsidR="00421B9A">
        <w:rPr>
          <w:rStyle w:val="Bodytext4NotItalic"/>
          <w:rFonts w:asciiTheme="majorHAnsi" w:eastAsiaTheme="minorHAnsi" w:hAnsiTheme="majorHAnsi" w:cstheme="majorHAnsi"/>
          <w:i w:val="0"/>
          <w:lang w:val="ro-MD"/>
        </w:rPr>
        <w:t xml:space="preserve">efectuate </w:t>
      </w:r>
      <w:r w:rsidR="00F169FB" w:rsidRPr="00CB5F81">
        <w:rPr>
          <w:rStyle w:val="Bodytext4NotItalic"/>
          <w:rFonts w:asciiTheme="majorHAnsi" w:eastAsiaTheme="minorHAnsi" w:hAnsiTheme="majorHAnsi" w:cstheme="majorHAnsi"/>
          <w:i w:val="0"/>
          <w:lang w:val="ro-MD"/>
        </w:rPr>
        <w:t>de audit relevă că</w:t>
      </w:r>
      <w:r w:rsidR="0057722E" w:rsidRPr="00CB5F81">
        <w:rPr>
          <w:rFonts w:asciiTheme="majorHAnsi" w:eastAsia="Times New Roman" w:hAnsiTheme="majorHAnsi" w:cstheme="majorHAnsi"/>
          <w:color w:val="000000"/>
          <w:sz w:val="24"/>
          <w:szCs w:val="24"/>
        </w:rPr>
        <w:t xml:space="preserve"> acest contribuabil a achitat la buget atât în anul 2019</w:t>
      </w:r>
      <w:r w:rsidR="00421B9A">
        <w:rPr>
          <w:rFonts w:asciiTheme="majorHAnsi" w:eastAsia="Times New Roman" w:hAnsiTheme="majorHAnsi" w:cstheme="majorHAnsi"/>
          <w:color w:val="000000"/>
          <w:sz w:val="24"/>
          <w:szCs w:val="24"/>
        </w:rPr>
        <w:t>,</w:t>
      </w:r>
      <w:r w:rsidR="0057722E" w:rsidRPr="00CB5F81">
        <w:rPr>
          <w:rFonts w:asciiTheme="majorHAnsi" w:eastAsia="Times New Roman" w:hAnsiTheme="majorHAnsi" w:cstheme="majorHAnsi"/>
          <w:color w:val="000000"/>
          <w:sz w:val="24"/>
          <w:szCs w:val="24"/>
        </w:rPr>
        <w:t xml:space="preserve"> cât și în anul 2020, impozite doar în valoare de 11,5 mii</w:t>
      </w:r>
      <w:r w:rsidR="009D1DAE" w:rsidRPr="00CB5F81">
        <w:rPr>
          <w:rFonts w:asciiTheme="majorHAnsi" w:eastAsia="Times New Roman" w:hAnsiTheme="majorHAnsi" w:cstheme="majorHAnsi"/>
          <w:color w:val="000000"/>
          <w:sz w:val="24"/>
          <w:szCs w:val="24"/>
        </w:rPr>
        <w:t xml:space="preserve"> lei și</w:t>
      </w:r>
      <w:r w:rsidR="00421B9A">
        <w:rPr>
          <w:rFonts w:asciiTheme="majorHAnsi" w:eastAsia="Times New Roman" w:hAnsiTheme="majorHAnsi" w:cstheme="majorHAnsi"/>
          <w:color w:val="000000"/>
          <w:sz w:val="24"/>
          <w:szCs w:val="24"/>
        </w:rPr>
        <w:t>,</w:t>
      </w:r>
      <w:r w:rsidR="009D1DAE" w:rsidRPr="00CB5F81">
        <w:rPr>
          <w:rFonts w:asciiTheme="majorHAnsi" w:eastAsia="Times New Roman" w:hAnsiTheme="majorHAnsi" w:cstheme="majorHAnsi"/>
          <w:color w:val="000000"/>
          <w:sz w:val="24"/>
          <w:szCs w:val="24"/>
        </w:rPr>
        <w:t xml:space="preserve"> </w:t>
      </w:r>
      <w:r w:rsidR="00421B9A" w:rsidRPr="00CB5F81">
        <w:rPr>
          <w:rFonts w:asciiTheme="majorHAnsi" w:eastAsia="Times New Roman" w:hAnsiTheme="majorHAnsi" w:cstheme="majorHAnsi"/>
          <w:color w:val="000000"/>
          <w:sz w:val="24"/>
          <w:szCs w:val="24"/>
        </w:rPr>
        <w:t>respectiv</w:t>
      </w:r>
      <w:r w:rsidR="00421B9A">
        <w:rPr>
          <w:rFonts w:asciiTheme="majorHAnsi" w:eastAsia="Times New Roman" w:hAnsiTheme="majorHAnsi" w:cstheme="majorHAnsi"/>
          <w:color w:val="000000"/>
          <w:sz w:val="24"/>
          <w:szCs w:val="24"/>
        </w:rPr>
        <w:t>,</w:t>
      </w:r>
      <w:r w:rsidR="00421B9A" w:rsidRPr="00CB5F81">
        <w:rPr>
          <w:rFonts w:asciiTheme="majorHAnsi" w:eastAsia="Times New Roman" w:hAnsiTheme="majorHAnsi" w:cstheme="majorHAnsi"/>
          <w:color w:val="000000"/>
          <w:sz w:val="24"/>
          <w:szCs w:val="24"/>
        </w:rPr>
        <w:t xml:space="preserve"> </w:t>
      </w:r>
      <w:r w:rsidR="009D1DAE" w:rsidRPr="00CB5F81">
        <w:rPr>
          <w:rFonts w:asciiTheme="majorHAnsi" w:eastAsia="Times New Roman" w:hAnsiTheme="majorHAnsi" w:cstheme="majorHAnsi"/>
          <w:color w:val="000000"/>
          <w:sz w:val="24"/>
          <w:szCs w:val="24"/>
        </w:rPr>
        <w:t>20, 9 mii lei</w:t>
      </w:r>
      <w:r w:rsidR="001E064D" w:rsidRPr="00CB5F81">
        <w:rPr>
          <w:rFonts w:asciiTheme="majorHAnsi" w:eastAsia="Times New Roman" w:hAnsiTheme="majorHAnsi" w:cstheme="majorHAnsi"/>
          <w:color w:val="000000"/>
          <w:sz w:val="24"/>
          <w:szCs w:val="24"/>
        </w:rPr>
        <w:t>.</w:t>
      </w:r>
    </w:p>
    <w:p w:rsidR="00C9359F" w:rsidRPr="00CB5F81" w:rsidRDefault="0057722E" w:rsidP="00535226">
      <w:pPr>
        <w:pStyle w:val="ListParagraph"/>
        <w:tabs>
          <w:tab w:val="left" w:pos="360"/>
        </w:tabs>
        <w:spacing w:after="120"/>
        <w:ind w:left="0"/>
        <w:contextualSpacing w:val="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În pofida celor menționate</w:t>
      </w:r>
      <w:r w:rsidR="009D1DAE" w:rsidRPr="00CB5F81">
        <w:rPr>
          <w:rFonts w:asciiTheme="majorHAnsi" w:eastAsia="Times New Roman" w:hAnsiTheme="majorHAnsi" w:cstheme="majorHAnsi"/>
          <w:color w:val="000000"/>
          <w:sz w:val="24"/>
          <w:szCs w:val="24"/>
          <w:lang w:val="ro-MD"/>
        </w:rPr>
        <w:t xml:space="preserve"> mai sus, în an</w:t>
      </w:r>
      <w:r w:rsidR="00421B9A">
        <w:rPr>
          <w:rFonts w:asciiTheme="majorHAnsi" w:eastAsia="Times New Roman" w:hAnsiTheme="majorHAnsi" w:cstheme="majorHAnsi"/>
          <w:color w:val="000000"/>
          <w:sz w:val="24"/>
          <w:szCs w:val="24"/>
          <w:lang w:val="ro-MD"/>
        </w:rPr>
        <w:t>ii</w:t>
      </w:r>
      <w:r w:rsidR="009D1DAE" w:rsidRPr="00CB5F81">
        <w:rPr>
          <w:rFonts w:asciiTheme="majorHAnsi" w:eastAsia="Times New Roman" w:hAnsiTheme="majorHAnsi" w:cstheme="majorHAnsi"/>
          <w:color w:val="000000"/>
          <w:sz w:val="24"/>
          <w:szCs w:val="24"/>
          <w:lang w:val="ro-MD"/>
        </w:rPr>
        <w:t xml:space="preserve"> 2020-2021</w:t>
      </w:r>
      <w:r w:rsidR="006B38DF" w:rsidRPr="00CB5F81">
        <w:rPr>
          <w:rFonts w:asciiTheme="majorHAnsi" w:eastAsia="Times New Roman" w:hAnsiTheme="majorHAnsi" w:cstheme="majorHAnsi"/>
          <w:color w:val="000000"/>
          <w:sz w:val="24"/>
          <w:szCs w:val="24"/>
          <w:lang w:val="ro-MD"/>
        </w:rPr>
        <w:t>,</w:t>
      </w:r>
      <w:r w:rsidR="009D1DAE" w:rsidRPr="00CB5F81">
        <w:rPr>
          <w:rFonts w:asciiTheme="majorHAnsi" w:eastAsia="Times New Roman" w:hAnsiTheme="majorHAnsi" w:cstheme="majorHAnsi"/>
          <w:color w:val="000000"/>
          <w:sz w:val="24"/>
          <w:szCs w:val="24"/>
          <w:lang w:val="ro-MD"/>
        </w:rPr>
        <w:t xml:space="preserve"> </w:t>
      </w:r>
      <w:r w:rsidR="005F1A15" w:rsidRPr="00CB5F81">
        <w:rPr>
          <w:rFonts w:asciiTheme="majorHAnsi" w:eastAsia="Times New Roman" w:hAnsiTheme="majorHAnsi" w:cstheme="majorHAnsi"/>
          <w:color w:val="000000"/>
          <w:sz w:val="24"/>
          <w:szCs w:val="24"/>
          <w:lang w:val="ro-MD"/>
        </w:rPr>
        <w:t>SRL „Leonardo Cellars”</w:t>
      </w:r>
      <w:r w:rsidR="00421B9A">
        <w:rPr>
          <w:rFonts w:asciiTheme="majorHAnsi" w:eastAsia="Times New Roman" w:hAnsiTheme="majorHAnsi" w:cstheme="majorHAnsi"/>
          <w:color w:val="000000"/>
          <w:sz w:val="24"/>
          <w:szCs w:val="24"/>
          <w:lang w:val="ro-MD"/>
        </w:rPr>
        <w:t>,</w:t>
      </w:r>
      <w:r w:rsidR="005F1A15" w:rsidRPr="00CB5F81">
        <w:rPr>
          <w:rFonts w:asciiTheme="majorHAnsi" w:eastAsia="Times New Roman" w:hAnsiTheme="majorHAnsi" w:cstheme="majorHAnsi"/>
          <w:color w:val="000000"/>
          <w:sz w:val="24"/>
          <w:szCs w:val="24"/>
          <w:lang w:val="ro-MD"/>
        </w:rPr>
        <w:t xml:space="preserve"> achitând</w:t>
      </w:r>
      <w:r w:rsidR="00EC1EAF">
        <w:rPr>
          <w:rFonts w:asciiTheme="majorHAnsi" w:eastAsia="Times New Roman" w:hAnsiTheme="majorHAnsi" w:cstheme="majorHAnsi"/>
          <w:color w:val="000000"/>
          <w:sz w:val="24"/>
          <w:szCs w:val="24"/>
          <w:lang w:val="ro-MD"/>
        </w:rPr>
        <w:t xml:space="preserve"> </w:t>
      </w:r>
      <w:r w:rsidR="005F1A15" w:rsidRPr="00CB5F81">
        <w:rPr>
          <w:rFonts w:asciiTheme="majorHAnsi" w:eastAsia="Times New Roman" w:hAnsiTheme="majorHAnsi" w:cstheme="majorHAnsi"/>
          <w:color w:val="000000"/>
          <w:sz w:val="24"/>
          <w:szCs w:val="24"/>
          <w:lang w:val="ro-MD"/>
        </w:rPr>
        <w:t>la buget impozite</w:t>
      </w:r>
      <w:r w:rsidR="00EC1EAF">
        <w:rPr>
          <w:rFonts w:asciiTheme="majorHAnsi" w:eastAsia="Times New Roman" w:hAnsiTheme="majorHAnsi" w:cstheme="majorHAnsi"/>
          <w:color w:val="000000"/>
          <w:sz w:val="24"/>
          <w:szCs w:val="24"/>
          <w:lang w:val="ro-MD"/>
        </w:rPr>
        <w:t xml:space="preserve"> </w:t>
      </w:r>
      <w:r w:rsidR="00E32CD7" w:rsidRPr="00CB5F81">
        <w:rPr>
          <w:rFonts w:asciiTheme="majorHAnsi" w:eastAsia="Times New Roman" w:hAnsiTheme="majorHAnsi" w:cstheme="majorHAnsi"/>
          <w:color w:val="000000"/>
          <w:sz w:val="24"/>
          <w:szCs w:val="24"/>
          <w:lang w:val="ro-MD"/>
        </w:rPr>
        <w:t>și taxe</w:t>
      </w:r>
      <w:r w:rsidR="00EC1EAF">
        <w:rPr>
          <w:rFonts w:asciiTheme="majorHAnsi" w:eastAsia="Times New Roman" w:hAnsiTheme="majorHAnsi" w:cstheme="majorHAnsi"/>
          <w:color w:val="000000"/>
          <w:sz w:val="24"/>
          <w:szCs w:val="24"/>
          <w:lang w:val="ro-MD"/>
        </w:rPr>
        <w:t xml:space="preserve"> </w:t>
      </w:r>
      <w:r w:rsidR="00E32CD7" w:rsidRPr="00CB5F81">
        <w:rPr>
          <w:rFonts w:asciiTheme="majorHAnsi" w:eastAsia="Times New Roman" w:hAnsiTheme="majorHAnsi" w:cstheme="majorHAnsi"/>
          <w:color w:val="000000"/>
          <w:sz w:val="24"/>
          <w:szCs w:val="24"/>
          <w:lang w:val="ro-MD"/>
        </w:rPr>
        <w:t xml:space="preserve">în sumă totală </w:t>
      </w:r>
      <w:r w:rsidR="00421B9A">
        <w:rPr>
          <w:rFonts w:asciiTheme="majorHAnsi" w:eastAsia="Times New Roman" w:hAnsiTheme="majorHAnsi" w:cstheme="majorHAnsi"/>
          <w:color w:val="000000"/>
          <w:sz w:val="24"/>
          <w:szCs w:val="24"/>
          <w:lang w:val="ro-MD"/>
        </w:rPr>
        <w:t xml:space="preserve">de </w:t>
      </w:r>
      <w:r w:rsidR="00E32CD7" w:rsidRPr="00CB5F81">
        <w:rPr>
          <w:rFonts w:asciiTheme="majorHAnsi" w:eastAsia="Times New Roman" w:hAnsiTheme="majorHAnsi" w:cstheme="majorHAnsi"/>
          <w:color w:val="000000"/>
          <w:sz w:val="24"/>
          <w:szCs w:val="24"/>
          <w:lang w:val="ro-MD"/>
        </w:rPr>
        <w:t>32,4 mii lei</w:t>
      </w:r>
      <w:r w:rsidR="005F1A15" w:rsidRPr="00CB5F81">
        <w:rPr>
          <w:rFonts w:asciiTheme="majorHAnsi" w:eastAsia="Times New Roman" w:hAnsiTheme="majorHAnsi" w:cstheme="majorHAnsi"/>
          <w:color w:val="000000"/>
          <w:sz w:val="24"/>
          <w:szCs w:val="24"/>
          <w:lang w:val="ro-MD"/>
        </w:rPr>
        <w:t xml:space="preserve"> </w:t>
      </w:r>
      <w:r w:rsidR="00E32CD7" w:rsidRPr="00CB5F81">
        <w:rPr>
          <w:rFonts w:asciiTheme="majorHAnsi" w:eastAsia="Times New Roman" w:hAnsiTheme="majorHAnsi" w:cstheme="majorHAnsi"/>
          <w:color w:val="000000"/>
          <w:sz w:val="24"/>
          <w:szCs w:val="24"/>
          <w:lang w:val="ro-MD"/>
        </w:rPr>
        <w:t>și</w:t>
      </w:r>
      <w:r w:rsidR="00EC1EAF">
        <w:rPr>
          <w:rFonts w:asciiTheme="majorHAnsi" w:eastAsia="Times New Roman" w:hAnsiTheme="majorHAnsi" w:cstheme="majorHAnsi"/>
          <w:color w:val="000000"/>
          <w:sz w:val="24"/>
          <w:szCs w:val="24"/>
          <w:lang w:val="ro-MD"/>
        </w:rPr>
        <w:t xml:space="preserve"> </w:t>
      </w:r>
      <w:r w:rsidR="005F1A15" w:rsidRPr="00CB5F81">
        <w:rPr>
          <w:rFonts w:asciiTheme="majorHAnsi" w:eastAsia="Times New Roman" w:hAnsiTheme="majorHAnsi" w:cstheme="majorHAnsi"/>
          <w:color w:val="000000"/>
          <w:sz w:val="24"/>
          <w:szCs w:val="24"/>
          <w:lang w:val="ro-MD"/>
        </w:rPr>
        <w:t>neavând</w:t>
      </w:r>
      <w:r w:rsidR="00EC1EAF">
        <w:rPr>
          <w:rFonts w:asciiTheme="majorHAnsi" w:eastAsia="Times New Roman" w:hAnsiTheme="majorHAnsi" w:cstheme="majorHAnsi"/>
          <w:color w:val="000000"/>
          <w:sz w:val="24"/>
          <w:szCs w:val="24"/>
          <w:lang w:val="ro-MD"/>
        </w:rPr>
        <w:t xml:space="preserve"> </w:t>
      </w:r>
      <w:r w:rsidR="005F1A15" w:rsidRPr="00CB5F81">
        <w:rPr>
          <w:rFonts w:asciiTheme="majorHAnsi" w:eastAsia="Times New Roman" w:hAnsiTheme="majorHAnsi" w:cstheme="majorHAnsi"/>
          <w:color w:val="000000"/>
          <w:sz w:val="24"/>
          <w:szCs w:val="24"/>
          <w:lang w:val="ro-MD"/>
        </w:rPr>
        <w:t>declarați</w:t>
      </w:r>
      <w:r w:rsidR="00EC1EAF">
        <w:rPr>
          <w:rFonts w:asciiTheme="majorHAnsi" w:eastAsia="Times New Roman" w:hAnsiTheme="majorHAnsi" w:cstheme="majorHAnsi"/>
          <w:color w:val="000000"/>
          <w:sz w:val="24"/>
          <w:szCs w:val="24"/>
          <w:lang w:val="ro-MD"/>
        </w:rPr>
        <w:t xml:space="preserve"> </w:t>
      </w:r>
      <w:r w:rsidR="00E32CD7" w:rsidRPr="00CB5F81">
        <w:rPr>
          <w:rFonts w:asciiTheme="majorHAnsi" w:eastAsia="Times New Roman" w:hAnsiTheme="majorHAnsi" w:cstheme="majorHAnsi"/>
          <w:color w:val="000000"/>
          <w:sz w:val="24"/>
          <w:szCs w:val="24"/>
          <w:lang w:val="ro-MD"/>
        </w:rPr>
        <w:t>angajați</w:t>
      </w:r>
      <w:r w:rsidR="005F1A15" w:rsidRPr="00CB5F81">
        <w:rPr>
          <w:rFonts w:asciiTheme="majorHAnsi" w:eastAsia="Times New Roman" w:hAnsiTheme="majorHAnsi" w:cstheme="majorHAnsi"/>
          <w:color w:val="000000"/>
          <w:sz w:val="24"/>
          <w:szCs w:val="24"/>
          <w:lang w:val="ro-MD"/>
        </w:rPr>
        <w:t xml:space="preserve"> care activează în cadrul </w:t>
      </w:r>
      <w:r w:rsidR="00421B9A">
        <w:rPr>
          <w:rFonts w:asciiTheme="majorHAnsi" w:eastAsia="Times New Roman" w:hAnsiTheme="majorHAnsi" w:cstheme="majorHAnsi"/>
          <w:color w:val="000000"/>
          <w:sz w:val="24"/>
          <w:szCs w:val="24"/>
          <w:lang w:val="ro-MD"/>
        </w:rPr>
        <w:t>său</w:t>
      </w:r>
      <w:r w:rsidR="005F1A15" w:rsidRPr="00CB5F81">
        <w:rPr>
          <w:rFonts w:asciiTheme="majorHAnsi" w:eastAsia="Times New Roman" w:hAnsiTheme="majorHAnsi" w:cstheme="majorHAnsi"/>
          <w:color w:val="000000"/>
          <w:sz w:val="24"/>
          <w:szCs w:val="24"/>
          <w:lang w:val="ro-MD"/>
        </w:rPr>
        <w:t>,</w:t>
      </w:r>
      <w:r w:rsidR="00EC1EAF">
        <w:rPr>
          <w:rFonts w:asciiTheme="majorHAnsi" w:eastAsia="Times New Roman" w:hAnsiTheme="majorHAnsi" w:cstheme="majorHAnsi"/>
          <w:color w:val="000000"/>
          <w:sz w:val="24"/>
          <w:szCs w:val="24"/>
          <w:lang w:val="ro-MD"/>
        </w:rPr>
        <w:t xml:space="preserve"> </w:t>
      </w:r>
      <w:r w:rsidR="005F1A15" w:rsidRPr="00CB5F81">
        <w:rPr>
          <w:rFonts w:asciiTheme="majorHAnsi" w:eastAsia="Times New Roman" w:hAnsiTheme="majorHAnsi" w:cstheme="majorHAnsi"/>
          <w:color w:val="000000"/>
          <w:sz w:val="24"/>
          <w:szCs w:val="24"/>
          <w:lang w:val="ro-MD"/>
        </w:rPr>
        <w:t xml:space="preserve">i-au fost acordate facilități fiscale în sumă de 18, 0 mil. lei. Mai mult </w:t>
      </w:r>
      <w:r w:rsidR="00421B9A">
        <w:rPr>
          <w:rFonts w:asciiTheme="majorHAnsi" w:eastAsia="Times New Roman" w:hAnsiTheme="majorHAnsi" w:cstheme="majorHAnsi"/>
          <w:color w:val="000000"/>
          <w:sz w:val="24"/>
          <w:szCs w:val="24"/>
          <w:lang w:val="ro-MD"/>
        </w:rPr>
        <w:t>decât</w:t>
      </w:r>
      <w:r w:rsidR="005F1A15" w:rsidRPr="00CB5F81">
        <w:rPr>
          <w:rFonts w:asciiTheme="majorHAnsi" w:eastAsia="Times New Roman" w:hAnsiTheme="majorHAnsi" w:cstheme="majorHAnsi"/>
          <w:color w:val="000000"/>
          <w:sz w:val="24"/>
          <w:szCs w:val="24"/>
          <w:lang w:val="ro-MD"/>
        </w:rPr>
        <w:t xml:space="preserve"> </w:t>
      </w:r>
      <w:r w:rsidR="00C9359F" w:rsidRPr="00CB5F81">
        <w:rPr>
          <w:rFonts w:asciiTheme="majorHAnsi" w:eastAsia="Times New Roman" w:hAnsiTheme="majorHAnsi" w:cstheme="majorHAnsi"/>
          <w:color w:val="000000"/>
          <w:sz w:val="24"/>
          <w:szCs w:val="24"/>
          <w:lang w:val="ro-MD"/>
        </w:rPr>
        <w:t>atât,</w:t>
      </w:r>
      <w:r w:rsidR="00EC1EAF">
        <w:rPr>
          <w:rFonts w:asciiTheme="majorHAnsi" w:eastAsia="Times New Roman" w:hAnsiTheme="majorHAnsi" w:cstheme="majorHAnsi"/>
          <w:color w:val="000000"/>
          <w:sz w:val="24"/>
          <w:szCs w:val="24"/>
          <w:lang w:val="ro-MD"/>
        </w:rPr>
        <w:t xml:space="preserve"> </w:t>
      </w:r>
      <w:r w:rsidR="00E32CD7" w:rsidRPr="00CB5F81">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 xml:space="preserve">SFS a </w:t>
      </w:r>
      <w:r w:rsidR="00FF48F0" w:rsidRPr="00CB5F81">
        <w:rPr>
          <w:rFonts w:asciiTheme="majorHAnsi" w:eastAsia="Times New Roman" w:hAnsiTheme="majorHAnsi" w:cstheme="majorHAnsi"/>
          <w:color w:val="000000"/>
          <w:sz w:val="24"/>
          <w:szCs w:val="24"/>
          <w:lang w:val="ro-MD"/>
        </w:rPr>
        <w:t>aplicat față</w:t>
      </w:r>
      <w:r w:rsidR="00EC1EAF">
        <w:rPr>
          <w:rFonts w:asciiTheme="majorHAnsi" w:eastAsia="Times New Roman" w:hAnsiTheme="majorHAnsi" w:cstheme="majorHAnsi"/>
          <w:color w:val="000000"/>
          <w:sz w:val="24"/>
          <w:szCs w:val="24"/>
          <w:lang w:val="ro-MD"/>
        </w:rPr>
        <w:t xml:space="preserve"> </w:t>
      </w:r>
      <w:r w:rsidR="00FF48F0" w:rsidRPr="00CB5F81">
        <w:rPr>
          <w:rFonts w:asciiTheme="majorHAnsi" w:eastAsia="Times New Roman" w:hAnsiTheme="majorHAnsi" w:cstheme="majorHAnsi"/>
          <w:color w:val="000000"/>
          <w:sz w:val="24"/>
          <w:szCs w:val="24"/>
          <w:lang w:val="ro-MD"/>
        </w:rPr>
        <w:t xml:space="preserve">de </w:t>
      </w:r>
      <w:r w:rsidRPr="00CB5F81">
        <w:rPr>
          <w:rFonts w:asciiTheme="majorHAnsi" w:eastAsia="Times New Roman" w:hAnsiTheme="majorHAnsi" w:cstheme="majorHAnsi"/>
          <w:color w:val="000000"/>
          <w:sz w:val="24"/>
          <w:szCs w:val="24"/>
          <w:lang w:val="ro-MD"/>
        </w:rPr>
        <w:t xml:space="preserve">SRL „Leonardo Cellars” doar </w:t>
      </w:r>
      <w:r w:rsidR="00FF48F0" w:rsidRPr="00CB5F81">
        <w:rPr>
          <w:rFonts w:asciiTheme="majorHAnsi" w:eastAsia="Times New Roman" w:hAnsiTheme="majorHAnsi" w:cstheme="majorHAnsi"/>
          <w:color w:val="000000"/>
          <w:sz w:val="24"/>
          <w:szCs w:val="24"/>
          <w:lang w:val="ro-MD"/>
        </w:rPr>
        <w:t>măsuri de conformare voluntar</w:t>
      </w:r>
      <w:r w:rsidR="00421B9A">
        <w:rPr>
          <w:rFonts w:asciiTheme="majorHAnsi" w:eastAsia="Times New Roman" w:hAnsiTheme="majorHAnsi" w:cstheme="majorHAnsi"/>
          <w:color w:val="000000"/>
          <w:sz w:val="24"/>
          <w:szCs w:val="24"/>
          <w:lang w:val="ro-MD"/>
        </w:rPr>
        <w:t>ă,</w:t>
      </w:r>
      <w:r w:rsidR="00FF48F0" w:rsidRPr="00CB5F81">
        <w:rPr>
          <w:rFonts w:asciiTheme="majorHAnsi" w:eastAsia="Times New Roman" w:hAnsiTheme="majorHAnsi" w:cstheme="majorHAnsi"/>
          <w:color w:val="000000"/>
          <w:sz w:val="24"/>
          <w:szCs w:val="24"/>
          <w:lang w:val="ro-MD"/>
        </w:rPr>
        <w:t xml:space="preserve"> prin aplicarea chestion</w:t>
      </w:r>
      <w:r w:rsidRPr="00CB5F81">
        <w:rPr>
          <w:rFonts w:asciiTheme="majorHAnsi" w:eastAsia="Times New Roman" w:hAnsiTheme="majorHAnsi" w:cstheme="majorHAnsi"/>
          <w:color w:val="000000"/>
          <w:sz w:val="24"/>
          <w:szCs w:val="24"/>
          <w:lang w:val="ro-MD"/>
        </w:rPr>
        <w:t>arului, fără a efectua</w:t>
      </w:r>
      <w:r w:rsidR="00CB0460">
        <w:rPr>
          <w:rFonts w:asciiTheme="majorHAnsi" w:eastAsia="Times New Roman" w:hAnsiTheme="majorHAnsi" w:cstheme="majorHAnsi"/>
          <w:color w:val="000000"/>
          <w:sz w:val="24"/>
          <w:szCs w:val="24"/>
          <w:lang w:val="ro-MD"/>
        </w:rPr>
        <w:t xml:space="preserve"> un</w:t>
      </w:r>
      <w:r w:rsidRPr="00CB5F81">
        <w:rPr>
          <w:rFonts w:asciiTheme="majorHAnsi" w:eastAsia="Times New Roman" w:hAnsiTheme="majorHAnsi" w:cstheme="majorHAnsi"/>
          <w:color w:val="000000"/>
          <w:sz w:val="24"/>
          <w:szCs w:val="24"/>
          <w:lang w:val="ro-MD"/>
        </w:rPr>
        <w:t xml:space="preserve"> control fiscal la ace</w:t>
      </w:r>
      <w:r w:rsidR="00421B9A">
        <w:rPr>
          <w:rFonts w:asciiTheme="majorHAnsi" w:eastAsia="Times New Roman" w:hAnsiTheme="majorHAnsi" w:cstheme="majorHAnsi"/>
          <w:color w:val="000000"/>
          <w:sz w:val="24"/>
          <w:szCs w:val="24"/>
          <w:lang w:val="ro-MD"/>
        </w:rPr>
        <w:t>a</w:t>
      </w:r>
      <w:r w:rsidRPr="00CB5F81">
        <w:rPr>
          <w:rFonts w:asciiTheme="majorHAnsi" w:eastAsia="Times New Roman" w:hAnsiTheme="majorHAnsi" w:cstheme="majorHAnsi"/>
          <w:color w:val="000000"/>
          <w:sz w:val="24"/>
          <w:szCs w:val="24"/>
          <w:lang w:val="ro-MD"/>
        </w:rPr>
        <w:t xml:space="preserve">sta. </w:t>
      </w:r>
    </w:p>
    <w:p w:rsidR="005F1A15" w:rsidRPr="00CB5F81" w:rsidRDefault="005F1A15" w:rsidP="00535226">
      <w:pPr>
        <w:pStyle w:val="ListParagraph"/>
        <w:tabs>
          <w:tab w:val="left" w:pos="360"/>
        </w:tabs>
        <w:spacing w:after="120"/>
        <w:ind w:left="0"/>
        <w:contextualSpacing w:val="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lastRenderedPageBreak/>
        <w:t>Auditul menționează și alte cazuri de achitare de către agenții economici a unor</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 xml:space="preserve">impozite și taxe </w:t>
      </w:r>
      <w:r w:rsidR="00CB0460">
        <w:rPr>
          <w:rFonts w:asciiTheme="majorHAnsi" w:eastAsia="Times New Roman" w:hAnsiTheme="majorHAnsi" w:cstheme="majorHAnsi"/>
          <w:color w:val="000000"/>
          <w:sz w:val="24"/>
          <w:szCs w:val="24"/>
          <w:lang w:val="ro-MD"/>
        </w:rPr>
        <w:t>în</w:t>
      </w:r>
      <w:r w:rsidRPr="00CB5F81">
        <w:rPr>
          <w:rFonts w:asciiTheme="majorHAnsi" w:eastAsia="Times New Roman" w:hAnsiTheme="majorHAnsi" w:cstheme="majorHAnsi"/>
          <w:color w:val="000000"/>
          <w:sz w:val="24"/>
          <w:szCs w:val="24"/>
          <w:lang w:val="ro-MD"/>
        </w:rPr>
        <w:t xml:space="preserve"> </w:t>
      </w:r>
      <w:r w:rsidR="00CB0460">
        <w:rPr>
          <w:rFonts w:asciiTheme="majorHAnsi" w:eastAsia="Times New Roman" w:hAnsiTheme="majorHAnsi" w:cstheme="majorHAnsi"/>
          <w:color w:val="000000"/>
          <w:sz w:val="24"/>
          <w:szCs w:val="24"/>
          <w:lang w:val="ro-MD"/>
        </w:rPr>
        <w:t xml:space="preserve">sume </w:t>
      </w:r>
      <w:r w:rsidRPr="00CB5F81">
        <w:rPr>
          <w:rFonts w:asciiTheme="majorHAnsi" w:eastAsia="Times New Roman" w:hAnsiTheme="majorHAnsi" w:cstheme="majorHAnsi"/>
          <w:color w:val="000000"/>
          <w:sz w:val="24"/>
          <w:szCs w:val="24"/>
          <w:lang w:val="ro-MD"/>
        </w:rPr>
        <w:t xml:space="preserve">de circa 10,0 mii lei, în timp ce au beneficiat de scutiri </w:t>
      </w:r>
      <w:r w:rsidR="00CB0460">
        <w:rPr>
          <w:rFonts w:asciiTheme="majorHAnsi" w:eastAsia="Times New Roman" w:hAnsiTheme="majorHAnsi" w:cstheme="majorHAnsi"/>
          <w:color w:val="000000"/>
          <w:sz w:val="24"/>
          <w:szCs w:val="24"/>
          <w:lang w:val="ro-MD"/>
        </w:rPr>
        <w:t>de</w:t>
      </w:r>
      <w:r w:rsidR="00C9359F" w:rsidRPr="00CB5F81">
        <w:rPr>
          <w:rFonts w:asciiTheme="majorHAnsi" w:eastAsia="Times New Roman" w:hAnsiTheme="majorHAnsi" w:cstheme="majorHAnsi"/>
          <w:color w:val="000000"/>
          <w:sz w:val="24"/>
          <w:szCs w:val="24"/>
          <w:lang w:val="ro-MD"/>
        </w:rPr>
        <w:t xml:space="preserve"> plata accizelor în valoare </w:t>
      </w:r>
      <w:r w:rsidRPr="00CB5F81">
        <w:rPr>
          <w:rFonts w:asciiTheme="majorHAnsi" w:eastAsia="Times New Roman" w:hAnsiTheme="majorHAnsi" w:cstheme="majorHAnsi"/>
          <w:color w:val="000000"/>
          <w:sz w:val="24"/>
          <w:szCs w:val="24"/>
          <w:lang w:val="ro-MD"/>
        </w:rPr>
        <w:t>de 5,0 mil</w:t>
      </w:r>
      <w:r w:rsidR="00CB0460">
        <w:rPr>
          <w:rFonts w:asciiTheme="majorHAnsi" w:eastAsia="Times New Roman" w:hAnsiTheme="majorHAnsi" w:cstheme="majorHAnsi"/>
          <w:color w:val="000000"/>
          <w:sz w:val="24"/>
          <w:szCs w:val="24"/>
          <w:lang w:val="ro-MD"/>
        </w:rPr>
        <w:t>,</w:t>
      </w:r>
      <w:r w:rsidRPr="00CB5F81">
        <w:rPr>
          <w:rFonts w:asciiTheme="majorHAnsi" w:eastAsia="Times New Roman" w:hAnsiTheme="majorHAnsi" w:cstheme="majorHAnsi"/>
          <w:color w:val="000000"/>
          <w:sz w:val="24"/>
          <w:szCs w:val="24"/>
          <w:lang w:val="ro-MD"/>
        </w:rPr>
        <w:t xml:space="preserve"> lei. Datele integrale </w:t>
      </w:r>
      <w:r w:rsidR="00CB0460">
        <w:rPr>
          <w:rFonts w:asciiTheme="majorHAnsi" w:eastAsia="Times New Roman" w:hAnsiTheme="majorHAnsi" w:cstheme="majorHAnsi"/>
          <w:color w:val="000000"/>
          <w:sz w:val="24"/>
          <w:szCs w:val="24"/>
          <w:lang w:val="ro-MD"/>
        </w:rPr>
        <w:t xml:space="preserve">în acest sens </w:t>
      </w:r>
      <w:r w:rsidRPr="00CB5F81">
        <w:rPr>
          <w:rFonts w:asciiTheme="majorHAnsi" w:eastAsia="Times New Roman" w:hAnsiTheme="majorHAnsi" w:cstheme="majorHAnsi"/>
          <w:color w:val="000000"/>
          <w:sz w:val="24"/>
          <w:szCs w:val="24"/>
          <w:lang w:val="ro-MD"/>
        </w:rPr>
        <w:t>sunt prezentate în Anexa nr</w:t>
      </w:r>
      <w:r w:rsidR="001B1134" w:rsidRPr="00CB5F81">
        <w:rPr>
          <w:rFonts w:asciiTheme="majorHAnsi" w:eastAsia="Times New Roman" w:hAnsiTheme="majorHAnsi" w:cstheme="majorHAnsi"/>
          <w:color w:val="000000"/>
          <w:sz w:val="24"/>
          <w:szCs w:val="24"/>
          <w:lang w:val="ro-MD"/>
        </w:rPr>
        <w:t>.</w:t>
      </w:r>
      <w:r w:rsidR="00345F26" w:rsidRPr="00CB5F81">
        <w:rPr>
          <w:rFonts w:asciiTheme="majorHAnsi" w:eastAsia="Times New Roman" w:hAnsiTheme="majorHAnsi" w:cstheme="majorHAnsi"/>
          <w:color w:val="000000"/>
          <w:sz w:val="24"/>
          <w:szCs w:val="24"/>
          <w:lang w:val="ro-MD"/>
        </w:rPr>
        <w:t>4</w:t>
      </w:r>
      <w:r w:rsidR="00C9359F" w:rsidRPr="00CB5F81">
        <w:rPr>
          <w:rFonts w:asciiTheme="majorHAnsi" w:eastAsia="Times New Roman" w:hAnsiTheme="majorHAnsi" w:cstheme="majorHAnsi"/>
          <w:color w:val="000000"/>
          <w:sz w:val="24"/>
          <w:szCs w:val="24"/>
          <w:lang w:val="ro-MD"/>
        </w:rPr>
        <w:t xml:space="preserve"> </w:t>
      </w:r>
      <w:r w:rsidR="00C9359F" w:rsidRPr="00426E0E">
        <w:rPr>
          <w:rFonts w:asciiTheme="majorHAnsi" w:eastAsia="Times New Roman" w:hAnsiTheme="majorHAnsi" w:cstheme="majorHAnsi"/>
          <w:color w:val="000000"/>
          <w:sz w:val="24"/>
          <w:szCs w:val="24"/>
          <w:lang w:val="ro-MD"/>
        </w:rPr>
        <w:t>la</w:t>
      </w:r>
      <w:r w:rsidR="004B7413" w:rsidRPr="00426E0E">
        <w:rPr>
          <w:rFonts w:asciiTheme="majorHAnsi" w:eastAsia="Times New Roman" w:hAnsiTheme="majorHAnsi" w:cstheme="majorHAnsi"/>
          <w:color w:val="000000"/>
          <w:sz w:val="24"/>
          <w:szCs w:val="24"/>
          <w:lang w:val="ro-MD"/>
        </w:rPr>
        <w:t xml:space="preserve"> prezentul Raport</w:t>
      </w:r>
      <w:r w:rsidR="00426E0E">
        <w:rPr>
          <w:rFonts w:asciiTheme="majorHAnsi" w:eastAsia="Times New Roman" w:hAnsiTheme="majorHAnsi" w:cstheme="majorHAnsi"/>
          <w:color w:val="000000"/>
          <w:sz w:val="24"/>
          <w:szCs w:val="24"/>
          <w:lang w:val="ro-MD"/>
        </w:rPr>
        <w:t xml:space="preserve"> </w:t>
      </w:r>
      <w:r w:rsidR="00C9359F" w:rsidRPr="00CB5F81">
        <w:rPr>
          <w:rFonts w:asciiTheme="majorHAnsi" w:eastAsia="Times New Roman" w:hAnsiTheme="majorHAnsi" w:cstheme="majorHAnsi"/>
          <w:color w:val="000000"/>
          <w:sz w:val="24"/>
          <w:szCs w:val="24"/>
          <w:lang w:val="ro-MD"/>
        </w:rPr>
        <w:t>de audit.</w:t>
      </w:r>
    </w:p>
    <w:p w:rsidR="00B77114" w:rsidRPr="00CB5F81" w:rsidRDefault="006B38DF" w:rsidP="00535226">
      <w:pPr>
        <w:pStyle w:val="ListParagraph"/>
        <w:tabs>
          <w:tab w:val="left" w:pos="360"/>
        </w:tabs>
        <w:spacing w:after="120"/>
        <w:ind w:left="0"/>
        <w:contextualSpacing w:val="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O altă situație s-a atestat</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la</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acordarea</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de către MAIA a scutiri</w:t>
      </w:r>
      <w:r w:rsidR="00CB0460">
        <w:rPr>
          <w:rFonts w:asciiTheme="majorHAnsi" w:eastAsia="Times New Roman" w:hAnsiTheme="majorHAnsi" w:cstheme="majorHAnsi"/>
          <w:color w:val="000000"/>
          <w:sz w:val="24"/>
          <w:szCs w:val="24"/>
          <w:lang w:val="ro-MD"/>
        </w:rPr>
        <w:t>i</w:t>
      </w:r>
      <w:r w:rsidRPr="00CB5F81">
        <w:rPr>
          <w:rFonts w:asciiTheme="majorHAnsi" w:eastAsia="Times New Roman" w:hAnsiTheme="majorHAnsi" w:cstheme="majorHAnsi"/>
          <w:color w:val="000000"/>
          <w:sz w:val="24"/>
          <w:szCs w:val="24"/>
          <w:lang w:val="ro-MD"/>
        </w:rPr>
        <w:t xml:space="preserve"> de acciz</w:t>
      </w:r>
      <w:r w:rsidR="006B3891">
        <w:rPr>
          <w:rFonts w:asciiTheme="majorHAnsi" w:eastAsia="Times New Roman" w:hAnsiTheme="majorHAnsi" w:cstheme="majorHAnsi"/>
          <w:color w:val="000000"/>
          <w:sz w:val="24"/>
          <w:szCs w:val="24"/>
          <w:lang w:val="ro-MD"/>
        </w:rPr>
        <w:t>e</w:t>
      </w:r>
      <w:r w:rsidRPr="00CB5F81">
        <w:rPr>
          <w:rFonts w:asciiTheme="majorHAnsi" w:eastAsia="Times New Roman" w:hAnsiTheme="majorHAnsi" w:cstheme="majorHAnsi"/>
          <w:color w:val="000000"/>
          <w:sz w:val="24"/>
          <w:szCs w:val="24"/>
          <w:lang w:val="ro-MD"/>
        </w:rPr>
        <w:t xml:space="preserve"> </w:t>
      </w:r>
      <w:r w:rsidR="00CB0460">
        <w:rPr>
          <w:rFonts w:asciiTheme="majorHAnsi" w:eastAsia="Times New Roman" w:hAnsiTheme="majorHAnsi" w:cstheme="majorHAnsi"/>
          <w:color w:val="000000"/>
          <w:sz w:val="24"/>
          <w:szCs w:val="24"/>
          <w:lang w:val="ro-MD"/>
        </w:rPr>
        <w:t>pentru</w:t>
      </w:r>
      <w:r w:rsidRPr="00CB5F81">
        <w:rPr>
          <w:rFonts w:asciiTheme="majorHAnsi" w:eastAsia="Times New Roman" w:hAnsiTheme="majorHAnsi" w:cstheme="majorHAnsi"/>
          <w:color w:val="000000"/>
          <w:sz w:val="24"/>
          <w:szCs w:val="24"/>
          <w:lang w:val="ro-MD"/>
        </w:rPr>
        <w:t xml:space="preserve"> SRL</w:t>
      </w:r>
      <w:r w:rsidR="00CB0460">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„Golub- Stil”</w:t>
      </w:r>
      <w:r w:rsidR="00CB0460">
        <w:rPr>
          <w:rFonts w:asciiTheme="majorHAnsi" w:eastAsia="Times New Roman" w:hAnsiTheme="majorHAnsi" w:cstheme="majorHAnsi"/>
          <w:color w:val="000000"/>
          <w:sz w:val="24"/>
          <w:szCs w:val="24"/>
          <w:lang w:val="ro-MD"/>
        </w:rPr>
        <w:t>,</w:t>
      </w:r>
      <w:r w:rsidRPr="00CB5F81">
        <w:rPr>
          <w:rFonts w:asciiTheme="majorHAnsi" w:eastAsia="Times New Roman" w:hAnsiTheme="majorHAnsi" w:cstheme="majorHAnsi"/>
          <w:color w:val="000000"/>
          <w:sz w:val="24"/>
          <w:szCs w:val="24"/>
          <w:lang w:val="ro-MD"/>
        </w:rPr>
        <w:t xml:space="preserve"> în</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valoare de 0,5 mil.lei. Potrivit informației prezentate de ANSP</w:t>
      </w:r>
      <w:r w:rsidR="00CB0460">
        <w:rPr>
          <w:rFonts w:asciiTheme="majorHAnsi" w:eastAsia="Times New Roman" w:hAnsiTheme="majorHAnsi" w:cstheme="majorHAnsi"/>
          <w:color w:val="000000"/>
          <w:sz w:val="24"/>
          <w:szCs w:val="24"/>
          <w:lang w:val="ro-MD"/>
        </w:rPr>
        <w:t>,</w:t>
      </w:r>
      <w:r w:rsidRPr="00CB5F81">
        <w:rPr>
          <w:rFonts w:asciiTheme="majorHAnsi" w:eastAsia="Times New Roman" w:hAnsiTheme="majorHAnsi" w:cstheme="majorHAnsi"/>
          <w:color w:val="000000"/>
          <w:sz w:val="24"/>
          <w:szCs w:val="24"/>
          <w:lang w:val="ro-MD"/>
        </w:rPr>
        <w:t xml:space="preserve"> acest agent economic</w:t>
      </w:r>
      <w:r w:rsidR="00EC1EAF">
        <w:rPr>
          <w:rFonts w:asciiTheme="majorHAnsi" w:eastAsia="Times New Roman" w:hAnsiTheme="majorHAnsi" w:cstheme="majorHAnsi"/>
          <w:color w:val="000000"/>
          <w:sz w:val="24"/>
          <w:szCs w:val="24"/>
          <w:lang w:val="ro-MD"/>
        </w:rPr>
        <w:t xml:space="preserve"> </w:t>
      </w:r>
      <w:r w:rsidR="00B77114" w:rsidRPr="00CB5F81">
        <w:rPr>
          <w:rFonts w:asciiTheme="majorHAnsi" w:eastAsia="Times New Roman" w:hAnsiTheme="majorHAnsi" w:cstheme="majorHAnsi"/>
          <w:color w:val="000000"/>
          <w:sz w:val="24"/>
          <w:szCs w:val="24"/>
          <w:lang w:val="ro-MD"/>
        </w:rPr>
        <w:t xml:space="preserve">nu are înregistrate avize sanitare și certificate pentru </w:t>
      </w:r>
      <w:r w:rsidR="00631605" w:rsidRPr="00CB5F81">
        <w:rPr>
          <w:rFonts w:asciiTheme="majorHAnsi" w:eastAsia="Times New Roman" w:hAnsiTheme="majorHAnsi" w:cstheme="majorHAnsi"/>
          <w:color w:val="000000"/>
          <w:sz w:val="24"/>
          <w:szCs w:val="24"/>
          <w:lang w:val="ro-MD"/>
        </w:rPr>
        <w:t>fabricarea</w:t>
      </w:r>
      <w:r w:rsidR="00B77114" w:rsidRPr="00CB5F81">
        <w:rPr>
          <w:rFonts w:asciiTheme="majorHAnsi" w:eastAsia="Times New Roman" w:hAnsiTheme="majorHAnsi" w:cstheme="majorHAnsi"/>
          <w:color w:val="000000"/>
          <w:sz w:val="24"/>
          <w:szCs w:val="24"/>
          <w:lang w:val="ro-MD"/>
        </w:rPr>
        <w:t xml:space="preserve"> produs</w:t>
      </w:r>
      <w:r w:rsidR="00C9359F" w:rsidRPr="00CB5F81">
        <w:rPr>
          <w:rFonts w:asciiTheme="majorHAnsi" w:eastAsia="Times New Roman" w:hAnsiTheme="majorHAnsi" w:cstheme="majorHAnsi"/>
          <w:color w:val="000000"/>
          <w:sz w:val="24"/>
          <w:szCs w:val="24"/>
          <w:lang w:val="ro-MD"/>
        </w:rPr>
        <w:t>elor cosmetice/dezinfectanților</w:t>
      </w:r>
      <w:r w:rsidRPr="00CB5F81">
        <w:rPr>
          <w:rStyle w:val="FootnoteReference"/>
          <w:rFonts w:asciiTheme="majorHAnsi" w:eastAsia="Times New Roman" w:hAnsiTheme="majorHAnsi" w:cstheme="majorHAnsi"/>
          <w:color w:val="000000"/>
          <w:sz w:val="24"/>
          <w:szCs w:val="24"/>
          <w:lang w:val="ro-MD"/>
        </w:rPr>
        <w:footnoteReference w:id="57"/>
      </w:r>
      <w:r w:rsidRPr="00CB5F81">
        <w:rPr>
          <w:rFonts w:asciiTheme="majorHAnsi" w:eastAsia="Times New Roman" w:hAnsiTheme="majorHAnsi" w:cstheme="majorHAnsi"/>
          <w:color w:val="000000"/>
          <w:sz w:val="24"/>
          <w:szCs w:val="24"/>
          <w:lang w:val="ro-MD"/>
        </w:rPr>
        <w:t>, o</w:t>
      </w:r>
      <w:r w:rsidR="00C9359F" w:rsidRPr="00CB5F81">
        <w:rPr>
          <w:rFonts w:asciiTheme="majorHAnsi" w:eastAsia="Times New Roman" w:hAnsiTheme="majorHAnsi" w:cstheme="majorHAnsi"/>
          <w:color w:val="000000"/>
          <w:sz w:val="24"/>
          <w:szCs w:val="24"/>
          <w:lang w:val="ro-MD"/>
        </w:rPr>
        <w:t>r</w:t>
      </w:r>
      <w:r w:rsidR="00CB0460">
        <w:rPr>
          <w:rFonts w:asciiTheme="majorHAnsi" w:eastAsia="Times New Roman" w:hAnsiTheme="majorHAnsi" w:cstheme="majorHAnsi"/>
          <w:color w:val="000000"/>
          <w:sz w:val="24"/>
          <w:szCs w:val="24"/>
          <w:lang w:val="ro-MD"/>
        </w:rPr>
        <w:t>,</w:t>
      </w:r>
      <w:r w:rsidR="00C9359F" w:rsidRPr="00CB5F81">
        <w:rPr>
          <w:rFonts w:asciiTheme="majorHAnsi" w:eastAsia="Times New Roman" w:hAnsiTheme="majorHAnsi" w:cstheme="majorHAnsi"/>
          <w:color w:val="000000"/>
          <w:sz w:val="24"/>
          <w:szCs w:val="24"/>
          <w:lang w:val="ro-MD"/>
        </w:rPr>
        <w:t xml:space="preserve"> </w:t>
      </w:r>
      <w:r w:rsidR="00631605" w:rsidRPr="00CB5F81">
        <w:rPr>
          <w:rFonts w:asciiTheme="majorHAnsi" w:eastAsia="Times New Roman" w:hAnsiTheme="majorHAnsi" w:cstheme="majorHAnsi"/>
          <w:color w:val="000000"/>
          <w:sz w:val="24"/>
          <w:szCs w:val="24"/>
          <w:lang w:val="ro-MD"/>
        </w:rPr>
        <w:t>ace</w:t>
      </w:r>
      <w:r w:rsidR="003337E8" w:rsidRPr="00CB5F81">
        <w:rPr>
          <w:rFonts w:asciiTheme="majorHAnsi" w:eastAsia="Times New Roman" w:hAnsiTheme="majorHAnsi" w:cstheme="majorHAnsi"/>
          <w:color w:val="000000"/>
          <w:sz w:val="24"/>
          <w:szCs w:val="24"/>
          <w:lang w:val="ro-MD"/>
        </w:rPr>
        <w:t>a</w:t>
      </w:r>
      <w:r w:rsidR="00631605" w:rsidRPr="00CB5F81">
        <w:rPr>
          <w:rFonts w:asciiTheme="majorHAnsi" w:eastAsia="Times New Roman" w:hAnsiTheme="majorHAnsi" w:cstheme="majorHAnsi"/>
          <w:color w:val="000000"/>
          <w:sz w:val="24"/>
          <w:szCs w:val="24"/>
          <w:lang w:val="ro-MD"/>
        </w:rPr>
        <w:t>stă</w:t>
      </w:r>
      <w:r w:rsidR="00C9359F" w:rsidRPr="00CB5F81">
        <w:rPr>
          <w:rFonts w:asciiTheme="majorHAnsi" w:eastAsia="Times New Roman" w:hAnsiTheme="majorHAnsi" w:cstheme="majorHAnsi"/>
          <w:color w:val="000000"/>
          <w:sz w:val="24"/>
          <w:szCs w:val="24"/>
          <w:lang w:val="ro-MD"/>
        </w:rPr>
        <w:t xml:space="preserve"> societate nu desfășoară</w:t>
      </w:r>
      <w:r w:rsidR="00EC1EAF">
        <w:rPr>
          <w:rFonts w:asciiTheme="majorHAnsi" w:eastAsia="Times New Roman" w:hAnsiTheme="majorHAnsi" w:cstheme="majorHAnsi"/>
          <w:color w:val="000000"/>
          <w:sz w:val="24"/>
          <w:szCs w:val="24"/>
          <w:lang w:val="ro-MD"/>
        </w:rPr>
        <w:t xml:space="preserve"> </w:t>
      </w:r>
      <w:r w:rsidR="00C9359F" w:rsidRPr="00CB5F81">
        <w:rPr>
          <w:rFonts w:asciiTheme="majorHAnsi" w:eastAsia="Times New Roman" w:hAnsiTheme="majorHAnsi" w:cstheme="majorHAnsi"/>
          <w:color w:val="000000"/>
          <w:sz w:val="24"/>
          <w:szCs w:val="24"/>
          <w:lang w:val="ro-MD"/>
        </w:rPr>
        <w:t>activități care cad sub incidența scutirilor,</w:t>
      </w:r>
      <w:r w:rsidR="00EC1EAF">
        <w:rPr>
          <w:rFonts w:asciiTheme="majorHAnsi" w:eastAsia="Times New Roman" w:hAnsiTheme="majorHAnsi" w:cstheme="majorHAnsi"/>
          <w:color w:val="000000"/>
          <w:sz w:val="24"/>
          <w:szCs w:val="24"/>
          <w:lang w:val="ro-MD"/>
        </w:rPr>
        <w:t xml:space="preserve"> </w:t>
      </w:r>
      <w:r w:rsidR="00C9359F" w:rsidRPr="00CB5F81">
        <w:rPr>
          <w:rFonts w:asciiTheme="majorHAnsi" w:eastAsia="Times New Roman" w:hAnsiTheme="majorHAnsi" w:cstheme="majorHAnsi"/>
          <w:color w:val="000000"/>
          <w:sz w:val="24"/>
          <w:szCs w:val="24"/>
          <w:lang w:val="ro-MD"/>
        </w:rPr>
        <w:t>în aceste condiții</w:t>
      </w:r>
      <w:r w:rsidR="00EC1EAF">
        <w:rPr>
          <w:rFonts w:asciiTheme="majorHAnsi" w:eastAsia="Times New Roman" w:hAnsiTheme="majorHAnsi" w:cstheme="majorHAnsi"/>
          <w:color w:val="000000"/>
          <w:sz w:val="24"/>
          <w:szCs w:val="24"/>
          <w:lang w:val="ro-MD"/>
        </w:rPr>
        <w:t xml:space="preserve"> </w:t>
      </w:r>
      <w:r w:rsidR="00631605" w:rsidRPr="00CB5F81">
        <w:rPr>
          <w:rFonts w:asciiTheme="majorHAnsi" w:eastAsia="Times New Roman" w:hAnsiTheme="majorHAnsi" w:cstheme="majorHAnsi"/>
          <w:color w:val="000000"/>
          <w:sz w:val="24"/>
          <w:szCs w:val="24"/>
          <w:lang w:val="ro-MD"/>
        </w:rPr>
        <w:t>facilitate</w:t>
      </w:r>
      <w:r w:rsidR="00C9359F" w:rsidRPr="00CB5F81">
        <w:rPr>
          <w:rFonts w:asciiTheme="majorHAnsi" w:eastAsia="Times New Roman" w:hAnsiTheme="majorHAnsi" w:cstheme="majorHAnsi"/>
          <w:color w:val="000000"/>
          <w:sz w:val="24"/>
          <w:szCs w:val="24"/>
          <w:lang w:val="ro-MD"/>
        </w:rPr>
        <w:t>a</w:t>
      </w:r>
      <w:r w:rsidR="00EC1EAF">
        <w:rPr>
          <w:rFonts w:asciiTheme="majorHAnsi" w:eastAsia="Times New Roman" w:hAnsiTheme="majorHAnsi" w:cstheme="majorHAnsi"/>
          <w:color w:val="000000"/>
          <w:sz w:val="24"/>
          <w:szCs w:val="24"/>
          <w:lang w:val="ro-MD"/>
        </w:rPr>
        <w:t xml:space="preserve"> </w:t>
      </w:r>
      <w:r w:rsidR="00631605" w:rsidRPr="00CB5F81">
        <w:rPr>
          <w:rFonts w:asciiTheme="majorHAnsi" w:eastAsia="Times New Roman" w:hAnsiTheme="majorHAnsi" w:cstheme="majorHAnsi"/>
          <w:color w:val="000000"/>
          <w:sz w:val="24"/>
          <w:szCs w:val="24"/>
          <w:lang w:val="ro-MD"/>
        </w:rPr>
        <w:t>fiind acordată</w:t>
      </w:r>
      <w:r w:rsidR="00C9359F" w:rsidRPr="00CB5F81">
        <w:rPr>
          <w:rFonts w:asciiTheme="majorHAnsi" w:eastAsia="Times New Roman" w:hAnsiTheme="majorHAnsi" w:cstheme="majorHAnsi"/>
          <w:color w:val="000000"/>
          <w:sz w:val="24"/>
          <w:szCs w:val="24"/>
          <w:lang w:val="ro-MD"/>
        </w:rPr>
        <w:t xml:space="preserve"> neconform.</w:t>
      </w:r>
      <w:r w:rsidR="00631605" w:rsidRPr="00CB5F81">
        <w:rPr>
          <w:rFonts w:asciiTheme="majorHAnsi" w:eastAsia="Times New Roman" w:hAnsiTheme="majorHAnsi" w:cstheme="majorHAnsi"/>
          <w:color w:val="000000"/>
          <w:sz w:val="24"/>
          <w:szCs w:val="24"/>
          <w:lang w:val="ro-MD"/>
        </w:rPr>
        <w:t xml:space="preserve"> </w:t>
      </w:r>
    </w:p>
    <w:p w:rsidR="00DB0FDE" w:rsidRDefault="002A0542" w:rsidP="00DB0FDE">
      <w:pPr>
        <w:pStyle w:val="ListParagraph"/>
        <w:tabs>
          <w:tab w:val="left" w:pos="360"/>
        </w:tabs>
        <w:spacing w:after="120"/>
        <w:ind w:left="0"/>
        <w:contextualSpacing w:val="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În contextul expus</w:t>
      </w:r>
      <w:r w:rsidR="00CB0460">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se</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 xml:space="preserve">relevă lipsa unei monitorizări din partea autorităților statului ( MAIA și SFS) a corectitudinii utilizării </w:t>
      </w:r>
      <w:r w:rsidR="00CB0460">
        <w:rPr>
          <w:rFonts w:asciiTheme="majorHAnsi" w:eastAsia="Times New Roman" w:hAnsiTheme="majorHAnsi" w:cstheme="majorHAnsi"/>
          <w:color w:val="000000"/>
          <w:sz w:val="24"/>
          <w:szCs w:val="24"/>
          <w:lang w:val="ro-MD"/>
        </w:rPr>
        <w:t>conform</w:t>
      </w:r>
      <w:r w:rsidRPr="00CB5F81">
        <w:rPr>
          <w:rFonts w:asciiTheme="majorHAnsi" w:eastAsia="Times New Roman" w:hAnsiTheme="majorHAnsi" w:cstheme="majorHAnsi"/>
          <w:color w:val="000000"/>
          <w:sz w:val="24"/>
          <w:szCs w:val="24"/>
          <w:lang w:val="ro-MD"/>
        </w:rPr>
        <w:t xml:space="preserve"> destinației a alcoolului etilic nedenaturat. În viziunea auditului, SFS a dispus de instrumente prin intermediul cărora</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putea</w:t>
      </w:r>
      <w:r w:rsidR="00EC1EAF">
        <w:rPr>
          <w:rFonts w:asciiTheme="majorHAnsi" w:eastAsia="Times New Roman" w:hAnsiTheme="majorHAnsi" w:cstheme="majorHAnsi"/>
          <w:color w:val="000000"/>
          <w:sz w:val="24"/>
          <w:szCs w:val="24"/>
          <w:lang w:val="ro-MD"/>
        </w:rPr>
        <w:t xml:space="preserve"> </w:t>
      </w:r>
      <w:r w:rsidR="000D2E25" w:rsidRPr="00CB5F81">
        <w:rPr>
          <w:rFonts w:asciiTheme="majorHAnsi" w:eastAsia="Times New Roman" w:hAnsiTheme="majorHAnsi" w:cstheme="majorHAnsi"/>
          <w:color w:val="000000"/>
          <w:sz w:val="24"/>
          <w:szCs w:val="24"/>
          <w:lang w:val="ro-MD"/>
        </w:rPr>
        <w:t xml:space="preserve">fi </w:t>
      </w:r>
      <w:r w:rsidRPr="00CB5F81">
        <w:rPr>
          <w:rFonts w:asciiTheme="majorHAnsi" w:eastAsia="Times New Roman" w:hAnsiTheme="majorHAnsi" w:cstheme="majorHAnsi"/>
          <w:color w:val="000000"/>
          <w:sz w:val="24"/>
          <w:szCs w:val="24"/>
          <w:lang w:val="ro-MD"/>
        </w:rPr>
        <w:t>asigu</w:t>
      </w:r>
      <w:r w:rsidR="003337E8" w:rsidRPr="00CB5F81">
        <w:rPr>
          <w:rFonts w:asciiTheme="majorHAnsi" w:eastAsia="Times New Roman" w:hAnsiTheme="majorHAnsi" w:cstheme="majorHAnsi"/>
          <w:color w:val="000000"/>
          <w:sz w:val="24"/>
          <w:szCs w:val="24"/>
          <w:lang w:val="ro-MD"/>
        </w:rPr>
        <w:t>rată o</w:t>
      </w:r>
      <w:r w:rsidR="000D2E25" w:rsidRPr="00CB5F81">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monitorizare a alcoolului etilic</w:t>
      </w:r>
      <w:r w:rsidR="000D2E25" w:rsidRPr="00CB5F81">
        <w:rPr>
          <w:rFonts w:asciiTheme="majorHAnsi" w:eastAsia="Times New Roman" w:hAnsiTheme="majorHAnsi" w:cstheme="majorHAnsi"/>
          <w:color w:val="000000"/>
          <w:sz w:val="24"/>
          <w:szCs w:val="24"/>
          <w:lang w:val="ro-MD"/>
        </w:rPr>
        <w:t xml:space="preserve"> utilizat în </w:t>
      </w:r>
      <w:r w:rsidR="000D2E25" w:rsidRPr="00426E0E">
        <w:rPr>
          <w:rFonts w:asciiTheme="majorHAnsi" w:eastAsia="Times New Roman" w:hAnsiTheme="majorHAnsi" w:cstheme="majorHAnsi"/>
          <w:color w:val="000000"/>
          <w:sz w:val="24"/>
          <w:szCs w:val="24"/>
          <w:lang w:val="ro-MD"/>
        </w:rPr>
        <w:t>aceste s</w:t>
      </w:r>
      <w:r w:rsidR="000D2E25" w:rsidRPr="00CB5F81">
        <w:rPr>
          <w:rFonts w:asciiTheme="majorHAnsi" w:eastAsia="Times New Roman" w:hAnsiTheme="majorHAnsi" w:cstheme="majorHAnsi"/>
          <w:color w:val="000000"/>
          <w:sz w:val="24"/>
          <w:szCs w:val="24"/>
          <w:lang w:val="ro-MD"/>
        </w:rPr>
        <w:t>copuri</w:t>
      </w:r>
      <w:r w:rsidR="003337E8" w:rsidRPr="00CB5F81">
        <w:rPr>
          <w:rFonts w:asciiTheme="majorHAnsi" w:eastAsia="Times New Roman" w:hAnsiTheme="majorHAnsi" w:cstheme="majorHAnsi"/>
          <w:color w:val="000000"/>
          <w:sz w:val="24"/>
          <w:szCs w:val="24"/>
          <w:lang w:val="ro-MD"/>
        </w:rPr>
        <w:t>, de care, însă,</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nu</w:t>
      </w:r>
      <w:r w:rsidR="003337E8" w:rsidRPr="00CB5F81">
        <w:rPr>
          <w:rFonts w:asciiTheme="majorHAnsi" w:eastAsia="Times New Roman" w:hAnsiTheme="majorHAnsi" w:cstheme="majorHAnsi"/>
          <w:color w:val="000000"/>
          <w:sz w:val="24"/>
          <w:szCs w:val="24"/>
          <w:lang w:val="ro-MD"/>
        </w:rPr>
        <w:t xml:space="preserve"> a făcut</w:t>
      </w:r>
      <w:r w:rsidR="00EC1EAF">
        <w:rPr>
          <w:rFonts w:asciiTheme="majorHAnsi" w:eastAsia="Times New Roman" w:hAnsiTheme="majorHAnsi" w:cstheme="majorHAnsi"/>
          <w:color w:val="000000"/>
          <w:sz w:val="24"/>
          <w:szCs w:val="24"/>
          <w:lang w:val="ro-MD"/>
        </w:rPr>
        <w:t xml:space="preserve"> </w:t>
      </w:r>
      <w:r w:rsidR="003337E8" w:rsidRPr="00CB5F81">
        <w:rPr>
          <w:rFonts w:asciiTheme="majorHAnsi" w:eastAsia="Times New Roman" w:hAnsiTheme="majorHAnsi" w:cstheme="majorHAnsi"/>
          <w:color w:val="000000"/>
          <w:sz w:val="24"/>
          <w:szCs w:val="24"/>
          <w:lang w:val="ro-MD"/>
        </w:rPr>
        <w:t>uz</w:t>
      </w:r>
      <w:r w:rsidRPr="00CB5F81">
        <w:rPr>
          <w:rFonts w:asciiTheme="majorHAnsi" w:eastAsia="Times New Roman" w:hAnsiTheme="majorHAnsi" w:cstheme="majorHAnsi"/>
          <w:color w:val="000000"/>
          <w:sz w:val="24"/>
          <w:szCs w:val="24"/>
          <w:lang w:val="ro-MD"/>
        </w:rPr>
        <w:t>.</w:t>
      </w:r>
      <w:r w:rsidRPr="00CB5F81">
        <w:rPr>
          <w:rFonts w:asciiTheme="majorHAnsi" w:hAnsiTheme="majorHAnsi" w:cstheme="majorHAnsi"/>
          <w:sz w:val="24"/>
          <w:szCs w:val="24"/>
          <w:lang w:val="ro-MD"/>
        </w:rPr>
        <w:t xml:space="preserve"> Astfel, </w:t>
      </w:r>
      <w:r w:rsidRPr="00CB5F81">
        <w:rPr>
          <w:rFonts w:asciiTheme="majorHAnsi" w:eastAsia="Times New Roman" w:hAnsiTheme="majorHAnsi" w:cstheme="majorHAnsi"/>
          <w:color w:val="000000"/>
          <w:sz w:val="24"/>
          <w:szCs w:val="24"/>
          <w:lang w:val="ro-MD"/>
        </w:rPr>
        <w:t>conform</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art.12 alin. (2) din</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 xml:space="preserve">Legea nr. 1100 din 30.06.2000 cu privire la fabricarea și circulația alcoolului etilic și a producției alcoolice, </w:t>
      </w:r>
      <w:r w:rsidR="003337E8" w:rsidRPr="00CB5F81">
        <w:rPr>
          <w:rFonts w:asciiTheme="majorHAnsi" w:eastAsia="Times New Roman" w:hAnsiTheme="majorHAnsi" w:cstheme="majorHAnsi"/>
          <w:color w:val="000000"/>
          <w:sz w:val="24"/>
          <w:szCs w:val="24"/>
          <w:lang w:val="ro-MD"/>
        </w:rPr>
        <w:t xml:space="preserve">se </w:t>
      </w:r>
      <w:r w:rsidRPr="00CB5F81">
        <w:rPr>
          <w:rFonts w:asciiTheme="majorHAnsi" w:eastAsia="Times New Roman" w:hAnsiTheme="majorHAnsi" w:cstheme="majorHAnsi"/>
          <w:color w:val="000000"/>
          <w:sz w:val="24"/>
          <w:szCs w:val="24"/>
          <w:lang w:val="ro-MD"/>
        </w:rPr>
        <w:t>statuează că „Serviciul Fiscal de Stat extrage lunar datele privind consumul de alcool etilic prin contoare de eviden</w:t>
      </w:r>
      <w:r w:rsidR="00CB0460">
        <w:rPr>
          <w:rFonts w:asciiTheme="majorHAnsi" w:eastAsia="Times New Roman" w:hAnsiTheme="majorHAnsi" w:cstheme="majorHAnsi"/>
          <w:color w:val="000000"/>
          <w:sz w:val="24"/>
          <w:szCs w:val="24"/>
          <w:lang w:val="ro-MD"/>
        </w:rPr>
        <w:t>ț</w:t>
      </w:r>
      <w:r w:rsidRPr="00CB5F81">
        <w:rPr>
          <w:rFonts w:asciiTheme="majorHAnsi" w:eastAsia="Times New Roman" w:hAnsiTheme="majorHAnsi" w:cstheme="majorHAnsi"/>
          <w:color w:val="000000"/>
          <w:sz w:val="24"/>
          <w:szCs w:val="24"/>
          <w:lang w:val="ro-MD"/>
        </w:rPr>
        <w:t>ă cu memorie fiscală”.</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Deși, lunar</w:t>
      </w:r>
      <w:r w:rsidR="00CB0460">
        <w:rPr>
          <w:rFonts w:asciiTheme="majorHAnsi" w:eastAsia="Times New Roman" w:hAnsiTheme="majorHAnsi" w:cstheme="majorHAnsi"/>
          <w:color w:val="000000"/>
          <w:sz w:val="24"/>
          <w:szCs w:val="24"/>
          <w:lang w:val="ro-MD"/>
        </w:rPr>
        <w:t>,</w:t>
      </w:r>
      <w:r w:rsidRPr="00CB5F81">
        <w:rPr>
          <w:rFonts w:asciiTheme="majorHAnsi" w:eastAsia="Times New Roman" w:hAnsiTheme="majorHAnsi" w:cstheme="majorHAnsi"/>
          <w:color w:val="000000"/>
          <w:sz w:val="24"/>
          <w:szCs w:val="24"/>
          <w:lang w:val="ro-MD"/>
        </w:rPr>
        <w:t xml:space="preserve"> SFS </w:t>
      </w:r>
      <w:r w:rsidR="00DB0FDE" w:rsidRPr="00CB5F81">
        <w:rPr>
          <w:rFonts w:asciiTheme="majorHAnsi" w:eastAsia="Times New Roman" w:hAnsiTheme="majorHAnsi" w:cstheme="majorHAnsi"/>
          <w:color w:val="000000"/>
          <w:sz w:val="24"/>
          <w:szCs w:val="24"/>
          <w:lang w:val="ro-MD"/>
        </w:rPr>
        <w:t xml:space="preserve">întocmește </w:t>
      </w:r>
      <w:r w:rsidRPr="00CB5F81">
        <w:rPr>
          <w:rFonts w:asciiTheme="majorHAnsi" w:eastAsia="Times New Roman" w:hAnsiTheme="majorHAnsi" w:cstheme="majorHAnsi"/>
          <w:color w:val="000000"/>
          <w:sz w:val="24"/>
          <w:szCs w:val="24"/>
          <w:lang w:val="ro-MD"/>
        </w:rPr>
        <w:t>Rapoartel</w:t>
      </w:r>
      <w:r w:rsidR="00DB0FDE" w:rsidRPr="00CB5F81">
        <w:rPr>
          <w:rFonts w:asciiTheme="majorHAnsi" w:eastAsia="Times New Roman" w:hAnsiTheme="majorHAnsi" w:cstheme="majorHAnsi"/>
          <w:color w:val="000000"/>
          <w:sz w:val="24"/>
          <w:szCs w:val="24"/>
          <w:lang w:val="ro-MD"/>
        </w:rPr>
        <w:t>e</w:t>
      </w:r>
      <w:r w:rsidRPr="00CB5F81">
        <w:rPr>
          <w:rFonts w:asciiTheme="majorHAnsi" w:eastAsia="Times New Roman" w:hAnsiTheme="majorHAnsi" w:cstheme="majorHAnsi"/>
          <w:color w:val="000000"/>
          <w:sz w:val="24"/>
          <w:szCs w:val="24"/>
          <w:lang w:val="ro-MD"/>
        </w:rPr>
        <w:t xml:space="preserve"> privind vânzarea</w:t>
      </w:r>
      <w:r w:rsidR="00D502AD" w:rsidRPr="00CB5F81">
        <w:rPr>
          <w:rFonts w:asciiTheme="majorHAnsi" w:eastAsia="Times New Roman" w:hAnsiTheme="majorHAnsi" w:cstheme="majorHAnsi"/>
          <w:color w:val="000000"/>
          <w:sz w:val="24"/>
          <w:szCs w:val="24"/>
          <w:lang w:val="ro-MD"/>
        </w:rPr>
        <w:t>/</w:t>
      </w:r>
      <w:r w:rsidRPr="00CB5F81">
        <w:rPr>
          <w:rFonts w:asciiTheme="majorHAnsi" w:eastAsia="Times New Roman" w:hAnsiTheme="majorHAnsi" w:cstheme="majorHAnsi"/>
          <w:color w:val="000000"/>
          <w:sz w:val="24"/>
          <w:szCs w:val="24"/>
          <w:lang w:val="ro-MD"/>
        </w:rPr>
        <w:t xml:space="preserve"> procurarea alcoolului etilic și distilatelor (forma ALCC)</w:t>
      </w:r>
      <w:r w:rsidR="00DB0FDE" w:rsidRPr="00CB5F81">
        <w:rPr>
          <w:rFonts w:asciiTheme="majorHAnsi" w:eastAsia="Times New Roman" w:hAnsiTheme="majorHAnsi" w:cstheme="majorHAnsi"/>
          <w:color w:val="000000"/>
          <w:sz w:val="24"/>
          <w:szCs w:val="24"/>
          <w:lang w:val="ro-MD"/>
        </w:rPr>
        <w:t>, înregistrat</w:t>
      </w:r>
      <w:r w:rsidR="00CB0460">
        <w:rPr>
          <w:rFonts w:asciiTheme="majorHAnsi" w:eastAsia="Times New Roman" w:hAnsiTheme="majorHAnsi" w:cstheme="majorHAnsi"/>
          <w:color w:val="000000"/>
          <w:sz w:val="24"/>
          <w:szCs w:val="24"/>
          <w:lang w:val="ro-MD"/>
        </w:rPr>
        <w:t>e</w:t>
      </w:r>
      <w:r w:rsidR="00EC1EAF">
        <w:rPr>
          <w:rFonts w:asciiTheme="majorHAnsi" w:eastAsia="Times New Roman" w:hAnsiTheme="majorHAnsi" w:cstheme="majorHAnsi"/>
          <w:color w:val="000000"/>
          <w:sz w:val="24"/>
          <w:szCs w:val="24"/>
          <w:lang w:val="ro-MD"/>
        </w:rPr>
        <w:t xml:space="preserve"> </w:t>
      </w:r>
      <w:r w:rsidR="00DB0FDE" w:rsidRPr="00CB5F81">
        <w:rPr>
          <w:rFonts w:asciiTheme="majorHAnsi" w:eastAsia="Times New Roman" w:hAnsiTheme="majorHAnsi" w:cstheme="majorHAnsi"/>
          <w:color w:val="000000"/>
          <w:sz w:val="24"/>
          <w:szCs w:val="24"/>
          <w:lang w:val="ro-MD"/>
        </w:rPr>
        <w:t>în S</w:t>
      </w:r>
      <w:r w:rsidR="00E04E1E">
        <w:rPr>
          <w:rFonts w:asciiTheme="majorHAnsi" w:eastAsia="Times New Roman" w:hAnsiTheme="majorHAnsi" w:cstheme="majorHAnsi"/>
          <w:color w:val="000000"/>
          <w:sz w:val="24"/>
          <w:szCs w:val="24"/>
          <w:lang w:val="ro-MD"/>
        </w:rPr>
        <w:t xml:space="preserve">istemul </w:t>
      </w:r>
      <w:r w:rsidR="00DB0FDE" w:rsidRPr="00CB5F81">
        <w:rPr>
          <w:rFonts w:asciiTheme="majorHAnsi" w:eastAsia="Times New Roman" w:hAnsiTheme="majorHAnsi" w:cstheme="majorHAnsi"/>
          <w:color w:val="000000"/>
          <w:sz w:val="24"/>
          <w:szCs w:val="24"/>
          <w:lang w:val="ro-MD"/>
        </w:rPr>
        <w:t>I</w:t>
      </w:r>
      <w:r w:rsidR="00E04E1E">
        <w:rPr>
          <w:rFonts w:asciiTheme="majorHAnsi" w:eastAsia="Times New Roman" w:hAnsiTheme="majorHAnsi" w:cstheme="majorHAnsi"/>
          <w:color w:val="000000"/>
          <w:sz w:val="24"/>
          <w:szCs w:val="24"/>
          <w:lang w:val="ro-MD"/>
        </w:rPr>
        <w:t xml:space="preserve">nformațional </w:t>
      </w:r>
      <w:r w:rsidR="00DB0FDE" w:rsidRPr="00CB5F81">
        <w:rPr>
          <w:rFonts w:asciiTheme="majorHAnsi" w:eastAsia="Times New Roman" w:hAnsiTheme="majorHAnsi" w:cstheme="majorHAnsi"/>
          <w:color w:val="000000"/>
          <w:sz w:val="24"/>
          <w:szCs w:val="24"/>
          <w:lang w:val="ro-MD"/>
        </w:rPr>
        <w:t>A</w:t>
      </w:r>
      <w:r w:rsidR="00E04E1E">
        <w:rPr>
          <w:rFonts w:asciiTheme="majorHAnsi" w:eastAsia="Times New Roman" w:hAnsiTheme="majorHAnsi" w:cstheme="majorHAnsi"/>
          <w:color w:val="000000"/>
          <w:sz w:val="24"/>
          <w:szCs w:val="24"/>
          <w:lang w:val="ro-MD"/>
        </w:rPr>
        <w:t>utomatizat</w:t>
      </w:r>
      <w:r w:rsidR="00DB0FDE" w:rsidRPr="00CB5F81">
        <w:rPr>
          <w:rFonts w:asciiTheme="majorHAnsi" w:eastAsia="Times New Roman" w:hAnsiTheme="majorHAnsi" w:cstheme="majorHAnsi"/>
          <w:color w:val="000000"/>
          <w:sz w:val="24"/>
          <w:szCs w:val="24"/>
          <w:lang w:val="ro-MD"/>
        </w:rPr>
        <w:t xml:space="preserve"> </w:t>
      </w:r>
      <w:r w:rsidR="00CB0460">
        <w:rPr>
          <w:rFonts w:asciiTheme="majorHAnsi" w:eastAsia="Times New Roman" w:hAnsiTheme="majorHAnsi" w:cstheme="majorHAnsi"/>
          <w:color w:val="000000"/>
          <w:sz w:val="24"/>
          <w:szCs w:val="24"/>
          <w:lang w:val="ro-MD"/>
        </w:rPr>
        <w:t>„</w:t>
      </w:r>
      <w:r w:rsidR="00DB0FDE" w:rsidRPr="00CB5F81">
        <w:rPr>
          <w:rFonts w:asciiTheme="majorHAnsi" w:eastAsia="Times New Roman" w:hAnsiTheme="majorHAnsi" w:cstheme="majorHAnsi"/>
          <w:color w:val="000000"/>
          <w:sz w:val="24"/>
          <w:szCs w:val="24"/>
          <w:lang w:val="ro-MD"/>
        </w:rPr>
        <w:t>Reports”, în mare parte</w:t>
      </w:r>
      <w:r w:rsidR="00CB0460">
        <w:rPr>
          <w:rFonts w:asciiTheme="majorHAnsi" w:eastAsia="Times New Roman" w:hAnsiTheme="majorHAnsi" w:cstheme="majorHAnsi"/>
          <w:color w:val="000000"/>
          <w:sz w:val="24"/>
          <w:szCs w:val="24"/>
          <w:lang w:val="ro-MD"/>
        </w:rPr>
        <w:t>,</w:t>
      </w:r>
      <w:r w:rsidR="00DB0FDE" w:rsidRPr="00CB5F81">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datele rapo</w:t>
      </w:r>
      <w:r w:rsidR="00CB0460">
        <w:rPr>
          <w:rFonts w:asciiTheme="majorHAnsi" w:eastAsia="Times New Roman" w:hAnsiTheme="majorHAnsi" w:cstheme="majorHAnsi"/>
          <w:color w:val="000000"/>
          <w:sz w:val="24"/>
          <w:szCs w:val="24"/>
          <w:lang w:val="ro-MD"/>
        </w:rPr>
        <w:t>rta</w:t>
      </w:r>
      <w:r w:rsidRPr="00CB5F81">
        <w:rPr>
          <w:rFonts w:asciiTheme="majorHAnsi" w:eastAsia="Times New Roman" w:hAnsiTheme="majorHAnsi" w:cstheme="majorHAnsi"/>
          <w:color w:val="000000"/>
          <w:sz w:val="24"/>
          <w:szCs w:val="24"/>
          <w:lang w:val="ro-MD"/>
        </w:rPr>
        <w:t>te sunt incomplete</w:t>
      </w:r>
      <w:r w:rsidR="003337E8" w:rsidRPr="00CB5F81">
        <w:rPr>
          <w:rFonts w:asciiTheme="majorHAnsi" w:eastAsia="Times New Roman" w:hAnsiTheme="majorHAnsi" w:cstheme="majorHAnsi"/>
          <w:color w:val="000000"/>
          <w:sz w:val="24"/>
          <w:szCs w:val="24"/>
          <w:lang w:val="ro-MD"/>
        </w:rPr>
        <w:t>.</w:t>
      </w:r>
      <w:r w:rsidR="000D2E25" w:rsidRPr="00CB5F81">
        <w:rPr>
          <w:rFonts w:asciiTheme="majorHAnsi" w:eastAsia="Times New Roman" w:hAnsiTheme="majorHAnsi" w:cstheme="majorHAnsi"/>
          <w:color w:val="000000"/>
          <w:sz w:val="24"/>
          <w:szCs w:val="24"/>
          <w:lang w:val="ro-MD"/>
        </w:rPr>
        <w:t xml:space="preserve"> Cele menționate sunt determinate de faptul că nu </w:t>
      </w:r>
      <w:r w:rsidR="00DB0FDE" w:rsidRPr="00CB5F81">
        <w:rPr>
          <w:rFonts w:asciiTheme="majorHAnsi" w:eastAsia="Times New Roman" w:hAnsiTheme="majorHAnsi" w:cstheme="majorHAnsi"/>
          <w:color w:val="000000"/>
          <w:sz w:val="24"/>
          <w:szCs w:val="24"/>
          <w:lang w:val="ro-MD"/>
        </w:rPr>
        <w:t xml:space="preserve">există careva norme interne care să reglementeze colectarea </w:t>
      </w:r>
      <w:r w:rsidR="000D2E25" w:rsidRPr="00CB5F81">
        <w:rPr>
          <w:rFonts w:asciiTheme="majorHAnsi" w:eastAsia="Times New Roman" w:hAnsiTheme="majorHAnsi" w:cstheme="majorHAnsi"/>
          <w:color w:val="000000"/>
          <w:sz w:val="24"/>
          <w:szCs w:val="24"/>
          <w:lang w:val="ro-MD"/>
        </w:rPr>
        <w:t xml:space="preserve">informației prenotate </w:t>
      </w:r>
      <w:r w:rsidR="00DB0FDE" w:rsidRPr="00CB5F81">
        <w:rPr>
          <w:rFonts w:asciiTheme="majorHAnsi" w:eastAsia="Times New Roman" w:hAnsiTheme="majorHAnsi" w:cstheme="majorHAnsi"/>
          <w:color w:val="000000"/>
          <w:sz w:val="24"/>
          <w:szCs w:val="24"/>
          <w:lang w:val="ro-MD"/>
        </w:rPr>
        <w:t xml:space="preserve">și </w:t>
      </w:r>
      <w:r w:rsidR="000D2E25" w:rsidRPr="00CB5F81">
        <w:rPr>
          <w:rFonts w:asciiTheme="majorHAnsi" w:eastAsia="Times New Roman" w:hAnsiTheme="majorHAnsi" w:cstheme="majorHAnsi"/>
          <w:color w:val="000000"/>
          <w:sz w:val="24"/>
          <w:szCs w:val="24"/>
          <w:lang w:val="ro-MD"/>
        </w:rPr>
        <w:t>in</w:t>
      </w:r>
      <w:r w:rsidR="00DB0FDE" w:rsidRPr="00CB5F81">
        <w:rPr>
          <w:rFonts w:asciiTheme="majorHAnsi" w:eastAsia="Times New Roman" w:hAnsiTheme="majorHAnsi" w:cstheme="majorHAnsi"/>
          <w:color w:val="000000"/>
          <w:sz w:val="24"/>
          <w:szCs w:val="24"/>
          <w:lang w:val="ro-MD"/>
        </w:rPr>
        <w:t>troducerea</w:t>
      </w:r>
      <w:r w:rsidR="000D2E25" w:rsidRPr="00CB5F81">
        <w:rPr>
          <w:rFonts w:asciiTheme="majorHAnsi" w:eastAsia="Times New Roman" w:hAnsiTheme="majorHAnsi" w:cstheme="majorHAnsi"/>
          <w:color w:val="000000"/>
          <w:sz w:val="24"/>
          <w:szCs w:val="24"/>
          <w:lang w:val="ro-MD"/>
        </w:rPr>
        <w:t xml:space="preserve"> datelor </w:t>
      </w:r>
      <w:r w:rsidR="00DB0FDE" w:rsidRPr="00CB5F81">
        <w:rPr>
          <w:rFonts w:asciiTheme="majorHAnsi" w:eastAsia="Times New Roman" w:hAnsiTheme="majorHAnsi" w:cstheme="majorHAnsi"/>
          <w:color w:val="000000"/>
          <w:sz w:val="24"/>
          <w:szCs w:val="24"/>
          <w:lang w:val="ro-MD"/>
        </w:rPr>
        <w:t>în SI</w:t>
      </w:r>
      <w:r w:rsidR="003337E8" w:rsidRPr="00CB5F81">
        <w:rPr>
          <w:rFonts w:asciiTheme="majorHAnsi" w:eastAsia="Times New Roman" w:hAnsiTheme="majorHAnsi" w:cstheme="majorHAnsi"/>
          <w:color w:val="000000"/>
          <w:sz w:val="24"/>
          <w:szCs w:val="24"/>
          <w:lang w:val="ro-MD"/>
        </w:rPr>
        <w:t>, precum și</w:t>
      </w:r>
      <w:r w:rsidR="00DB0FDE" w:rsidRPr="00CB5F81">
        <w:rPr>
          <w:rFonts w:asciiTheme="majorHAnsi" w:eastAsia="Times New Roman" w:hAnsiTheme="majorHAnsi" w:cstheme="majorHAnsi"/>
          <w:color w:val="000000"/>
          <w:sz w:val="24"/>
          <w:szCs w:val="24"/>
          <w:lang w:val="ro-MD"/>
        </w:rPr>
        <w:t xml:space="preserve"> </w:t>
      </w:r>
      <w:r w:rsidR="000D2E25" w:rsidRPr="00CB5F81">
        <w:rPr>
          <w:rFonts w:asciiTheme="majorHAnsi" w:eastAsia="Times New Roman" w:hAnsiTheme="majorHAnsi" w:cstheme="majorHAnsi"/>
          <w:color w:val="000000"/>
          <w:sz w:val="24"/>
          <w:szCs w:val="24"/>
          <w:lang w:val="ro-MD"/>
        </w:rPr>
        <w:t>responsabilitat</w:t>
      </w:r>
      <w:r w:rsidR="00426E0E">
        <w:rPr>
          <w:rFonts w:asciiTheme="majorHAnsi" w:eastAsia="Times New Roman" w:hAnsiTheme="majorHAnsi" w:cstheme="majorHAnsi"/>
          <w:color w:val="000000"/>
          <w:sz w:val="24"/>
          <w:szCs w:val="24"/>
          <w:lang w:val="ro-MD"/>
        </w:rPr>
        <w:t>ea angajaților SFS implicați în</w:t>
      </w:r>
      <w:r w:rsidR="000D2E25" w:rsidRPr="00CB5F81">
        <w:rPr>
          <w:rFonts w:asciiTheme="majorHAnsi" w:eastAsia="Times New Roman" w:hAnsiTheme="majorHAnsi" w:cstheme="majorHAnsi"/>
          <w:color w:val="000000"/>
          <w:sz w:val="24"/>
          <w:szCs w:val="24"/>
          <w:lang w:val="ro-MD"/>
        </w:rPr>
        <w:t xml:space="preserve"> </w:t>
      </w:r>
      <w:r w:rsidR="000D2E25" w:rsidRPr="00426E0E">
        <w:rPr>
          <w:rFonts w:asciiTheme="majorHAnsi" w:eastAsia="Times New Roman" w:hAnsiTheme="majorHAnsi" w:cstheme="majorHAnsi"/>
          <w:color w:val="000000"/>
          <w:sz w:val="24"/>
          <w:szCs w:val="24"/>
          <w:lang w:val="ro-MD"/>
        </w:rPr>
        <w:t>proces</w:t>
      </w:r>
      <w:r w:rsidR="004B7413" w:rsidRPr="00426E0E">
        <w:rPr>
          <w:rFonts w:asciiTheme="majorHAnsi" w:eastAsia="Times New Roman" w:hAnsiTheme="majorHAnsi" w:cstheme="majorHAnsi"/>
          <w:color w:val="000000"/>
          <w:sz w:val="24"/>
          <w:szCs w:val="24"/>
          <w:lang w:val="ro-MD"/>
        </w:rPr>
        <w:t>ul dat</w:t>
      </w:r>
      <w:r w:rsidR="000D2E25" w:rsidRPr="00CB5F81">
        <w:rPr>
          <w:rFonts w:asciiTheme="majorHAnsi" w:eastAsia="Times New Roman" w:hAnsiTheme="majorHAnsi" w:cstheme="majorHAnsi"/>
          <w:color w:val="000000"/>
          <w:sz w:val="24"/>
          <w:szCs w:val="24"/>
          <w:lang w:val="ro-MD"/>
        </w:rPr>
        <w:t>. Ace</w:t>
      </w:r>
      <w:r w:rsidR="00AC09F7">
        <w:rPr>
          <w:rFonts w:asciiTheme="majorHAnsi" w:eastAsia="Times New Roman" w:hAnsiTheme="majorHAnsi" w:cstheme="majorHAnsi"/>
          <w:color w:val="000000"/>
          <w:sz w:val="24"/>
          <w:szCs w:val="24"/>
          <w:lang w:val="ro-MD"/>
        </w:rPr>
        <w:t>asta</w:t>
      </w:r>
      <w:r w:rsidR="000D2E25" w:rsidRPr="00CB5F81">
        <w:rPr>
          <w:rFonts w:asciiTheme="majorHAnsi" w:eastAsia="Times New Roman" w:hAnsiTheme="majorHAnsi" w:cstheme="majorHAnsi"/>
          <w:color w:val="000000"/>
          <w:sz w:val="24"/>
          <w:szCs w:val="24"/>
          <w:lang w:val="ro-MD"/>
        </w:rPr>
        <w:t xml:space="preserve"> a </w:t>
      </w:r>
      <w:r w:rsidR="007B4A2F" w:rsidRPr="00CB5F81">
        <w:rPr>
          <w:rFonts w:asciiTheme="majorHAnsi" w:eastAsia="Times New Roman" w:hAnsiTheme="majorHAnsi" w:cstheme="majorHAnsi"/>
          <w:color w:val="000000"/>
          <w:sz w:val="24"/>
          <w:szCs w:val="24"/>
          <w:lang w:val="ro-MD"/>
        </w:rPr>
        <w:t xml:space="preserve">constituit un impediment în asigurarea unei monitorizări </w:t>
      </w:r>
      <w:r w:rsidR="00D502AD" w:rsidRPr="00CB5F81">
        <w:rPr>
          <w:rFonts w:asciiTheme="majorHAnsi" w:eastAsia="Times New Roman" w:hAnsiTheme="majorHAnsi" w:cstheme="majorHAnsi"/>
          <w:color w:val="000000"/>
          <w:sz w:val="24"/>
          <w:szCs w:val="24"/>
          <w:lang w:val="ro-MD"/>
        </w:rPr>
        <w:t xml:space="preserve">consecvente </w:t>
      </w:r>
      <w:r w:rsidR="007B4A2F" w:rsidRPr="00CB5F81">
        <w:rPr>
          <w:rFonts w:asciiTheme="majorHAnsi" w:eastAsia="Times New Roman" w:hAnsiTheme="majorHAnsi" w:cstheme="majorHAnsi"/>
          <w:color w:val="000000"/>
          <w:sz w:val="24"/>
          <w:szCs w:val="24"/>
          <w:lang w:val="ro-MD"/>
        </w:rPr>
        <w:t>a agenților economici</w:t>
      </w:r>
      <w:r w:rsidR="003337E8" w:rsidRPr="00CB5F81">
        <w:rPr>
          <w:rFonts w:asciiTheme="majorHAnsi" w:eastAsia="Times New Roman" w:hAnsiTheme="majorHAnsi" w:cstheme="majorHAnsi"/>
          <w:color w:val="000000"/>
          <w:sz w:val="24"/>
          <w:szCs w:val="24"/>
          <w:lang w:val="ro-MD"/>
        </w:rPr>
        <w:t xml:space="preserve"> implicați în fabricarea și circularea alcoolului etilic</w:t>
      </w:r>
      <w:r w:rsidR="007B4A2F" w:rsidRPr="00CB5F81">
        <w:rPr>
          <w:rFonts w:asciiTheme="majorHAnsi" w:eastAsia="Times New Roman" w:hAnsiTheme="majorHAnsi" w:cstheme="majorHAnsi"/>
          <w:color w:val="000000"/>
          <w:sz w:val="24"/>
          <w:szCs w:val="24"/>
          <w:lang w:val="ro-MD"/>
        </w:rPr>
        <w:t xml:space="preserve"> și</w:t>
      </w:r>
      <w:r w:rsidR="000D2E25" w:rsidRPr="00CB5F81">
        <w:rPr>
          <w:rFonts w:asciiTheme="majorHAnsi" w:eastAsia="Times New Roman" w:hAnsiTheme="majorHAnsi" w:cstheme="majorHAnsi"/>
          <w:color w:val="000000"/>
          <w:sz w:val="24"/>
          <w:szCs w:val="24"/>
          <w:lang w:val="ro-MD"/>
        </w:rPr>
        <w:t xml:space="preserve"> </w:t>
      </w:r>
      <w:r w:rsidR="00AC09F7">
        <w:rPr>
          <w:rFonts w:asciiTheme="majorHAnsi" w:eastAsia="Times New Roman" w:hAnsiTheme="majorHAnsi" w:cstheme="majorHAnsi"/>
          <w:color w:val="000000"/>
          <w:sz w:val="24"/>
          <w:szCs w:val="24"/>
          <w:lang w:val="ro-MD"/>
        </w:rPr>
        <w:t xml:space="preserve">în </w:t>
      </w:r>
      <w:r w:rsidR="000D2E25" w:rsidRPr="00CB5F81">
        <w:rPr>
          <w:rFonts w:asciiTheme="majorHAnsi" w:eastAsia="Times New Roman" w:hAnsiTheme="majorHAnsi" w:cstheme="majorHAnsi"/>
          <w:color w:val="000000"/>
          <w:sz w:val="24"/>
          <w:szCs w:val="24"/>
          <w:lang w:val="ro-MD"/>
        </w:rPr>
        <w:t xml:space="preserve">deținerea unei informații veridice privind valorificarea </w:t>
      </w:r>
      <w:r w:rsidR="00D502AD" w:rsidRPr="00CB5F81">
        <w:rPr>
          <w:rFonts w:asciiTheme="majorHAnsi" w:eastAsia="Times New Roman" w:hAnsiTheme="majorHAnsi" w:cstheme="majorHAnsi"/>
          <w:color w:val="000000"/>
          <w:sz w:val="24"/>
          <w:szCs w:val="24"/>
          <w:lang w:val="ro-MD"/>
        </w:rPr>
        <w:t>acestui tip de facilitate</w:t>
      </w:r>
      <w:r w:rsidR="000D2E25" w:rsidRPr="00CB5F81">
        <w:rPr>
          <w:rFonts w:asciiTheme="majorHAnsi" w:eastAsia="Times New Roman" w:hAnsiTheme="majorHAnsi" w:cstheme="majorHAnsi"/>
          <w:color w:val="000000"/>
          <w:sz w:val="24"/>
          <w:szCs w:val="24"/>
          <w:lang w:val="ro-MD"/>
        </w:rPr>
        <w:t>.</w:t>
      </w:r>
    </w:p>
    <w:p w:rsidR="004642EA" w:rsidRDefault="00C24260" w:rsidP="00250E74">
      <w:pPr>
        <w:pStyle w:val="ListParagraph"/>
        <w:tabs>
          <w:tab w:val="left" w:pos="360"/>
        </w:tabs>
        <w:spacing w:after="100" w:afterAutospacing="1"/>
        <w:ind w:left="0"/>
        <w:jc w:val="both"/>
        <w:rPr>
          <w:rFonts w:asciiTheme="majorHAnsi" w:eastAsia="Times New Roman" w:hAnsiTheme="majorHAnsi" w:cstheme="majorHAnsi"/>
          <w:color w:val="000000"/>
          <w:sz w:val="24"/>
          <w:szCs w:val="24"/>
          <w:lang w:val="ro-MD"/>
        </w:rPr>
      </w:pPr>
      <w:r w:rsidRPr="00CB5F81">
        <w:rPr>
          <w:rFonts w:asciiTheme="majorHAnsi" w:eastAsia="Times New Roman" w:hAnsiTheme="majorHAnsi" w:cstheme="majorHAnsi"/>
          <w:color w:val="000000"/>
          <w:sz w:val="24"/>
          <w:szCs w:val="24"/>
          <w:lang w:val="ro-MD"/>
        </w:rPr>
        <w:t xml:space="preserve">De fapt, Codul fiscal nici nu are </w:t>
      </w:r>
      <w:r w:rsidR="000B3A24" w:rsidRPr="00CB5F81">
        <w:rPr>
          <w:rFonts w:asciiTheme="majorHAnsi" w:eastAsia="Times New Roman" w:hAnsiTheme="majorHAnsi" w:cstheme="majorHAnsi"/>
          <w:color w:val="000000"/>
          <w:sz w:val="24"/>
          <w:szCs w:val="24"/>
          <w:lang w:val="ro-MD"/>
        </w:rPr>
        <w:t>statuate reglementări</w:t>
      </w:r>
      <w:r w:rsidR="00AC541F" w:rsidRPr="00CB5F81">
        <w:rPr>
          <w:rFonts w:asciiTheme="majorHAnsi" w:eastAsia="Times New Roman" w:hAnsiTheme="majorHAnsi" w:cstheme="majorHAnsi"/>
          <w:color w:val="000000"/>
          <w:sz w:val="24"/>
          <w:szCs w:val="24"/>
          <w:lang w:val="ro-MD"/>
        </w:rPr>
        <w:t xml:space="preserve"> </w:t>
      </w:r>
      <w:r w:rsidR="009013A5" w:rsidRPr="00CB5F81">
        <w:rPr>
          <w:rFonts w:asciiTheme="majorHAnsi" w:eastAsia="Times New Roman" w:hAnsiTheme="majorHAnsi" w:cstheme="majorHAnsi"/>
          <w:color w:val="000000"/>
          <w:sz w:val="24"/>
          <w:szCs w:val="24"/>
          <w:lang w:val="ro-MD"/>
        </w:rPr>
        <w:t>aferente</w:t>
      </w:r>
      <w:r w:rsidR="00EC1EAF">
        <w:rPr>
          <w:rFonts w:asciiTheme="majorHAnsi" w:eastAsia="Times New Roman" w:hAnsiTheme="majorHAnsi" w:cstheme="majorHAnsi"/>
          <w:color w:val="000000"/>
          <w:sz w:val="24"/>
          <w:szCs w:val="24"/>
          <w:lang w:val="ro-MD"/>
        </w:rPr>
        <w:t xml:space="preserve"> </w:t>
      </w:r>
      <w:r w:rsidR="000B3A24" w:rsidRPr="00CB5F81">
        <w:rPr>
          <w:rFonts w:asciiTheme="majorHAnsi" w:eastAsia="Times New Roman" w:hAnsiTheme="majorHAnsi" w:cstheme="majorHAnsi"/>
          <w:color w:val="000000"/>
          <w:sz w:val="24"/>
          <w:szCs w:val="24"/>
          <w:lang w:val="ro-MD"/>
        </w:rPr>
        <w:t xml:space="preserve">responsabilității pentru utilizarea </w:t>
      </w:r>
      <w:r w:rsidR="00313D96" w:rsidRPr="00CB5F81">
        <w:rPr>
          <w:rFonts w:asciiTheme="majorHAnsi" w:eastAsia="Times New Roman" w:hAnsiTheme="majorHAnsi" w:cstheme="majorHAnsi"/>
          <w:color w:val="000000"/>
          <w:sz w:val="24"/>
          <w:szCs w:val="24"/>
          <w:lang w:val="ro-MD"/>
        </w:rPr>
        <w:t>in</w:t>
      </w:r>
      <w:r w:rsidR="000B3A24" w:rsidRPr="00CB5F81">
        <w:rPr>
          <w:rFonts w:asciiTheme="majorHAnsi" w:eastAsia="Times New Roman" w:hAnsiTheme="majorHAnsi" w:cstheme="majorHAnsi"/>
          <w:color w:val="000000"/>
          <w:sz w:val="24"/>
          <w:szCs w:val="24"/>
          <w:lang w:val="ro-MD"/>
        </w:rPr>
        <w:t xml:space="preserve">corectă și </w:t>
      </w:r>
      <w:r w:rsidR="00313D96" w:rsidRPr="00CB5F81">
        <w:rPr>
          <w:rFonts w:asciiTheme="majorHAnsi" w:eastAsia="Times New Roman" w:hAnsiTheme="majorHAnsi" w:cstheme="majorHAnsi"/>
          <w:color w:val="000000"/>
          <w:sz w:val="24"/>
          <w:szCs w:val="24"/>
          <w:lang w:val="ro-MD"/>
        </w:rPr>
        <w:t xml:space="preserve">contrar </w:t>
      </w:r>
      <w:r w:rsidR="000B3A24" w:rsidRPr="00CB5F81">
        <w:rPr>
          <w:rFonts w:asciiTheme="majorHAnsi" w:eastAsia="Times New Roman" w:hAnsiTheme="majorHAnsi" w:cstheme="majorHAnsi"/>
          <w:color w:val="000000"/>
          <w:sz w:val="24"/>
          <w:szCs w:val="24"/>
          <w:lang w:val="ro-MD"/>
        </w:rPr>
        <w:t>destinației a facilității</w:t>
      </w:r>
      <w:r w:rsidR="009013A5" w:rsidRPr="00CB5F81">
        <w:rPr>
          <w:rFonts w:asciiTheme="majorHAnsi" w:eastAsia="Times New Roman" w:hAnsiTheme="majorHAnsi" w:cstheme="majorHAnsi"/>
          <w:color w:val="000000"/>
          <w:sz w:val="24"/>
          <w:szCs w:val="24"/>
          <w:lang w:val="ro-MD"/>
        </w:rPr>
        <w:t xml:space="preserve"> fiscale. </w:t>
      </w:r>
      <w:r w:rsidRPr="00CB5F81">
        <w:rPr>
          <w:rFonts w:asciiTheme="majorHAnsi" w:eastAsia="Times New Roman" w:hAnsiTheme="majorHAnsi" w:cstheme="majorHAnsi"/>
          <w:color w:val="000000"/>
          <w:sz w:val="24"/>
          <w:szCs w:val="24"/>
          <w:lang w:val="ro-MD"/>
        </w:rPr>
        <w:t xml:space="preserve">Se relevă </w:t>
      </w:r>
      <w:r w:rsidR="009013A5" w:rsidRPr="00CB5F81">
        <w:rPr>
          <w:rFonts w:asciiTheme="majorHAnsi" w:eastAsia="Times New Roman" w:hAnsiTheme="majorHAnsi" w:cstheme="majorHAnsi"/>
          <w:color w:val="000000"/>
          <w:sz w:val="24"/>
          <w:szCs w:val="24"/>
          <w:lang w:val="ro-MD"/>
        </w:rPr>
        <w:t>că subiect al impunerii scut</w:t>
      </w:r>
      <w:r w:rsidR="002C2CF3" w:rsidRPr="00CB5F81">
        <w:rPr>
          <w:rFonts w:asciiTheme="majorHAnsi" w:eastAsia="Times New Roman" w:hAnsiTheme="majorHAnsi" w:cstheme="majorHAnsi"/>
          <w:color w:val="000000"/>
          <w:sz w:val="24"/>
          <w:szCs w:val="24"/>
          <w:lang w:val="ro-MD"/>
        </w:rPr>
        <w:t>it</w:t>
      </w:r>
      <w:r w:rsidR="009013A5" w:rsidRPr="00CB5F81">
        <w:rPr>
          <w:rFonts w:asciiTheme="majorHAnsi" w:eastAsia="Times New Roman" w:hAnsiTheme="majorHAnsi" w:cstheme="majorHAnsi"/>
          <w:color w:val="000000"/>
          <w:sz w:val="24"/>
          <w:szCs w:val="24"/>
          <w:lang w:val="ro-MD"/>
        </w:rPr>
        <w:t xml:space="preserve"> de acciz</w:t>
      </w:r>
      <w:r w:rsidR="006B3891">
        <w:rPr>
          <w:rFonts w:asciiTheme="majorHAnsi" w:eastAsia="Times New Roman" w:hAnsiTheme="majorHAnsi" w:cstheme="majorHAnsi"/>
          <w:color w:val="000000"/>
          <w:sz w:val="24"/>
          <w:szCs w:val="24"/>
          <w:lang w:val="ro-MD"/>
        </w:rPr>
        <w:t>e</w:t>
      </w:r>
      <w:r w:rsidR="009013A5" w:rsidRPr="00CB5F81">
        <w:rPr>
          <w:rFonts w:asciiTheme="majorHAnsi" w:eastAsia="Times New Roman" w:hAnsiTheme="majorHAnsi" w:cstheme="majorHAnsi"/>
          <w:color w:val="000000"/>
          <w:sz w:val="24"/>
          <w:szCs w:val="24"/>
          <w:lang w:val="ro-MD"/>
        </w:rPr>
        <w:t xml:space="preserve"> este</w:t>
      </w:r>
      <w:r w:rsidR="00EC1EAF">
        <w:rPr>
          <w:rFonts w:asciiTheme="majorHAnsi" w:eastAsia="Times New Roman" w:hAnsiTheme="majorHAnsi" w:cstheme="majorHAnsi"/>
          <w:color w:val="000000"/>
          <w:sz w:val="24"/>
          <w:szCs w:val="24"/>
          <w:lang w:val="ro-MD"/>
        </w:rPr>
        <w:t xml:space="preserve"> </w:t>
      </w:r>
      <w:r w:rsidR="009013A5" w:rsidRPr="00CB5F81">
        <w:rPr>
          <w:rFonts w:asciiTheme="majorHAnsi" w:eastAsia="Times New Roman" w:hAnsiTheme="majorHAnsi" w:cstheme="majorHAnsi"/>
          <w:color w:val="000000"/>
          <w:sz w:val="24"/>
          <w:szCs w:val="24"/>
          <w:lang w:val="ro-MD"/>
        </w:rPr>
        <w:t xml:space="preserve">agentul economic care comercializează alcoolul etilic, </w:t>
      </w:r>
      <w:r w:rsidRPr="00CB5F81">
        <w:rPr>
          <w:rFonts w:asciiTheme="majorHAnsi" w:eastAsia="Times New Roman" w:hAnsiTheme="majorHAnsi" w:cstheme="majorHAnsi"/>
          <w:color w:val="000000"/>
          <w:sz w:val="24"/>
          <w:szCs w:val="24"/>
          <w:lang w:val="ro-MD"/>
        </w:rPr>
        <w:t xml:space="preserve">însă </w:t>
      </w:r>
      <w:r w:rsidR="009013A5" w:rsidRPr="00CB5F81">
        <w:rPr>
          <w:rFonts w:asciiTheme="majorHAnsi" w:eastAsia="Times New Roman" w:hAnsiTheme="majorHAnsi" w:cstheme="majorHAnsi"/>
          <w:color w:val="000000"/>
          <w:sz w:val="24"/>
          <w:szCs w:val="24"/>
          <w:lang w:val="ro-MD"/>
        </w:rPr>
        <w:t xml:space="preserve">acesta nu poartă responsabilitate pentru </w:t>
      </w:r>
      <w:r w:rsidR="00D502AD" w:rsidRPr="00CB5F81">
        <w:rPr>
          <w:rFonts w:asciiTheme="majorHAnsi" w:eastAsia="Times New Roman" w:hAnsiTheme="majorHAnsi" w:cstheme="majorHAnsi"/>
          <w:color w:val="000000"/>
          <w:sz w:val="24"/>
          <w:szCs w:val="24"/>
          <w:lang w:val="ro-MD"/>
        </w:rPr>
        <w:t>contribuabilii</w:t>
      </w:r>
      <w:r w:rsidR="00EC1EAF">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care procură marfa</w:t>
      </w:r>
      <w:r w:rsidR="00EC1EAF">
        <w:rPr>
          <w:rFonts w:asciiTheme="majorHAnsi" w:eastAsia="Times New Roman" w:hAnsiTheme="majorHAnsi" w:cstheme="majorHAnsi"/>
          <w:color w:val="000000"/>
          <w:sz w:val="24"/>
          <w:szCs w:val="24"/>
          <w:lang w:val="ro-MD"/>
        </w:rPr>
        <w:t xml:space="preserve"> </w:t>
      </w:r>
      <w:r w:rsidR="00D502AD" w:rsidRPr="00CB5F81">
        <w:rPr>
          <w:rFonts w:asciiTheme="majorHAnsi" w:eastAsia="Times New Roman" w:hAnsiTheme="majorHAnsi" w:cstheme="majorHAnsi"/>
          <w:color w:val="000000"/>
          <w:sz w:val="24"/>
          <w:szCs w:val="24"/>
          <w:lang w:val="ro-MD"/>
        </w:rPr>
        <w:t xml:space="preserve">scutită </w:t>
      </w:r>
      <w:r w:rsidR="00AC09F7">
        <w:rPr>
          <w:rFonts w:asciiTheme="majorHAnsi" w:eastAsia="Times New Roman" w:hAnsiTheme="majorHAnsi" w:cstheme="majorHAnsi"/>
          <w:color w:val="000000"/>
          <w:sz w:val="24"/>
          <w:szCs w:val="24"/>
          <w:lang w:val="ro-MD"/>
        </w:rPr>
        <w:t>de acciz</w:t>
      </w:r>
      <w:r w:rsidR="006B3891">
        <w:rPr>
          <w:rFonts w:asciiTheme="majorHAnsi" w:eastAsia="Times New Roman" w:hAnsiTheme="majorHAnsi" w:cstheme="majorHAnsi"/>
          <w:color w:val="000000"/>
          <w:sz w:val="24"/>
          <w:szCs w:val="24"/>
          <w:lang w:val="ro-MD"/>
        </w:rPr>
        <w:t>e</w:t>
      </w:r>
      <w:r w:rsidR="00AC09F7">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 xml:space="preserve">și </w:t>
      </w:r>
      <w:r w:rsidR="009013A5" w:rsidRPr="00CB5F81">
        <w:rPr>
          <w:rFonts w:asciiTheme="majorHAnsi" w:eastAsia="Times New Roman" w:hAnsiTheme="majorHAnsi" w:cstheme="majorHAnsi"/>
          <w:color w:val="000000"/>
          <w:sz w:val="24"/>
          <w:szCs w:val="24"/>
          <w:lang w:val="ro-MD"/>
        </w:rPr>
        <w:t>cărora li s-a acordat</w:t>
      </w:r>
      <w:r w:rsidR="00D502AD" w:rsidRPr="00CB5F81">
        <w:rPr>
          <w:rFonts w:asciiTheme="majorHAnsi" w:eastAsia="Times New Roman" w:hAnsiTheme="majorHAnsi" w:cstheme="majorHAnsi"/>
          <w:color w:val="000000"/>
          <w:sz w:val="24"/>
          <w:szCs w:val="24"/>
          <w:lang w:val="ro-MD"/>
        </w:rPr>
        <w:t xml:space="preserve"> inițial</w:t>
      </w:r>
      <w:r w:rsidR="009013A5" w:rsidRPr="00CB5F81">
        <w:rPr>
          <w:rFonts w:asciiTheme="majorHAnsi" w:eastAsia="Times New Roman" w:hAnsiTheme="majorHAnsi" w:cstheme="majorHAnsi"/>
          <w:color w:val="000000"/>
          <w:sz w:val="24"/>
          <w:szCs w:val="24"/>
          <w:lang w:val="ro-MD"/>
        </w:rPr>
        <w:t xml:space="preserve"> nelegitim facilitatea</w:t>
      </w:r>
      <w:r w:rsidR="00AC09F7">
        <w:rPr>
          <w:rFonts w:asciiTheme="majorHAnsi" w:eastAsia="Times New Roman" w:hAnsiTheme="majorHAnsi" w:cstheme="majorHAnsi"/>
          <w:color w:val="000000"/>
          <w:sz w:val="24"/>
          <w:szCs w:val="24"/>
          <w:lang w:val="ro-MD"/>
        </w:rPr>
        <w:t>,</w:t>
      </w:r>
      <w:r w:rsidR="009013A5" w:rsidRPr="00CB5F81">
        <w:rPr>
          <w:rFonts w:asciiTheme="majorHAnsi" w:eastAsia="Times New Roman" w:hAnsiTheme="majorHAnsi" w:cstheme="majorHAnsi"/>
          <w:color w:val="000000"/>
          <w:sz w:val="24"/>
          <w:szCs w:val="24"/>
          <w:lang w:val="ro-MD"/>
        </w:rPr>
        <w:t xml:space="preserve"> sau</w:t>
      </w:r>
      <w:r w:rsidR="00313D96" w:rsidRPr="00CB5F81">
        <w:rPr>
          <w:rFonts w:asciiTheme="majorHAnsi" w:eastAsia="Times New Roman" w:hAnsiTheme="majorHAnsi" w:cstheme="majorHAnsi"/>
          <w:color w:val="000000"/>
          <w:sz w:val="24"/>
          <w:szCs w:val="24"/>
          <w:lang w:val="ro-MD"/>
        </w:rPr>
        <w:t xml:space="preserve"> a</w:t>
      </w:r>
      <w:r w:rsidR="00AC09F7">
        <w:rPr>
          <w:rFonts w:asciiTheme="majorHAnsi" w:eastAsia="Times New Roman" w:hAnsiTheme="majorHAnsi" w:cstheme="majorHAnsi"/>
          <w:color w:val="000000"/>
          <w:sz w:val="24"/>
          <w:szCs w:val="24"/>
          <w:lang w:val="ro-MD"/>
        </w:rPr>
        <w:t>u</w:t>
      </w:r>
      <w:r w:rsidR="00313D96" w:rsidRPr="00CB5F81">
        <w:rPr>
          <w:rFonts w:asciiTheme="majorHAnsi" w:eastAsia="Times New Roman" w:hAnsiTheme="majorHAnsi" w:cstheme="majorHAnsi"/>
          <w:color w:val="000000"/>
          <w:sz w:val="24"/>
          <w:szCs w:val="24"/>
          <w:lang w:val="ro-MD"/>
        </w:rPr>
        <w:t xml:space="preserve"> </w:t>
      </w:r>
      <w:r w:rsidR="009013A5" w:rsidRPr="00CB5F81">
        <w:rPr>
          <w:rFonts w:asciiTheme="majorHAnsi" w:eastAsia="Times New Roman" w:hAnsiTheme="majorHAnsi" w:cstheme="majorHAnsi"/>
          <w:color w:val="000000"/>
          <w:sz w:val="24"/>
          <w:szCs w:val="24"/>
          <w:lang w:val="ro-MD"/>
        </w:rPr>
        <w:t>utilizat-o contrar destinației</w:t>
      </w:r>
      <w:r w:rsidR="00D502AD" w:rsidRPr="00CB5F81">
        <w:rPr>
          <w:rFonts w:asciiTheme="majorHAnsi" w:eastAsia="Times New Roman" w:hAnsiTheme="majorHAnsi" w:cstheme="majorHAnsi"/>
          <w:color w:val="000000"/>
          <w:sz w:val="24"/>
          <w:szCs w:val="24"/>
          <w:lang w:val="ro-MD"/>
        </w:rPr>
        <w:t xml:space="preserve"> pe parcurs</w:t>
      </w:r>
      <w:r w:rsidR="009013A5" w:rsidRPr="00CB5F81">
        <w:rPr>
          <w:rFonts w:asciiTheme="majorHAnsi" w:eastAsia="Times New Roman" w:hAnsiTheme="majorHAnsi" w:cstheme="majorHAnsi"/>
          <w:color w:val="000000"/>
          <w:sz w:val="24"/>
          <w:szCs w:val="24"/>
          <w:lang w:val="ro-MD"/>
        </w:rPr>
        <w:t>.</w:t>
      </w:r>
      <w:r w:rsidR="00F603D4" w:rsidRPr="00CB5F81">
        <w:rPr>
          <w:rFonts w:asciiTheme="majorHAnsi" w:eastAsia="Times New Roman" w:hAnsiTheme="majorHAnsi" w:cstheme="majorHAnsi"/>
          <w:color w:val="000000"/>
          <w:sz w:val="24"/>
          <w:szCs w:val="24"/>
          <w:lang w:val="ro-MD"/>
        </w:rPr>
        <w:t xml:space="preserve"> </w:t>
      </w:r>
      <w:r w:rsidRPr="00CB5F81">
        <w:rPr>
          <w:rFonts w:asciiTheme="majorHAnsi" w:eastAsia="Times New Roman" w:hAnsiTheme="majorHAnsi" w:cstheme="majorHAnsi"/>
          <w:color w:val="000000"/>
          <w:sz w:val="24"/>
          <w:szCs w:val="24"/>
          <w:lang w:val="ro-MD"/>
        </w:rPr>
        <w:t xml:space="preserve">Deși </w:t>
      </w:r>
      <w:r w:rsidR="002C2CF3" w:rsidRPr="00CB5F81">
        <w:rPr>
          <w:rFonts w:asciiTheme="majorHAnsi" w:eastAsia="Times New Roman" w:hAnsiTheme="majorHAnsi" w:cstheme="majorHAnsi"/>
          <w:color w:val="000000"/>
          <w:sz w:val="24"/>
          <w:szCs w:val="24"/>
          <w:lang w:val="ro-MD"/>
        </w:rPr>
        <w:t>exist</w:t>
      </w:r>
      <w:r w:rsidR="00AC09F7">
        <w:rPr>
          <w:rFonts w:asciiTheme="majorHAnsi" w:eastAsia="Times New Roman" w:hAnsiTheme="majorHAnsi" w:cstheme="majorHAnsi"/>
          <w:color w:val="000000"/>
          <w:sz w:val="24"/>
          <w:szCs w:val="24"/>
          <w:lang w:val="ro-MD"/>
        </w:rPr>
        <w:t>ă</w:t>
      </w:r>
      <w:r w:rsidR="002C2CF3" w:rsidRPr="00CB5F81">
        <w:rPr>
          <w:rFonts w:asciiTheme="majorHAnsi" w:eastAsia="Times New Roman" w:hAnsiTheme="majorHAnsi" w:cstheme="majorHAnsi"/>
          <w:color w:val="000000"/>
          <w:sz w:val="24"/>
          <w:szCs w:val="24"/>
          <w:lang w:val="ro-MD"/>
        </w:rPr>
        <w:t xml:space="preserve"> în acest sens un</w:t>
      </w:r>
      <w:r w:rsidRPr="00CB5F81">
        <w:rPr>
          <w:rFonts w:asciiTheme="majorHAnsi" w:eastAsia="Times New Roman" w:hAnsiTheme="majorHAnsi" w:cstheme="majorHAnsi"/>
          <w:color w:val="000000"/>
          <w:sz w:val="24"/>
          <w:szCs w:val="24"/>
          <w:lang w:val="ro-MD"/>
        </w:rPr>
        <w:t xml:space="preserve"> </w:t>
      </w:r>
      <w:r w:rsidRPr="00426E0E">
        <w:rPr>
          <w:rFonts w:asciiTheme="majorHAnsi" w:eastAsia="Times New Roman" w:hAnsiTheme="majorHAnsi" w:cstheme="majorHAnsi"/>
          <w:color w:val="000000"/>
          <w:sz w:val="24"/>
          <w:szCs w:val="24"/>
          <w:lang w:val="ro-MD"/>
        </w:rPr>
        <w:t>vid</w:t>
      </w:r>
      <w:r w:rsidR="00363A7B" w:rsidRPr="00426E0E">
        <w:rPr>
          <w:rFonts w:asciiTheme="majorHAnsi" w:eastAsia="Times New Roman" w:hAnsiTheme="majorHAnsi" w:cstheme="majorHAnsi"/>
          <w:color w:val="000000"/>
          <w:sz w:val="24"/>
          <w:szCs w:val="24"/>
          <w:lang w:val="ro-MD"/>
        </w:rPr>
        <w:t xml:space="preserve"> normativ</w:t>
      </w:r>
      <w:r w:rsidRPr="00CB5F81">
        <w:rPr>
          <w:rFonts w:asciiTheme="majorHAnsi" w:eastAsia="Times New Roman" w:hAnsiTheme="majorHAnsi" w:cstheme="majorHAnsi"/>
          <w:color w:val="000000"/>
          <w:sz w:val="24"/>
          <w:szCs w:val="24"/>
          <w:lang w:val="ro-MD"/>
        </w:rPr>
        <w:t>, SFS nu s-a adresat MF cu propuneri de</w:t>
      </w:r>
      <w:r w:rsidR="00313D96" w:rsidRPr="00CB5F81">
        <w:rPr>
          <w:rFonts w:asciiTheme="majorHAnsi" w:eastAsia="Times New Roman" w:hAnsiTheme="majorHAnsi" w:cstheme="majorHAnsi"/>
          <w:color w:val="000000"/>
          <w:sz w:val="24"/>
          <w:szCs w:val="24"/>
          <w:lang w:val="ro-MD"/>
        </w:rPr>
        <w:t xml:space="preserve"> completare a Codului f</w:t>
      </w:r>
      <w:r w:rsidR="002C2CF3" w:rsidRPr="00CB5F81">
        <w:rPr>
          <w:rFonts w:asciiTheme="majorHAnsi" w:eastAsia="Times New Roman" w:hAnsiTheme="majorHAnsi" w:cstheme="majorHAnsi"/>
          <w:color w:val="000000"/>
          <w:sz w:val="24"/>
          <w:szCs w:val="24"/>
          <w:lang w:val="ro-MD"/>
        </w:rPr>
        <w:t xml:space="preserve">iscal, permițându-le unor </w:t>
      </w:r>
      <w:r w:rsidRPr="00CB5F81">
        <w:rPr>
          <w:rFonts w:asciiTheme="majorHAnsi" w:eastAsia="Times New Roman" w:hAnsiTheme="majorHAnsi" w:cstheme="majorHAnsi"/>
          <w:color w:val="000000"/>
          <w:sz w:val="24"/>
          <w:szCs w:val="24"/>
          <w:lang w:val="ro-MD"/>
        </w:rPr>
        <w:t>a</w:t>
      </w:r>
      <w:r w:rsidR="002C2CF3" w:rsidRPr="00CB5F81">
        <w:rPr>
          <w:rFonts w:asciiTheme="majorHAnsi" w:eastAsia="Times New Roman" w:hAnsiTheme="majorHAnsi" w:cstheme="majorHAnsi"/>
          <w:color w:val="000000"/>
          <w:sz w:val="24"/>
          <w:szCs w:val="24"/>
          <w:lang w:val="ro-MD"/>
        </w:rPr>
        <w:t xml:space="preserve">genți economici să abuzeze de această facilitate fiscală. </w:t>
      </w:r>
    </w:p>
    <w:p w:rsidR="00022A06" w:rsidRDefault="00022A06" w:rsidP="00250E74">
      <w:pPr>
        <w:pStyle w:val="ListParagraph"/>
        <w:tabs>
          <w:tab w:val="left" w:pos="360"/>
        </w:tabs>
        <w:spacing w:after="100" w:afterAutospacing="1"/>
        <w:ind w:left="0"/>
        <w:jc w:val="both"/>
        <w:rPr>
          <w:rFonts w:asciiTheme="majorHAnsi" w:eastAsia="Times New Roman" w:hAnsiTheme="majorHAnsi" w:cstheme="majorHAnsi"/>
          <w:color w:val="000000"/>
          <w:sz w:val="24"/>
          <w:szCs w:val="24"/>
          <w:lang w:val="ro-MD"/>
        </w:rPr>
      </w:pPr>
    </w:p>
    <w:tbl>
      <w:tblPr>
        <w:tblStyle w:val="TableGrid"/>
        <w:tblW w:w="0" w:type="auto"/>
        <w:tblLook w:val="04A0" w:firstRow="1" w:lastRow="0" w:firstColumn="1" w:lastColumn="0" w:noHBand="0" w:noVBand="1"/>
      </w:tblPr>
      <w:tblGrid>
        <w:gridCol w:w="9347"/>
      </w:tblGrid>
      <w:tr w:rsidR="00022A06" w:rsidRPr="00022A06" w:rsidTr="00022A06">
        <w:tc>
          <w:tcPr>
            <w:tcW w:w="9350" w:type="dxa"/>
          </w:tcPr>
          <w:p w:rsidR="00022A06" w:rsidRPr="00022A06" w:rsidRDefault="00022A06" w:rsidP="00422305">
            <w:pPr>
              <w:pStyle w:val="ListParagraph"/>
              <w:tabs>
                <w:tab w:val="left" w:pos="360"/>
              </w:tabs>
              <w:spacing w:after="100" w:afterAutospacing="1"/>
              <w:ind w:left="0"/>
              <w:jc w:val="both"/>
              <w:rPr>
                <w:rFonts w:asciiTheme="majorHAnsi" w:eastAsia="Times New Roman" w:hAnsiTheme="majorHAnsi" w:cstheme="majorHAnsi"/>
                <w:color w:val="000000"/>
                <w:sz w:val="24"/>
                <w:szCs w:val="24"/>
                <w:lang w:val="ro-MD"/>
              </w:rPr>
            </w:pPr>
            <w:r w:rsidRPr="00022A06">
              <w:rPr>
                <w:rFonts w:asciiTheme="majorHAnsi" w:eastAsia="Times New Roman" w:hAnsiTheme="majorHAnsi" w:cstheme="majorHAnsi"/>
                <w:color w:val="000000"/>
                <w:sz w:val="24"/>
                <w:szCs w:val="24"/>
                <w:lang w:val="ro-MD"/>
              </w:rPr>
              <w:t>Notă: Se ia act că</w:t>
            </w:r>
            <w:r w:rsidR="00AC09F7">
              <w:rPr>
                <w:rFonts w:asciiTheme="majorHAnsi" w:eastAsia="Times New Roman" w:hAnsiTheme="majorHAnsi" w:cstheme="majorHAnsi"/>
                <w:color w:val="000000"/>
                <w:sz w:val="24"/>
                <w:szCs w:val="24"/>
                <w:lang w:val="ro-MD"/>
              </w:rPr>
              <w:t>,</w:t>
            </w:r>
            <w:r w:rsidRPr="00022A06">
              <w:rPr>
                <w:rFonts w:asciiTheme="majorHAnsi" w:eastAsia="Times New Roman" w:hAnsiTheme="majorHAnsi" w:cstheme="majorHAnsi"/>
                <w:color w:val="000000"/>
                <w:sz w:val="24"/>
                <w:szCs w:val="24"/>
                <w:lang w:val="ro-MD"/>
              </w:rPr>
              <w:t xml:space="preserve"> pe parcursul misiunii de audit</w:t>
            </w:r>
            <w:r w:rsidR="00AC09F7">
              <w:rPr>
                <w:rFonts w:asciiTheme="majorHAnsi" w:eastAsia="Times New Roman" w:hAnsiTheme="majorHAnsi" w:cstheme="majorHAnsi"/>
                <w:color w:val="000000"/>
                <w:sz w:val="24"/>
                <w:szCs w:val="24"/>
                <w:lang w:val="ro-MD"/>
              </w:rPr>
              <w:t>,</w:t>
            </w:r>
            <w:r w:rsidRPr="00022A06">
              <w:rPr>
                <w:rFonts w:asciiTheme="majorHAnsi" w:eastAsia="Times New Roman" w:hAnsiTheme="majorHAnsi" w:cstheme="majorHAnsi"/>
                <w:color w:val="000000"/>
                <w:sz w:val="24"/>
                <w:szCs w:val="24"/>
                <w:lang w:val="ro-MD"/>
              </w:rPr>
              <w:t xml:space="preserve"> SFS</w:t>
            </w:r>
            <w:r w:rsidR="00AC09F7">
              <w:rPr>
                <w:rFonts w:asciiTheme="majorHAnsi" w:eastAsia="Times New Roman" w:hAnsiTheme="majorHAnsi" w:cstheme="majorHAnsi"/>
                <w:color w:val="000000"/>
                <w:sz w:val="24"/>
                <w:szCs w:val="24"/>
                <w:lang w:val="ro-MD"/>
              </w:rPr>
              <w:t>,</w:t>
            </w:r>
            <w:r w:rsidRPr="00022A06">
              <w:rPr>
                <w:rFonts w:asciiTheme="majorHAnsi" w:eastAsia="Times New Roman" w:hAnsiTheme="majorHAnsi" w:cstheme="majorHAnsi"/>
                <w:color w:val="000000"/>
                <w:sz w:val="24"/>
                <w:szCs w:val="24"/>
                <w:lang w:val="ro-MD"/>
              </w:rPr>
              <w:t xml:space="preserve"> în comun cu specialiști antrenați </w:t>
            </w:r>
            <w:r>
              <w:rPr>
                <w:rFonts w:asciiTheme="majorHAnsi" w:eastAsia="Times New Roman" w:hAnsiTheme="majorHAnsi" w:cstheme="majorHAnsi"/>
                <w:color w:val="000000"/>
                <w:sz w:val="24"/>
                <w:szCs w:val="24"/>
                <w:lang w:val="ro-MD"/>
              </w:rPr>
              <w:t xml:space="preserve">din cadrul  </w:t>
            </w:r>
            <w:r w:rsidRPr="00022A06">
              <w:rPr>
                <w:rFonts w:asciiTheme="majorHAnsi" w:eastAsia="Times New Roman" w:hAnsiTheme="majorHAnsi" w:cstheme="majorHAnsi"/>
                <w:color w:val="000000"/>
                <w:sz w:val="24"/>
                <w:szCs w:val="24"/>
                <w:lang w:val="ro-MD"/>
              </w:rPr>
              <w:t>ANSA</w:t>
            </w:r>
            <w:r w:rsidR="00AC09F7">
              <w:rPr>
                <w:rFonts w:asciiTheme="majorHAnsi" w:eastAsia="Times New Roman" w:hAnsiTheme="majorHAnsi" w:cstheme="majorHAnsi"/>
                <w:color w:val="000000"/>
                <w:sz w:val="24"/>
                <w:szCs w:val="24"/>
                <w:lang w:val="ro-MD"/>
              </w:rPr>
              <w:t>,</w:t>
            </w:r>
            <w:r w:rsidRPr="00022A06">
              <w:rPr>
                <w:rFonts w:asciiTheme="majorHAnsi" w:eastAsia="Times New Roman" w:hAnsiTheme="majorHAnsi" w:cstheme="majorHAnsi"/>
                <w:color w:val="000000"/>
                <w:sz w:val="24"/>
                <w:szCs w:val="24"/>
                <w:lang w:val="ro-MD"/>
              </w:rPr>
              <w:t xml:space="preserve"> a</w:t>
            </w:r>
            <w:r w:rsidR="00AC09F7">
              <w:rPr>
                <w:rFonts w:asciiTheme="majorHAnsi" w:eastAsia="Times New Roman" w:hAnsiTheme="majorHAnsi" w:cstheme="majorHAnsi"/>
                <w:color w:val="000000"/>
                <w:sz w:val="24"/>
                <w:szCs w:val="24"/>
                <w:lang w:val="ro-MD"/>
              </w:rPr>
              <w:t>u</w:t>
            </w:r>
            <w:r w:rsidRPr="00022A06">
              <w:rPr>
                <w:rFonts w:asciiTheme="majorHAnsi" w:eastAsia="Times New Roman" w:hAnsiTheme="majorHAnsi" w:cstheme="majorHAnsi"/>
                <w:color w:val="000000"/>
                <w:sz w:val="24"/>
                <w:szCs w:val="24"/>
                <w:lang w:val="ro-MD"/>
              </w:rPr>
              <w:t xml:space="preserve"> inițiat </w:t>
            </w:r>
            <w:r w:rsidR="00422305">
              <w:rPr>
                <w:rFonts w:asciiTheme="majorHAnsi" w:eastAsia="Times New Roman" w:hAnsiTheme="majorHAnsi" w:cstheme="majorHAnsi"/>
                <w:color w:val="000000"/>
                <w:sz w:val="24"/>
                <w:szCs w:val="24"/>
                <w:lang w:val="ro-MD"/>
              </w:rPr>
              <w:t xml:space="preserve">acțiuni de control </w:t>
            </w:r>
            <w:r>
              <w:rPr>
                <w:rFonts w:asciiTheme="majorHAnsi" w:eastAsia="Times New Roman" w:hAnsiTheme="majorHAnsi" w:cstheme="majorHAnsi"/>
                <w:color w:val="000000"/>
                <w:sz w:val="24"/>
                <w:szCs w:val="24"/>
                <w:lang w:val="ro-MD"/>
              </w:rPr>
              <w:t>la 14 contribuabili</w:t>
            </w:r>
            <w:r w:rsidRPr="00022A06">
              <w:rPr>
                <w:rFonts w:asciiTheme="majorHAnsi" w:eastAsia="Times New Roman" w:hAnsiTheme="majorHAnsi" w:cstheme="majorHAnsi"/>
                <w:color w:val="000000"/>
                <w:sz w:val="24"/>
                <w:szCs w:val="24"/>
                <w:lang w:val="ro-MD"/>
              </w:rPr>
              <w:t xml:space="preserve">, în vederea verificării utilizării de către </w:t>
            </w:r>
            <w:r w:rsidR="00422305">
              <w:rPr>
                <w:rFonts w:asciiTheme="majorHAnsi" w:eastAsia="Times New Roman" w:hAnsiTheme="majorHAnsi" w:cstheme="majorHAnsi"/>
                <w:color w:val="000000"/>
                <w:sz w:val="24"/>
                <w:szCs w:val="24"/>
                <w:lang w:val="ro-MD"/>
              </w:rPr>
              <w:t>aceștia</w:t>
            </w:r>
            <w:r w:rsidRPr="00022A06">
              <w:rPr>
                <w:rFonts w:asciiTheme="majorHAnsi" w:eastAsia="Times New Roman" w:hAnsiTheme="majorHAnsi" w:cstheme="majorHAnsi"/>
                <w:color w:val="000000"/>
                <w:sz w:val="24"/>
                <w:szCs w:val="24"/>
                <w:lang w:val="ro-MD"/>
              </w:rPr>
              <w:t xml:space="preserve"> </w:t>
            </w:r>
            <w:r w:rsidRPr="00022A06">
              <w:rPr>
                <w:rFonts w:asciiTheme="majorHAnsi" w:hAnsiTheme="majorHAnsi" w:cstheme="majorHAnsi"/>
                <w:sz w:val="24"/>
                <w:szCs w:val="24"/>
                <w:lang w:val="ro-MD"/>
              </w:rPr>
              <w:t>a cuantumurilor cotelor-limită de alcool etilic nedenaturat</w:t>
            </w:r>
            <w:r w:rsidR="00AC09F7">
              <w:rPr>
                <w:rFonts w:asciiTheme="majorHAnsi" w:hAnsiTheme="majorHAnsi" w:cstheme="majorHAnsi"/>
                <w:sz w:val="24"/>
                <w:szCs w:val="24"/>
                <w:lang w:val="ro-MD"/>
              </w:rPr>
              <w:t>,</w:t>
            </w:r>
            <w:r w:rsidRPr="00022A06">
              <w:rPr>
                <w:rFonts w:asciiTheme="majorHAnsi" w:hAnsiTheme="majorHAnsi" w:cstheme="majorHAnsi"/>
                <w:sz w:val="24"/>
                <w:szCs w:val="24"/>
                <w:lang w:val="ro-MD"/>
              </w:rPr>
              <w:t xml:space="preserve"> destinat utilizării în industria de parfumerie și cosmetică</w:t>
            </w:r>
            <w:r w:rsidR="00AC09F7">
              <w:rPr>
                <w:rFonts w:asciiTheme="majorHAnsi" w:hAnsiTheme="majorHAnsi" w:cstheme="majorHAnsi"/>
                <w:sz w:val="24"/>
                <w:szCs w:val="24"/>
                <w:lang w:val="ro-MD"/>
              </w:rPr>
              <w:t>,</w:t>
            </w:r>
            <w:r w:rsidRPr="00022A06">
              <w:rPr>
                <w:rFonts w:asciiTheme="majorHAnsi" w:hAnsiTheme="majorHAnsi" w:cstheme="majorHAnsi"/>
                <w:sz w:val="24"/>
                <w:szCs w:val="24"/>
                <w:lang w:val="ro-MD"/>
              </w:rPr>
              <w:t xml:space="preserve"> depozitat în spațiile de păstrare</w:t>
            </w:r>
            <w:r>
              <w:rPr>
                <w:rFonts w:asciiTheme="majorHAnsi" w:hAnsiTheme="majorHAnsi" w:cstheme="majorHAnsi"/>
                <w:sz w:val="24"/>
                <w:szCs w:val="24"/>
                <w:lang w:val="ro-MD"/>
              </w:rPr>
              <w:t>.</w:t>
            </w:r>
            <w:r w:rsidRPr="00022A06">
              <w:rPr>
                <w:rFonts w:asciiTheme="majorHAnsi" w:eastAsia="Times New Roman" w:hAnsiTheme="majorHAnsi" w:cstheme="majorHAnsi"/>
                <w:color w:val="000000"/>
                <w:sz w:val="24"/>
                <w:szCs w:val="24"/>
                <w:lang w:val="ro-MD"/>
              </w:rPr>
              <w:t xml:space="preserve"> </w:t>
            </w:r>
          </w:p>
        </w:tc>
      </w:tr>
    </w:tbl>
    <w:p w:rsidR="00022A06" w:rsidRDefault="00022A06" w:rsidP="001A6761">
      <w:pPr>
        <w:pStyle w:val="ListParagraph"/>
        <w:tabs>
          <w:tab w:val="left" w:pos="360"/>
        </w:tabs>
        <w:ind w:left="0"/>
        <w:jc w:val="both"/>
        <w:rPr>
          <w:rFonts w:asciiTheme="majorHAnsi" w:eastAsia="Times New Roman" w:hAnsiTheme="majorHAnsi" w:cstheme="majorHAnsi"/>
          <w:color w:val="000000"/>
          <w:sz w:val="24"/>
          <w:szCs w:val="24"/>
          <w:lang w:val="ro-MD"/>
        </w:rPr>
      </w:pPr>
    </w:p>
    <w:p w:rsidR="00964212" w:rsidRPr="00CB5F81" w:rsidRDefault="009D1DAE" w:rsidP="00D04386">
      <w:pPr>
        <w:pStyle w:val="Heading3"/>
        <w:numPr>
          <w:ilvl w:val="2"/>
          <w:numId w:val="22"/>
        </w:numPr>
        <w:tabs>
          <w:tab w:val="left" w:pos="630"/>
        </w:tabs>
        <w:spacing w:after="120"/>
        <w:ind w:left="0" w:firstLine="0"/>
        <w:jc w:val="both"/>
        <w:rPr>
          <w:rFonts w:eastAsia="Times New Roman" w:cstheme="majorHAnsi"/>
          <w:b/>
          <w:color w:val="2E74B5" w:themeColor="accent1" w:themeShade="BF"/>
        </w:rPr>
      </w:pPr>
      <w:bookmarkStart w:id="33" w:name="_Toc111467877"/>
      <w:r w:rsidRPr="00CB5F81">
        <w:rPr>
          <w:rFonts w:eastAsia="Times New Roman" w:cstheme="majorHAnsi"/>
          <w:b/>
          <w:color w:val="2E74B5" w:themeColor="accent1" w:themeShade="BF"/>
        </w:rPr>
        <w:t xml:space="preserve">Se constată necesitatea armonizării modului de scutire </w:t>
      </w:r>
      <w:r w:rsidR="00D84F63">
        <w:rPr>
          <w:rFonts w:eastAsia="Times New Roman" w:cstheme="majorHAnsi"/>
          <w:b/>
          <w:color w:val="2E74B5" w:themeColor="accent1" w:themeShade="BF"/>
        </w:rPr>
        <w:t>de plata</w:t>
      </w:r>
      <w:r w:rsidRPr="00CB5F81">
        <w:rPr>
          <w:rFonts w:eastAsia="Times New Roman" w:cstheme="majorHAnsi"/>
          <w:b/>
          <w:color w:val="2E74B5" w:themeColor="accent1" w:themeShade="BF"/>
        </w:rPr>
        <w:t xml:space="preserve"> acci</w:t>
      </w:r>
      <w:r w:rsidR="006B3891">
        <w:rPr>
          <w:rFonts w:eastAsia="Times New Roman" w:cstheme="majorHAnsi"/>
          <w:b/>
          <w:color w:val="2E74B5" w:themeColor="accent1" w:themeShade="BF"/>
        </w:rPr>
        <w:t>zelor</w:t>
      </w:r>
      <w:r w:rsidRPr="00CB5F81">
        <w:rPr>
          <w:rFonts w:eastAsia="Times New Roman" w:cstheme="majorHAnsi"/>
          <w:b/>
          <w:color w:val="2E74B5" w:themeColor="accent1" w:themeShade="BF"/>
        </w:rPr>
        <w:t xml:space="preserve"> la alcool</w:t>
      </w:r>
      <w:r w:rsidR="00964212" w:rsidRPr="00CB5F81">
        <w:rPr>
          <w:rFonts w:eastAsia="Times New Roman" w:cstheme="majorHAnsi"/>
          <w:b/>
          <w:color w:val="2E74B5" w:themeColor="accent1" w:themeShade="BF"/>
        </w:rPr>
        <w:t xml:space="preserve">ul etilic nedenaturat utilizat </w:t>
      </w:r>
      <w:r w:rsidR="0044716A" w:rsidRPr="00CB5F81">
        <w:rPr>
          <w:rFonts w:eastAsia="Times New Roman" w:cstheme="majorHAnsi"/>
          <w:b/>
          <w:color w:val="2E74B5" w:themeColor="accent1" w:themeShade="BF"/>
        </w:rPr>
        <w:t xml:space="preserve">în </w:t>
      </w:r>
      <w:r w:rsidR="00313D96" w:rsidRPr="00CB5F81">
        <w:rPr>
          <w:rFonts w:eastAsia="Times New Roman" w:cstheme="majorHAnsi"/>
          <w:b/>
          <w:color w:val="2E74B5" w:themeColor="accent1" w:themeShade="BF"/>
        </w:rPr>
        <w:t xml:space="preserve">scopul </w:t>
      </w:r>
      <w:r w:rsidR="00964212" w:rsidRPr="00CB5F81">
        <w:rPr>
          <w:rFonts w:eastAsia="Times New Roman" w:cstheme="majorHAnsi"/>
          <w:b/>
          <w:color w:val="2E74B5" w:themeColor="accent1" w:themeShade="BF"/>
        </w:rPr>
        <w:t>producerii medicamentelor</w:t>
      </w:r>
      <w:bookmarkEnd w:id="33"/>
    </w:p>
    <w:p w:rsidR="00426E0E" w:rsidRDefault="00964212" w:rsidP="00550BB3">
      <w:pPr>
        <w:pStyle w:val="ListParagraph"/>
        <w:tabs>
          <w:tab w:val="left" w:pos="360"/>
        </w:tabs>
        <w:spacing w:after="120"/>
        <w:ind w:left="0"/>
        <w:contextualSpacing w:val="0"/>
        <w:jc w:val="both"/>
        <w:rPr>
          <w:sz w:val="22"/>
        </w:rPr>
      </w:pPr>
      <w:r w:rsidRPr="00426E0E">
        <w:rPr>
          <w:rFonts w:asciiTheme="majorHAnsi" w:eastAsia="Times New Roman" w:hAnsiTheme="majorHAnsi" w:cstheme="majorHAnsi"/>
          <w:sz w:val="24"/>
          <w:szCs w:val="24"/>
          <w:lang w:val="ro-MD"/>
        </w:rPr>
        <w:t>Conform art.</w:t>
      </w:r>
      <w:r w:rsidRPr="00426E0E">
        <w:rPr>
          <w:rFonts w:asciiTheme="majorHAnsi" w:hAnsiTheme="majorHAnsi" w:cstheme="majorHAnsi"/>
          <w:sz w:val="24"/>
          <w:szCs w:val="24"/>
          <w:lang w:val="ro-MD"/>
        </w:rPr>
        <w:t xml:space="preserve"> 124 alin.</w:t>
      </w:r>
      <w:r w:rsidR="00363A7B" w:rsidRPr="00426E0E">
        <w:rPr>
          <w:rFonts w:asciiTheme="majorHAnsi" w:hAnsiTheme="majorHAnsi" w:cstheme="majorHAnsi"/>
          <w:sz w:val="24"/>
          <w:szCs w:val="24"/>
          <w:lang w:val="ro-MD"/>
        </w:rPr>
        <w:t xml:space="preserve"> (</w:t>
      </w:r>
      <w:r w:rsidRPr="00426E0E">
        <w:rPr>
          <w:rFonts w:asciiTheme="majorHAnsi" w:hAnsiTheme="majorHAnsi" w:cstheme="majorHAnsi"/>
          <w:sz w:val="24"/>
          <w:szCs w:val="24"/>
          <w:lang w:val="ro-MD"/>
        </w:rPr>
        <w:t>16) din</w:t>
      </w:r>
      <w:r w:rsidR="00EC1EAF" w:rsidRPr="00426E0E">
        <w:rPr>
          <w:rFonts w:asciiTheme="majorHAnsi" w:hAnsiTheme="majorHAnsi" w:cstheme="majorHAnsi"/>
          <w:sz w:val="24"/>
          <w:szCs w:val="24"/>
          <w:lang w:val="ro-MD"/>
        </w:rPr>
        <w:t xml:space="preserve"> </w:t>
      </w:r>
      <w:r w:rsidRPr="00426E0E">
        <w:rPr>
          <w:rFonts w:asciiTheme="majorHAnsi" w:hAnsiTheme="majorHAnsi" w:cstheme="majorHAnsi"/>
          <w:sz w:val="24"/>
          <w:szCs w:val="24"/>
          <w:lang w:val="ro-MD"/>
        </w:rPr>
        <w:t>Codul</w:t>
      </w:r>
      <w:r w:rsidR="00426E0E">
        <w:rPr>
          <w:rFonts w:asciiTheme="majorHAnsi" w:hAnsiTheme="majorHAnsi" w:cstheme="majorHAnsi"/>
          <w:sz w:val="24"/>
          <w:szCs w:val="24"/>
          <w:lang w:val="ro-MD"/>
        </w:rPr>
        <w:t xml:space="preserve"> fiscal</w:t>
      </w:r>
      <w:r w:rsidR="00D84F63">
        <w:rPr>
          <w:rFonts w:asciiTheme="majorHAnsi" w:hAnsiTheme="majorHAnsi" w:cstheme="majorHAnsi"/>
          <w:sz w:val="24"/>
          <w:szCs w:val="24"/>
          <w:lang w:val="ro-MD"/>
        </w:rPr>
        <w:t>,</w:t>
      </w:r>
      <w:r w:rsidR="00426E0E">
        <w:rPr>
          <w:rFonts w:asciiTheme="majorHAnsi" w:hAnsiTheme="majorHAnsi" w:cstheme="majorHAnsi"/>
          <w:sz w:val="24"/>
          <w:szCs w:val="24"/>
        </w:rPr>
        <w:t xml:space="preserve"> </w:t>
      </w:r>
      <w:r w:rsidR="007C1468" w:rsidRPr="00426E0E">
        <w:rPr>
          <w:rFonts w:asciiTheme="majorHAnsi" w:hAnsiTheme="majorHAnsi" w:cstheme="majorHAnsi"/>
          <w:sz w:val="24"/>
          <w:szCs w:val="24"/>
          <w:lang w:val="ro-MD"/>
        </w:rPr>
        <w:t>s</w:t>
      </w:r>
      <w:r w:rsidRPr="00426E0E">
        <w:rPr>
          <w:rFonts w:asciiTheme="majorHAnsi" w:hAnsiTheme="majorHAnsi" w:cstheme="majorHAnsi"/>
          <w:sz w:val="24"/>
          <w:szCs w:val="24"/>
          <w:lang w:val="ro-MD"/>
        </w:rPr>
        <w:t xml:space="preserve">e </w:t>
      </w:r>
      <w:r w:rsidR="007C1468" w:rsidRPr="00426E0E">
        <w:rPr>
          <w:rFonts w:asciiTheme="majorHAnsi" w:hAnsiTheme="majorHAnsi" w:cstheme="majorHAnsi"/>
          <w:sz w:val="24"/>
          <w:szCs w:val="24"/>
          <w:lang w:val="ro-MD"/>
        </w:rPr>
        <w:t>scutește</w:t>
      </w:r>
      <w:r w:rsidRPr="00426E0E">
        <w:rPr>
          <w:rFonts w:asciiTheme="majorHAnsi" w:hAnsiTheme="majorHAnsi" w:cstheme="majorHAnsi"/>
          <w:sz w:val="24"/>
          <w:szCs w:val="24"/>
          <w:lang w:val="ro-MD"/>
        </w:rPr>
        <w:t xml:space="preserve"> de </w:t>
      </w:r>
      <w:r w:rsidR="00363A7B" w:rsidRPr="00426E0E">
        <w:rPr>
          <w:rFonts w:asciiTheme="majorHAnsi" w:hAnsiTheme="majorHAnsi" w:cstheme="majorHAnsi"/>
          <w:sz w:val="24"/>
          <w:szCs w:val="24"/>
          <w:lang w:val="ro-MD"/>
        </w:rPr>
        <w:t xml:space="preserve">plata accizelor </w:t>
      </w:r>
      <w:r w:rsidRPr="00426E0E">
        <w:rPr>
          <w:rFonts w:asciiTheme="majorHAnsi" w:hAnsiTheme="majorHAnsi" w:cstheme="majorHAnsi"/>
          <w:sz w:val="24"/>
          <w:szCs w:val="24"/>
          <w:lang w:val="ro-MD"/>
        </w:rPr>
        <w:t xml:space="preserve">alcoolul etilic nedenaturat de la </w:t>
      </w:r>
      <w:r w:rsidR="00B75292" w:rsidRPr="00426E0E">
        <w:rPr>
          <w:rFonts w:asciiTheme="majorHAnsi" w:hAnsiTheme="majorHAnsi" w:cstheme="majorHAnsi"/>
          <w:sz w:val="24"/>
          <w:szCs w:val="24"/>
          <w:lang w:val="ro-MD"/>
        </w:rPr>
        <w:t>pozițiile</w:t>
      </w:r>
      <w:r w:rsidRPr="00426E0E">
        <w:rPr>
          <w:rFonts w:asciiTheme="majorHAnsi" w:hAnsiTheme="majorHAnsi" w:cstheme="majorHAnsi"/>
          <w:sz w:val="24"/>
          <w:szCs w:val="24"/>
          <w:lang w:val="ro-MD"/>
        </w:rPr>
        <w:t xml:space="preserve"> tarifare 220710000</w:t>
      </w:r>
      <w:r w:rsidR="00426E0E">
        <w:rPr>
          <w:rFonts w:asciiTheme="majorHAnsi" w:hAnsiTheme="majorHAnsi" w:cstheme="majorHAnsi"/>
          <w:sz w:val="24"/>
          <w:szCs w:val="24"/>
          <w:lang w:val="ro-MD"/>
        </w:rPr>
        <w:t xml:space="preserve"> </w:t>
      </w:r>
      <w:r w:rsidRPr="00426E0E">
        <w:rPr>
          <w:rFonts w:asciiTheme="majorHAnsi" w:hAnsiTheme="majorHAnsi" w:cstheme="majorHAnsi"/>
          <w:sz w:val="24"/>
          <w:szCs w:val="24"/>
          <w:lang w:val="ro-MD"/>
        </w:rPr>
        <w:t xml:space="preserve"> </w:t>
      </w:r>
      <w:r w:rsidR="00B75292" w:rsidRPr="00426E0E">
        <w:rPr>
          <w:rFonts w:asciiTheme="majorHAnsi" w:hAnsiTheme="majorHAnsi" w:cstheme="majorHAnsi"/>
          <w:sz w:val="24"/>
          <w:szCs w:val="24"/>
          <w:lang w:val="ro-MD"/>
        </w:rPr>
        <w:t>și</w:t>
      </w:r>
      <w:r w:rsidRPr="00426E0E">
        <w:rPr>
          <w:rFonts w:asciiTheme="majorHAnsi" w:hAnsiTheme="majorHAnsi" w:cstheme="majorHAnsi"/>
          <w:sz w:val="24"/>
          <w:szCs w:val="24"/>
          <w:lang w:val="ro-MD"/>
        </w:rPr>
        <w:t xml:space="preserve"> 220890910, destinat producerii farmaceutice şi utilizării în medicină, în limita volumului contingentului anual stabilit de Guvern.</w:t>
      </w:r>
      <w:r w:rsidRPr="00426E0E">
        <w:rPr>
          <w:rFonts w:asciiTheme="majorHAnsi" w:eastAsia="Times New Roman" w:hAnsiTheme="majorHAnsi" w:cstheme="majorHAnsi"/>
          <w:sz w:val="24"/>
          <w:szCs w:val="24"/>
          <w:lang w:val="ro-MD"/>
        </w:rPr>
        <w:t xml:space="preserve"> </w:t>
      </w:r>
    </w:p>
    <w:p w:rsidR="00964212" w:rsidRPr="00CB5F81" w:rsidRDefault="00B75292" w:rsidP="00550BB3">
      <w:pPr>
        <w:pStyle w:val="ListParagraph"/>
        <w:tabs>
          <w:tab w:val="left" w:pos="360"/>
        </w:tabs>
        <w:spacing w:after="120"/>
        <w:ind w:left="0"/>
        <w:jc w:val="both"/>
        <w:rPr>
          <w:rFonts w:asciiTheme="majorHAnsi" w:eastAsia="Times New Roman" w:hAnsiTheme="majorHAnsi" w:cstheme="majorHAnsi"/>
          <w:sz w:val="24"/>
          <w:szCs w:val="24"/>
          <w:lang w:val="ro-MD"/>
        </w:rPr>
      </w:pPr>
      <w:r w:rsidRPr="00CB5F81">
        <w:rPr>
          <w:rFonts w:asciiTheme="majorHAnsi" w:eastAsia="Times New Roman" w:hAnsiTheme="majorHAnsi" w:cstheme="majorHAnsi"/>
          <w:sz w:val="24"/>
          <w:szCs w:val="24"/>
          <w:lang w:val="ro-MD"/>
        </w:rPr>
        <w:t>Pentru anii 2020-2021</w:t>
      </w:r>
      <w:r w:rsidR="00D84F63">
        <w:rPr>
          <w:rFonts w:asciiTheme="majorHAnsi" w:eastAsia="Times New Roman" w:hAnsiTheme="majorHAnsi" w:cstheme="majorHAnsi"/>
          <w:sz w:val="24"/>
          <w:szCs w:val="24"/>
          <w:lang w:val="ro-MD"/>
        </w:rPr>
        <w:t>,</w:t>
      </w:r>
      <w:r w:rsidR="00EC1EAF">
        <w:rPr>
          <w:rFonts w:asciiTheme="majorHAnsi" w:eastAsia="Times New Roman" w:hAnsiTheme="majorHAnsi" w:cstheme="majorHAnsi"/>
          <w:sz w:val="24"/>
          <w:szCs w:val="24"/>
          <w:lang w:val="ro-MD"/>
        </w:rPr>
        <w:t xml:space="preserve"> </w:t>
      </w:r>
      <w:r w:rsidRPr="00CB5F81">
        <w:rPr>
          <w:rFonts w:asciiTheme="majorHAnsi" w:eastAsia="Times New Roman" w:hAnsiTheme="majorHAnsi" w:cstheme="majorHAnsi"/>
          <w:sz w:val="24"/>
          <w:szCs w:val="24"/>
          <w:lang w:val="ro-MD"/>
        </w:rPr>
        <w:t xml:space="preserve">conform </w:t>
      </w:r>
      <w:r w:rsidR="00D84F63">
        <w:rPr>
          <w:rFonts w:asciiTheme="majorHAnsi" w:eastAsia="Times New Roman" w:hAnsiTheme="majorHAnsi" w:cstheme="majorHAnsi"/>
          <w:sz w:val="24"/>
          <w:szCs w:val="24"/>
          <w:lang w:val="ro-MD"/>
        </w:rPr>
        <w:t>H</w:t>
      </w:r>
      <w:r w:rsidRPr="00CB5F81">
        <w:rPr>
          <w:rFonts w:asciiTheme="majorHAnsi" w:eastAsia="Times New Roman" w:hAnsiTheme="majorHAnsi" w:cstheme="majorHAnsi"/>
          <w:sz w:val="24"/>
          <w:szCs w:val="24"/>
          <w:lang w:val="ro-MD"/>
        </w:rPr>
        <w:t xml:space="preserve">otărârilor </w:t>
      </w:r>
      <w:r w:rsidR="00D84F63">
        <w:rPr>
          <w:rFonts w:asciiTheme="majorHAnsi" w:eastAsia="Times New Roman" w:hAnsiTheme="majorHAnsi" w:cstheme="majorHAnsi"/>
          <w:sz w:val="24"/>
          <w:szCs w:val="24"/>
          <w:lang w:val="ro-MD"/>
        </w:rPr>
        <w:t>Guvernului</w:t>
      </w:r>
      <w:r w:rsidRPr="00CB5F81">
        <w:rPr>
          <w:rStyle w:val="FootnoteReference"/>
          <w:rFonts w:asciiTheme="majorHAnsi" w:eastAsia="Times New Roman" w:hAnsiTheme="majorHAnsi" w:cstheme="majorHAnsi"/>
          <w:sz w:val="24"/>
          <w:szCs w:val="24"/>
          <w:lang w:val="ro-MD"/>
        </w:rPr>
        <w:footnoteReference w:id="58"/>
      </w:r>
      <w:r w:rsidR="00D84F63">
        <w:rPr>
          <w:rFonts w:asciiTheme="majorHAnsi" w:eastAsia="Times New Roman" w:hAnsiTheme="majorHAnsi" w:cstheme="majorHAnsi"/>
          <w:sz w:val="24"/>
          <w:szCs w:val="24"/>
          <w:lang w:val="ro-MD"/>
        </w:rPr>
        <w:t>,</w:t>
      </w:r>
      <w:r w:rsidR="00EC1EAF">
        <w:rPr>
          <w:rFonts w:asciiTheme="majorHAnsi" w:eastAsia="Times New Roman" w:hAnsiTheme="majorHAnsi" w:cstheme="majorHAnsi"/>
          <w:sz w:val="24"/>
          <w:szCs w:val="24"/>
          <w:lang w:val="ro-MD"/>
        </w:rPr>
        <w:t xml:space="preserve"> </w:t>
      </w:r>
      <w:r w:rsidRPr="00CB5F81">
        <w:rPr>
          <w:rFonts w:asciiTheme="majorHAnsi" w:eastAsia="Times New Roman" w:hAnsiTheme="majorHAnsi" w:cstheme="majorHAnsi"/>
          <w:sz w:val="24"/>
          <w:szCs w:val="24"/>
          <w:lang w:val="ro-MD"/>
        </w:rPr>
        <w:t xml:space="preserve">a fost aprobată scutirea </w:t>
      </w:r>
      <w:r w:rsidRPr="00426E0E">
        <w:rPr>
          <w:rFonts w:asciiTheme="majorHAnsi" w:eastAsia="Times New Roman" w:hAnsiTheme="majorHAnsi" w:cstheme="majorHAnsi"/>
          <w:sz w:val="24"/>
          <w:szCs w:val="24"/>
          <w:lang w:val="ro-MD"/>
        </w:rPr>
        <w:t xml:space="preserve">de </w:t>
      </w:r>
      <w:r w:rsidR="00363A7B" w:rsidRPr="00426E0E">
        <w:rPr>
          <w:rFonts w:asciiTheme="majorHAnsi" w:eastAsia="Times New Roman" w:hAnsiTheme="majorHAnsi" w:cstheme="majorHAnsi"/>
          <w:sz w:val="24"/>
          <w:szCs w:val="24"/>
          <w:lang w:val="ro-MD"/>
        </w:rPr>
        <w:t>plata accizelor</w:t>
      </w:r>
      <w:r w:rsidR="00426E0E" w:rsidRPr="00426E0E">
        <w:rPr>
          <w:rFonts w:asciiTheme="majorHAnsi" w:eastAsia="Times New Roman" w:hAnsiTheme="majorHAnsi" w:cstheme="majorHAnsi"/>
          <w:sz w:val="24"/>
          <w:szCs w:val="24"/>
          <w:lang w:val="ro-MD"/>
        </w:rPr>
        <w:t xml:space="preserve"> </w:t>
      </w:r>
      <w:r w:rsidR="00EC1EAF" w:rsidRPr="00426E0E">
        <w:rPr>
          <w:rFonts w:asciiTheme="majorHAnsi" w:eastAsia="Times New Roman" w:hAnsiTheme="majorHAnsi" w:cstheme="majorHAnsi"/>
          <w:sz w:val="24"/>
          <w:szCs w:val="24"/>
          <w:lang w:val="ro-MD"/>
        </w:rPr>
        <w:t xml:space="preserve"> </w:t>
      </w:r>
      <w:r w:rsidRPr="00426E0E">
        <w:rPr>
          <w:rFonts w:asciiTheme="majorHAnsi" w:eastAsia="Times New Roman" w:hAnsiTheme="majorHAnsi" w:cstheme="majorHAnsi"/>
          <w:sz w:val="24"/>
          <w:szCs w:val="24"/>
          <w:lang w:val="ro-MD"/>
        </w:rPr>
        <w:t>î</w:t>
      </w:r>
      <w:r w:rsidRPr="00CB5F81">
        <w:rPr>
          <w:rFonts w:asciiTheme="majorHAnsi" w:eastAsia="Times New Roman" w:hAnsiTheme="majorHAnsi" w:cstheme="majorHAnsi"/>
          <w:sz w:val="24"/>
          <w:szCs w:val="24"/>
          <w:lang w:val="ro-MD"/>
        </w:rPr>
        <w:t>n valoare totală</w:t>
      </w:r>
      <w:r w:rsidR="00EC1EAF">
        <w:rPr>
          <w:rFonts w:asciiTheme="majorHAnsi" w:eastAsia="Times New Roman" w:hAnsiTheme="majorHAnsi" w:cstheme="majorHAnsi"/>
          <w:sz w:val="24"/>
          <w:szCs w:val="24"/>
          <w:lang w:val="ro-MD"/>
        </w:rPr>
        <w:t xml:space="preserve"> </w:t>
      </w:r>
      <w:r w:rsidRPr="00CB5F81">
        <w:rPr>
          <w:rFonts w:asciiTheme="majorHAnsi" w:eastAsia="Times New Roman" w:hAnsiTheme="majorHAnsi" w:cstheme="majorHAnsi"/>
          <w:sz w:val="24"/>
          <w:szCs w:val="24"/>
          <w:lang w:val="ro-MD"/>
        </w:rPr>
        <w:t xml:space="preserve">de 63,4 </w:t>
      </w:r>
      <w:r w:rsidR="00726434" w:rsidRPr="00CB5F81">
        <w:rPr>
          <w:rFonts w:asciiTheme="majorHAnsi" w:eastAsia="Times New Roman" w:hAnsiTheme="majorHAnsi" w:cstheme="majorHAnsi"/>
          <w:sz w:val="24"/>
          <w:szCs w:val="24"/>
          <w:lang w:val="ro-MD"/>
        </w:rPr>
        <w:t>mil.</w:t>
      </w:r>
      <w:r w:rsidRPr="00CB5F81">
        <w:rPr>
          <w:rFonts w:asciiTheme="majorHAnsi" w:eastAsia="Times New Roman" w:hAnsiTheme="majorHAnsi" w:cstheme="majorHAnsi"/>
          <w:sz w:val="24"/>
          <w:szCs w:val="24"/>
          <w:lang w:val="ro-MD"/>
        </w:rPr>
        <w:t xml:space="preserve">lei, din care: 28,4 </w:t>
      </w:r>
      <w:r w:rsidR="00726434" w:rsidRPr="00CB5F81">
        <w:rPr>
          <w:rFonts w:asciiTheme="majorHAnsi" w:eastAsia="Times New Roman" w:hAnsiTheme="majorHAnsi" w:cstheme="majorHAnsi"/>
          <w:sz w:val="24"/>
          <w:szCs w:val="24"/>
          <w:lang w:val="ro-MD"/>
        </w:rPr>
        <w:t>mil.</w:t>
      </w:r>
      <w:r w:rsidRPr="00CB5F81">
        <w:rPr>
          <w:rFonts w:asciiTheme="majorHAnsi" w:eastAsia="Times New Roman" w:hAnsiTheme="majorHAnsi" w:cstheme="majorHAnsi"/>
          <w:sz w:val="24"/>
          <w:szCs w:val="24"/>
          <w:lang w:val="ro-MD"/>
        </w:rPr>
        <w:t xml:space="preserve">lei </w:t>
      </w:r>
      <w:r w:rsidR="00D84F63">
        <w:rPr>
          <w:rFonts w:asciiTheme="majorHAnsi" w:eastAsia="Times New Roman" w:hAnsiTheme="majorHAnsi" w:cstheme="majorHAnsi"/>
          <w:sz w:val="24"/>
          <w:szCs w:val="24"/>
          <w:lang w:val="ro-MD"/>
        </w:rPr>
        <w:t xml:space="preserve">- </w:t>
      </w:r>
      <w:r w:rsidRPr="00CB5F81">
        <w:rPr>
          <w:rFonts w:asciiTheme="majorHAnsi" w:eastAsia="Times New Roman" w:hAnsiTheme="majorHAnsi" w:cstheme="majorHAnsi"/>
          <w:sz w:val="24"/>
          <w:szCs w:val="24"/>
          <w:lang w:val="ro-MD"/>
        </w:rPr>
        <w:t>în anul 2020</w:t>
      </w:r>
      <w:r w:rsidR="00D84F63">
        <w:rPr>
          <w:rFonts w:asciiTheme="majorHAnsi" w:eastAsia="Times New Roman" w:hAnsiTheme="majorHAnsi" w:cstheme="majorHAnsi"/>
          <w:sz w:val="24"/>
          <w:szCs w:val="24"/>
          <w:lang w:val="ro-MD"/>
        </w:rPr>
        <w:t>,</w:t>
      </w:r>
      <w:r w:rsidRPr="00CB5F81">
        <w:rPr>
          <w:rFonts w:asciiTheme="majorHAnsi" w:eastAsia="Times New Roman" w:hAnsiTheme="majorHAnsi" w:cstheme="majorHAnsi"/>
          <w:sz w:val="24"/>
          <w:szCs w:val="24"/>
          <w:lang w:val="ro-MD"/>
        </w:rPr>
        <w:t xml:space="preserve"> și 35,0 </w:t>
      </w:r>
      <w:r w:rsidR="00726434" w:rsidRPr="00CB5F81">
        <w:rPr>
          <w:rFonts w:asciiTheme="majorHAnsi" w:eastAsia="Times New Roman" w:hAnsiTheme="majorHAnsi" w:cstheme="majorHAnsi"/>
          <w:sz w:val="24"/>
          <w:szCs w:val="24"/>
          <w:lang w:val="ro-MD"/>
        </w:rPr>
        <w:t>mil.</w:t>
      </w:r>
      <w:r w:rsidRPr="00CB5F81">
        <w:rPr>
          <w:rFonts w:asciiTheme="majorHAnsi" w:eastAsia="Times New Roman" w:hAnsiTheme="majorHAnsi" w:cstheme="majorHAnsi"/>
          <w:sz w:val="24"/>
          <w:szCs w:val="24"/>
          <w:lang w:val="ro-MD"/>
        </w:rPr>
        <w:t xml:space="preserve">lei </w:t>
      </w:r>
      <w:r w:rsidR="00D84F63">
        <w:rPr>
          <w:rFonts w:asciiTheme="majorHAnsi" w:eastAsia="Times New Roman" w:hAnsiTheme="majorHAnsi" w:cstheme="majorHAnsi"/>
          <w:sz w:val="24"/>
          <w:szCs w:val="24"/>
          <w:lang w:val="ro-MD"/>
        </w:rPr>
        <w:t xml:space="preserve">- </w:t>
      </w:r>
      <w:r w:rsidRPr="00CB5F81">
        <w:rPr>
          <w:rFonts w:asciiTheme="majorHAnsi" w:eastAsia="Times New Roman" w:hAnsiTheme="majorHAnsi" w:cstheme="majorHAnsi"/>
          <w:sz w:val="24"/>
          <w:szCs w:val="24"/>
          <w:lang w:val="ro-MD"/>
        </w:rPr>
        <w:t>în anul 2021</w:t>
      </w:r>
      <w:r w:rsidR="00572E78" w:rsidRPr="00CB5F81">
        <w:rPr>
          <w:rFonts w:asciiTheme="majorHAnsi" w:eastAsia="Times New Roman" w:hAnsiTheme="majorHAnsi" w:cstheme="majorHAnsi"/>
          <w:sz w:val="24"/>
          <w:szCs w:val="24"/>
          <w:lang w:val="ro-MD"/>
        </w:rPr>
        <w:t xml:space="preserve">, precum și </w:t>
      </w:r>
      <w:r w:rsidR="00572E78" w:rsidRPr="00426E0E">
        <w:rPr>
          <w:rFonts w:asciiTheme="majorHAnsi" w:eastAsia="Times New Roman" w:hAnsiTheme="majorHAnsi" w:cstheme="majorHAnsi"/>
          <w:sz w:val="24"/>
          <w:szCs w:val="24"/>
          <w:lang w:val="ro-MD"/>
        </w:rPr>
        <w:t>lis</w:t>
      </w:r>
      <w:r w:rsidR="00363A7B" w:rsidRPr="00426E0E">
        <w:rPr>
          <w:rFonts w:asciiTheme="majorHAnsi" w:eastAsia="Times New Roman" w:hAnsiTheme="majorHAnsi" w:cstheme="majorHAnsi"/>
          <w:sz w:val="24"/>
          <w:szCs w:val="24"/>
          <w:lang w:val="ro-MD"/>
        </w:rPr>
        <w:t>t</w:t>
      </w:r>
      <w:r w:rsidR="00572E78" w:rsidRPr="00426E0E">
        <w:rPr>
          <w:rFonts w:asciiTheme="majorHAnsi" w:eastAsia="Times New Roman" w:hAnsiTheme="majorHAnsi" w:cstheme="majorHAnsi"/>
          <w:sz w:val="24"/>
          <w:szCs w:val="24"/>
          <w:lang w:val="ro-MD"/>
        </w:rPr>
        <w:t>el</w:t>
      </w:r>
      <w:r w:rsidR="00572E78" w:rsidRPr="00CB5F81">
        <w:rPr>
          <w:rFonts w:asciiTheme="majorHAnsi" w:eastAsia="Times New Roman" w:hAnsiTheme="majorHAnsi" w:cstheme="majorHAnsi"/>
          <w:sz w:val="24"/>
          <w:szCs w:val="24"/>
          <w:lang w:val="ro-MD"/>
        </w:rPr>
        <w:t xml:space="preserve">e utilizatorilor. Deși modalitatea respectivă de scutire este una mai </w:t>
      </w:r>
      <w:r w:rsidR="00572E78" w:rsidRPr="00CB5F81">
        <w:rPr>
          <w:rFonts w:asciiTheme="majorHAnsi" w:eastAsia="Times New Roman" w:hAnsiTheme="majorHAnsi" w:cstheme="majorHAnsi"/>
          <w:sz w:val="24"/>
          <w:szCs w:val="24"/>
          <w:lang w:val="ro-MD"/>
        </w:rPr>
        <w:lastRenderedPageBreak/>
        <w:t>transparentă decât înlesnirile acordate l</w:t>
      </w:r>
      <w:r w:rsidR="007C1468" w:rsidRPr="00CB5F81">
        <w:rPr>
          <w:rFonts w:asciiTheme="majorHAnsi" w:eastAsia="Times New Roman" w:hAnsiTheme="majorHAnsi" w:cstheme="majorHAnsi"/>
          <w:sz w:val="24"/>
          <w:szCs w:val="24"/>
          <w:lang w:val="ro-MD"/>
        </w:rPr>
        <w:t>a plata acciz</w:t>
      </w:r>
      <w:r w:rsidR="006B3891">
        <w:rPr>
          <w:rFonts w:asciiTheme="majorHAnsi" w:eastAsia="Times New Roman" w:hAnsiTheme="majorHAnsi" w:cstheme="majorHAnsi"/>
          <w:sz w:val="24"/>
          <w:szCs w:val="24"/>
          <w:lang w:val="ro-MD"/>
        </w:rPr>
        <w:t>elor</w:t>
      </w:r>
      <w:r w:rsidR="007C1468" w:rsidRPr="00CB5F81">
        <w:rPr>
          <w:rFonts w:asciiTheme="majorHAnsi" w:eastAsia="Times New Roman" w:hAnsiTheme="majorHAnsi" w:cstheme="majorHAnsi"/>
          <w:sz w:val="24"/>
          <w:szCs w:val="24"/>
          <w:lang w:val="ro-MD"/>
        </w:rPr>
        <w:t xml:space="preserve"> </w:t>
      </w:r>
      <w:r w:rsidR="00D84F63">
        <w:rPr>
          <w:rFonts w:asciiTheme="majorHAnsi" w:eastAsia="Times New Roman" w:hAnsiTheme="majorHAnsi" w:cstheme="majorHAnsi"/>
          <w:sz w:val="24"/>
          <w:szCs w:val="24"/>
          <w:lang w:val="ro-MD"/>
        </w:rPr>
        <w:t>pentru</w:t>
      </w:r>
      <w:r w:rsidR="007C1468" w:rsidRPr="00CB5F81">
        <w:rPr>
          <w:rFonts w:asciiTheme="majorHAnsi" w:eastAsia="Times New Roman" w:hAnsiTheme="majorHAnsi" w:cstheme="majorHAnsi"/>
          <w:sz w:val="24"/>
          <w:szCs w:val="24"/>
          <w:lang w:val="ro-MD"/>
        </w:rPr>
        <w:t xml:space="preserve"> alcoolul e</w:t>
      </w:r>
      <w:r w:rsidR="00572E78" w:rsidRPr="00CB5F81">
        <w:rPr>
          <w:rFonts w:asciiTheme="majorHAnsi" w:eastAsia="Times New Roman" w:hAnsiTheme="majorHAnsi" w:cstheme="majorHAnsi"/>
          <w:sz w:val="24"/>
          <w:szCs w:val="24"/>
          <w:lang w:val="ro-MD"/>
        </w:rPr>
        <w:t>tilic nedenaturat utilizat în industria de</w:t>
      </w:r>
      <w:r w:rsidR="007C1468" w:rsidRPr="00CB5F81">
        <w:rPr>
          <w:rFonts w:asciiTheme="majorHAnsi" w:eastAsia="Times New Roman" w:hAnsiTheme="majorHAnsi" w:cstheme="majorHAnsi"/>
          <w:sz w:val="24"/>
          <w:szCs w:val="24"/>
          <w:lang w:val="ro-MD"/>
        </w:rPr>
        <w:t xml:space="preserve"> parfumerie și cosmetică, totuși</w:t>
      </w:r>
      <w:r w:rsidR="00D84F63">
        <w:rPr>
          <w:rFonts w:asciiTheme="majorHAnsi" w:eastAsia="Times New Roman" w:hAnsiTheme="majorHAnsi" w:cstheme="majorHAnsi"/>
          <w:sz w:val="24"/>
          <w:szCs w:val="24"/>
          <w:lang w:val="ro-MD"/>
        </w:rPr>
        <w:t>,</w:t>
      </w:r>
      <w:r w:rsidR="007C1468" w:rsidRPr="00CB5F81">
        <w:rPr>
          <w:rFonts w:asciiTheme="majorHAnsi" w:eastAsia="Times New Roman" w:hAnsiTheme="majorHAnsi" w:cstheme="majorHAnsi"/>
          <w:sz w:val="24"/>
          <w:szCs w:val="24"/>
          <w:lang w:val="ro-MD"/>
        </w:rPr>
        <w:t xml:space="preserve"> auditul relevă următoarele.</w:t>
      </w:r>
    </w:p>
    <w:p w:rsidR="004021C6" w:rsidRPr="00CB5F81" w:rsidRDefault="00253BD1" w:rsidP="001A6761">
      <w:pPr>
        <w:spacing w:after="120"/>
        <w:jc w:val="both"/>
        <w:rPr>
          <w:rStyle w:val="Bodytext20"/>
          <w:rFonts w:asciiTheme="majorHAnsi" w:eastAsiaTheme="minorHAnsi" w:hAnsiTheme="majorHAnsi" w:cstheme="majorHAnsi"/>
          <w:color w:val="auto"/>
          <w:sz w:val="24"/>
          <w:szCs w:val="24"/>
          <w:lang w:val="ro-MD"/>
        </w:rPr>
      </w:pPr>
      <w:r w:rsidRPr="00CB5F81">
        <w:rPr>
          <w:rStyle w:val="Bodytext20"/>
          <w:rFonts w:asciiTheme="majorHAnsi" w:eastAsiaTheme="minorHAnsi" w:hAnsiTheme="majorHAnsi" w:cstheme="majorHAnsi"/>
          <w:color w:val="auto"/>
          <w:sz w:val="24"/>
          <w:szCs w:val="24"/>
          <w:lang w:val="ro-MD"/>
        </w:rPr>
        <w:t>Planul</w:t>
      </w:r>
      <w:r w:rsidR="004021C6" w:rsidRPr="00CB5F81">
        <w:rPr>
          <w:rStyle w:val="Bodytext20"/>
          <w:rFonts w:asciiTheme="majorHAnsi" w:eastAsiaTheme="minorHAnsi" w:hAnsiTheme="majorHAnsi" w:cstheme="majorHAnsi"/>
          <w:color w:val="auto"/>
          <w:sz w:val="24"/>
          <w:szCs w:val="24"/>
          <w:lang w:val="ro-MD"/>
        </w:rPr>
        <w:t xml:space="preserve"> Național de Acțiuni pentru implementarea Acordului de Asociere Republica Moldova–Uniunea Europeană</w:t>
      </w:r>
      <w:r w:rsidR="004021C6" w:rsidRPr="00CB5F81">
        <w:rPr>
          <w:rStyle w:val="FootnoteReference"/>
          <w:rFonts w:asciiTheme="majorHAnsi" w:hAnsiTheme="majorHAnsi" w:cstheme="majorHAnsi"/>
          <w:sz w:val="24"/>
          <w:szCs w:val="24"/>
          <w:lang w:eastAsia="ro-RO" w:bidi="ro-RO"/>
        </w:rPr>
        <w:footnoteReference w:id="59"/>
      </w:r>
      <w:r w:rsidRPr="00CB5F81">
        <w:rPr>
          <w:rStyle w:val="Bodytext20"/>
          <w:rFonts w:asciiTheme="majorHAnsi" w:eastAsiaTheme="minorHAnsi" w:hAnsiTheme="majorHAnsi" w:cstheme="majorHAnsi"/>
          <w:color w:val="auto"/>
          <w:sz w:val="24"/>
          <w:szCs w:val="24"/>
          <w:lang w:val="ro-MD"/>
        </w:rPr>
        <w:t xml:space="preserve"> </w:t>
      </w:r>
      <w:r w:rsidR="00C108D7" w:rsidRPr="00426E0E">
        <w:rPr>
          <w:rStyle w:val="Bodytext20"/>
          <w:rFonts w:asciiTheme="majorHAnsi" w:eastAsiaTheme="minorHAnsi" w:hAnsiTheme="majorHAnsi" w:cstheme="majorHAnsi"/>
          <w:color w:val="auto"/>
          <w:sz w:val="24"/>
          <w:szCs w:val="24"/>
          <w:lang w:val="ro-MD"/>
        </w:rPr>
        <w:t xml:space="preserve">prevedea </w:t>
      </w:r>
      <w:r w:rsidR="004021C6" w:rsidRPr="00426E0E">
        <w:rPr>
          <w:rStyle w:val="Bodytext20"/>
          <w:rFonts w:asciiTheme="majorHAnsi" w:eastAsiaTheme="minorHAnsi" w:hAnsiTheme="majorHAnsi" w:cstheme="majorHAnsi"/>
          <w:color w:val="auto"/>
          <w:sz w:val="24"/>
          <w:szCs w:val="24"/>
          <w:lang w:val="ro-MD"/>
        </w:rPr>
        <w:t>r</w:t>
      </w:r>
      <w:r w:rsidR="004021C6" w:rsidRPr="00CB5F81">
        <w:rPr>
          <w:rStyle w:val="Bodytext20"/>
          <w:rFonts w:asciiTheme="majorHAnsi" w:eastAsiaTheme="minorHAnsi" w:hAnsiTheme="majorHAnsi" w:cstheme="majorHAnsi"/>
          <w:color w:val="auto"/>
          <w:sz w:val="24"/>
          <w:szCs w:val="24"/>
          <w:lang w:val="ro-MD"/>
        </w:rPr>
        <w:t>acordarea legislației naționale la prevederile Directive</w:t>
      </w:r>
      <w:r w:rsidR="003F7639">
        <w:rPr>
          <w:rStyle w:val="Bodytext20"/>
          <w:rFonts w:asciiTheme="majorHAnsi" w:eastAsiaTheme="minorHAnsi" w:hAnsiTheme="majorHAnsi" w:cstheme="majorHAnsi"/>
          <w:color w:val="auto"/>
          <w:sz w:val="24"/>
          <w:szCs w:val="24"/>
          <w:lang w:val="ro-MD"/>
        </w:rPr>
        <w:t xml:space="preserve">i 92/83/CEE </w:t>
      </w:r>
      <w:r w:rsidR="004021C6" w:rsidRPr="00CB5F81">
        <w:rPr>
          <w:rStyle w:val="Bodytext20"/>
          <w:rFonts w:asciiTheme="majorHAnsi" w:eastAsiaTheme="minorHAnsi" w:hAnsiTheme="majorHAnsi" w:cstheme="majorHAnsi"/>
          <w:color w:val="auto"/>
          <w:sz w:val="24"/>
          <w:szCs w:val="24"/>
          <w:lang w:val="ro-MD"/>
        </w:rPr>
        <w:t>din 19.10.1992 privind armonizarea structurilor accizelor la alcool și băuturi alcoolice</w:t>
      </w:r>
      <w:r w:rsidRPr="00CB5F81">
        <w:rPr>
          <w:rStyle w:val="Bodytext20"/>
          <w:rFonts w:asciiTheme="majorHAnsi" w:eastAsiaTheme="minorHAnsi" w:hAnsiTheme="majorHAnsi" w:cstheme="majorHAnsi"/>
          <w:color w:val="auto"/>
          <w:sz w:val="24"/>
          <w:szCs w:val="24"/>
          <w:lang w:val="ro-MD"/>
        </w:rPr>
        <w:t>. Responsabil de implementarea acestei</w:t>
      </w:r>
      <w:r w:rsidR="00EC1EAF">
        <w:rPr>
          <w:rStyle w:val="Bodytext20"/>
          <w:rFonts w:asciiTheme="majorHAnsi" w:eastAsiaTheme="minorHAnsi" w:hAnsiTheme="majorHAnsi" w:cstheme="majorHAnsi"/>
          <w:color w:val="auto"/>
          <w:sz w:val="24"/>
          <w:szCs w:val="24"/>
          <w:lang w:val="ro-MD"/>
        </w:rPr>
        <w:t xml:space="preserve"> </w:t>
      </w:r>
      <w:r w:rsidRPr="00CB5F81">
        <w:rPr>
          <w:rStyle w:val="Bodytext20"/>
          <w:rFonts w:asciiTheme="majorHAnsi" w:eastAsiaTheme="minorHAnsi" w:hAnsiTheme="majorHAnsi" w:cstheme="majorHAnsi"/>
          <w:color w:val="auto"/>
          <w:sz w:val="24"/>
          <w:szCs w:val="24"/>
          <w:lang w:val="ro-MD"/>
        </w:rPr>
        <w:t>acțiuni a fost stabilit M</w:t>
      </w:r>
      <w:r w:rsidR="00DC66D0">
        <w:rPr>
          <w:rStyle w:val="Bodytext20"/>
          <w:rFonts w:asciiTheme="majorHAnsi" w:eastAsiaTheme="minorHAnsi" w:hAnsiTheme="majorHAnsi" w:cstheme="majorHAnsi"/>
          <w:color w:val="auto"/>
          <w:sz w:val="24"/>
          <w:szCs w:val="24"/>
          <w:lang w:val="ro-MD"/>
        </w:rPr>
        <w:t>F</w:t>
      </w:r>
      <w:r w:rsidRPr="00CB5F81">
        <w:rPr>
          <w:rStyle w:val="Bodytext20"/>
          <w:rFonts w:asciiTheme="majorHAnsi" w:eastAsiaTheme="minorHAnsi" w:hAnsiTheme="majorHAnsi" w:cstheme="majorHAnsi"/>
          <w:color w:val="auto"/>
          <w:sz w:val="24"/>
          <w:szCs w:val="24"/>
          <w:lang w:val="ro-MD"/>
        </w:rPr>
        <w:t>, cu</w:t>
      </w:r>
      <w:r w:rsidR="00EC1EAF">
        <w:rPr>
          <w:rStyle w:val="Bodytext20"/>
          <w:rFonts w:asciiTheme="majorHAnsi" w:eastAsiaTheme="minorHAnsi" w:hAnsiTheme="majorHAnsi" w:cstheme="majorHAnsi"/>
          <w:color w:val="auto"/>
          <w:sz w:val="24"/>
          <w:szCs w:val="24"/>
          <w:lang w:val="ro-MD"/>
        </w:rPr>
        <w:t xml:space="preserve"> </w:t>
      </w:r>
      <w:r w:rsidRPr="00CB5F81">
        <w:rPr>
          <w:rStyle w:val="Bodytext20"/>
          <w:rFonts w:asciiTheme="majorHAnsi" w:eastAsiaTheme="minorHAnsi" w:hAnsiTheme="majorHAnsi" w:cstheme="majorHAnsi"/>
          <w:color w:val="auto"/>
          <w:sz w:val="24"/>
          <w:szCs w:val="24"/>
          <w:lang w:val="ro-MD"/>
        </w:rPr>
        <w:t>termenul de realizare pentru tr</w:t>
      </w:r>
      <w:r w:rsidR="00D84F63">
        <w:rPr>
          <w:rStyle w:val="Bodytext20"/>
          <w:rFonts w:asciiTheme="majorHAnsi" w:eastAsiaTheme="minorHAnsi" w:hAnsiTheme="majorHAnsi" w:cstheme="majorHAnsi"/>
          <w:color w:val="auto"/>
          <w:sz w:val="24"/>
          <w:szCs w:val="24"/>
          <w:lang w:val="ro-MD"/>
        </w:rPr>
        <w:t>imestrul</w:t>
      </w:r>
      <w:r w:rsidRPr="00CB5F81">
        <w:rPr>
          <w:rStyle w:val="Bodytext20"/>
          <w:rFonts w:asciiTheme="majorHAnsi" w:eastAsiaTheme="minorHAnsi" w:hAnsiTheme="majorHAnsi" w:cstheme="majorHAnsi"/>
          <w:color w:val="auto"/>
          <w:sz w:val="24"/>
          <w:szCs w:val="24"/>
          <w:lang w:val="ro-MD"/>
        </w:rPr>
        <w:t xml:space="preserve"> III </w:t>
      </w:r>
      <w:r w:rsidR="00D84F63">
        <w:rPr>
          <w:rStyle w:val="Bodytext20"/>
          <w:rFonts w:asciiTheme="majorHAnsi" w:eastAsiaTheme="minorHAnsi" w:hAnsiTheme="majorHAnsi" w:cstheme="majorHAnsi"/>
          <w:color w:val="auto"/>
          <w:sz w:val="24"/>
          <w:szCs w:val="24"/>
          <w:lang w:val="ro-MD"/>
        </w:rPr>
        <w:t xml:space="preserve">al </w:t>
      </w:r>
      <w:r w:rsidRPr="00CB5F81">
        <w:rPr>
          <w:rStyle w:val="Bodytext20"/>
          <w:rFonts w:asciiTheme="majorHAnsi" w:eastAsiaTheme="minorHAnsi" w:hAnsiTheme="majorHAnsi" w:cstheme="majorHAnsi"/>
          <w:color w:val="auto"/>
          <w:sz w:val="24"/>
          <w:szCs w:val="24"/>
          <w:lang w:val="ro-MD"/>
        </w:rPr>
        <w:t>anul</w:t>
      </w:r>
      <w:r w:rsidR="00D84F63">
        <w:rPr>
          <w:rStyle w:val="Bodytext20"/>
          <w:rFonts w:asciiTheme="majorHAnsi" w:eastAsiaTheme="minorHAnsi" w:hAnsiTheme="majorHAnsi" w:cstheme="majorHAnsi"/>
          <w:color w:val="auto"/>
          <w:sz w:val="24"/>
          <w:szCs w:val="24"/>
          <w:lang w:val="ro-MD"/>
        </w:rPr>
        <w:t>ui</w:t>
      </w:r>
      <w:r w:rsidRPr="00CB5F81">
        <w:rPr>
          <w:rStyle w:val="Bodytext20"/>
          <w:rFonts w:asciiTheme="majorHAnsi" w:eastAsiaTheme="minorHAnsi" w:hAnsiTheme="majorHAnsi" w:cstheme="majorHAnsi"/>
          <w:color w:val="auto"/>
          <w:sz w:val="24"/>
          <w:szCs w:val="24"/>
          <w:lang w:val="ro-MD"/>
        </w:rPr>
        <w:t xml:space="preserve"> 2017</w:t>
      </w:r>
      <w:r w:rsidR="004021C6" w:rsidRPr="00CB5F81">
        <w:rPr>
          <w:rStyle w:val="Bodytext20"/>
          <w:rFonts w:asciiTheme="majorHAnsi" w:eastAsiaTheme="minorHAnsi" w:hAnsiTheme="majorHAnsi" w:cstheme="majorHAnsi"/>
          <w:color w:val="auto"/>
          <w:sz w:val="24"/>
          <w:szCs w:val="24"/>
          <w:lang w:val="ro-MD"/>
        </w:rPr>
        <w:t xml:space="preserve">. </w:t>
      </w:r>
      <w:r w:rsidRPr="00CB5F81">
        <w:rPr>
          <w:rStyle w:val="Bodytext20"/>
          <w:rFonts w:asciiTheme="majorHAnsi" w:eastAsiaTheme="minorHAnsi" w:hAnsiTheme="majorHAnsi" w:cstheme="majorHAnsi"/>
          <w:color w:val="auto"/>
          <w:sz w:val="24"/>
          <w:szCs w:val="24"/>
          <w:lang w:val="ro-MD"/>
        </w:rPr>
        <w:t>O condiție</w:t>
      </w:r>
      <w:r w:rsidR="00B826C9" w:rsidRPr="00CB5F81">
        <w:rPr>
          <w:rStyle w:val="Bodytext20"/>
          <w:rFonts w:asciiTheme="majorHAnsi" w:eastAsiaTheme="minorHAnsi" w:hAnsiTheme="majorHAnsi" w:cstheme="majorHAnsi"/>
          <w:color w:val="auto"/>
          <w:sz w:val="24"/>
          <w:szCs w:val="24"/>
          <w:lang w:val="ro-MD"/>
        </w:rPr>
        <w:t xml:space="preserve"> generală</w:t>
      </w:r>
      <w:r w:rsidRPr="00CB5F81">
        <w:rPr>
          <w:rStyle w:val="Bodytext20"/>
          <w:rFonts w:asciiTheme="majorHAnsi" w:eastAsiaTheme="minorHAnsi" w:hAnsiTheme="majorHAnsi" w:cstheme="majorHAnsi"/>
          <w:color w:val="auto"/>
          <w:sz w:val="24"/>
          <w:szCs w:val="24"/>
          <w:lang w:val="ro-MD"/>
        </w:rPr>
        <w:t xml:space="preserve"> prevăzută de </w:t>
      </w:r>
      <w:r w:rsidR="00A1750F" w:rsidRPr="00426E0E">
        <w:rPr>
          <w:rStyle w:val="Bodytext20"/>
          <w:rFonts w:asciiTheme="majorHAnsi" w:eastAsiaTheme="minorHAnsi" w:hAnsiTheme="majorHAnsi" w:cstheme="majorHAnsi"/>
          <w:color w:val="auto"/>
          <w:sz w:val="24"/>
          <w:szCs w:val="24"/>
          <w:lang w:val="ro-MD"/>
        </w:rPr>
        <w:t>Directivă</w:t>
      </w:r>
      <w:r w:rsidR="00426E0E">
        <w:rPr>
          <w:rStyle w:val="Bodytext20"/>
          <w:rFonts w:asciiTheme="majorHAnsi" w:eastAsiaTheme="minorHAnsi" w:hAnsiTheme="majorHAnsi" w:cstheme="majorHAnsi"/>
          <w:color w:val="auto"/>
          <w:sz w:val="24"/>
          <w:szCs w:val="24"/>
          <w:lang w:val="ro-MD"/>
        </w:rPr>
        <w:t xml:space="preserve"> c</w:t>
      </w:r>
      <w:r w:rsidRPr="00CB5F81">
        <w:rPr>
          <w:rStyle w:val="Bodytext20"/>
          <w:rFonts w:asciiTheme="majorHAnsi" w:eastAsiaTheme="minorHAnsi" w:hAnsiTheme="majorHAnsi" w:cstheme="majorHAnsi"/>
          <w:color w:val="auto"/>
          <w:sz w:val="24"/>
          <w:szCs w:val="24"/>
          <w:lang w:val="ro-MD"/>
        </w:rPr>
        <w:t xml:space="preserve">onstă în valorificarea scutirilor </w:t>
      </w:r>
      <w:r w:rsidRPr="00426E0E">
        <w:rPr>
          <w:rStyle w:val="Bodytext20"/>
          <w:rFonts w:asciiTheme="majorHAnsi" w:eastAsiaTheme="minorHAnsi" w:hAnsiTheme="majorHAnsi" w:cstheme="majorHAnsi"/>
          <w:color w:val="auto"/>
          <w:sz w:val="24"/>
          <w:szCs w:val="24"/>
          <w:lang w:val="ro-MD"/>
        </w:rPr>
        <w:t xml:space="preserve">de </w:t>
      </w:r>
      <w:r w:rsidR="00A1750F" w:rsidRPr="00426E0E">
        <w:rPr>
          <w:rStyle w:val="Bodytext20"/>
          <w:rFonts w:asciiTheme="majorHAnsi" w:eastAsiaTheme="minorHAnsi" w:hAnsiTheme="majorHAnsi" w:cstheme="majorHAnsi"/>
          <w:color w:val="auto"/>
          <w:sz w:val="24"/>
          <w:szCs w:val="24"/>
          <w:lang w:val="ro-MD"/>
        </w:rPr>
        <w:t>plata accizelor</w:t>
      </w:r>
      <w:r w:rsidRPr="00CB5F81">
        <w:rPr>
          <w:rStyle w:val="Bodytext20"/>
          <w:rFonts w:asciiTheme="majorHAnsi" w:eastAsiaTheme="minorHAnsi" w:hAnsiTheme="majorHAnsi" w:cstheme="majorHAnsi"/>
          <w:color w:val="auto"/>
          <w:sz w:val="24"/>
          <w:szCs w:val="24"/>
          <w:lang w:val="ro-MD"/>
        </w:rPr>
        <w:t xml:space="preserve"> prin rambursarea acestora. Prin urmare, modalitatea de scutire </w:t>
      </w:r>
      <w:r w:rsidR="006B3891">
        <w:rPr>
          <w:rStyle w:val="Bodytext20"/>
          <w:rFonts w:asciiTheme="majorHAnsi" w:eastAsiaTheme="minorHAnsi" w:hAnsiTheme="majorHAnsi" w:cstheme="majorHAnsi"/>
          <w:color w:val="auto"/>
          <w:sz w:val="24"/>
          <w:szCs w:val="24"/>
          <w:lang w:val="ro-MD"/>
        </w:rPr>
        <w:t>de plata</w:t>
      </w:r>
      <w:r w:rsidRPr="00CB5F81">
        <w:rPr>
          <w:rStyle w:val="Bodytext20"/>
          <w:rFonts w:asciiTheme="majorHAnsi" w:eastAsiaTheme="minorHAnsi" w:hAnsiTheme="majorHAnsi" w:cstheme="majorHAnsi"/>
          <w:color w:val="auto"/>
          <w:sz w:val="24"/>
          <w:szCs w:val="24"/>
          <w:lang w:val="ro-MD"/>
        </w:rPr>
        <w:t xml:space="preserve"> accizelor pentru alcoolul etilic utilizat în scopuri medicinale și farmaceutice</w:t>
      </w:r>
      <w:r w:rsidR="00EC1EAF">
        <w:rPr>
          <w:rStyle w:val="Bodytext20"/>
          <w:rFonts w:asciiTheme="majorHAnsi" w:eastAsiaTheme="minorHAnsi" w:hAnsiTheme="majorHAnsi" w:cstheme="majorHAnsi"/>
          <w:color w:val="auto"/>
          <w:sz w:val="24"/>
          <w:szCs w:val="24"/>
          <w:lang w:val="ro-MD"/>
        </w:rPr>
        <w:t xml:space="preserve"> </w:t>
      </w:r>
      <w:r w:rsidR="005C74BF">
        <w:rPr>
          <w:rStyle w:val="Bodytext20"/>
          <w:rFonts w:asciiTheme="majorHAnsi" w:eastAsiaTheme="minorHAnsi" w:hAnsiTheme="majorHAnsi" w:cstheme="majorHAnsi"/>
          <w:color w:val="auto"/>
          <w:sz w:val="24"/>
          <w:szCs w:val="24"/>
          <w:lang w:val="ro-MD"/>
        </w:rPr>
        <w:t xml:space="preserve">necesită </w:t>
      </w:r>
      <w:r w:rsidRPr="00CB5F81">
        <w:rPr>
          <w:rStyle w:val="Bodytext20"/>
          <w:rFonts w:asciiTheme="majorHAnsi" w:eastAsiaTheme="minorHAnsi" w:hAnsiTheme="majorHAnsi" w:cstheme="majorHAnsi"/>
          <w:color w:val="auto"/>
          <w:sz w:val="24"/>
          <w:szCs w:val="24"/>
          <w:lang w:val="ro-MD"/>
        </w:rPr>
        <w:t>a fi modificată</w:t>
      </w:r>
      <w:r w:rsidR="00744E7E" w:rsidRPr="00CB5F81">
        <w:rPr>
          <w:rStyle w:val="Bodytext20"/>
          <w:rFonts w:asciiTheme="majorHAnsi" w:eastAsiaTheme="minorHAnsi" w:hAnsiTheme="majorHAnsi" w:cstheme="majorHAnsi"/>
          <w:color w:val="auto"/>
          <w:sz w:val="24"/>
          <w:szCs w:val="24"/>
          <w:lang w:val="ro-MD"/>
        </w:rPr>
        <w:t xml:space="preserve">, prin </w:t>
      </w:r>
      <w:r w:rsidR="00B826C9" w:rsidRPr="00CB5F81">
        <w:rPr>
          <w:rStyle w:val="Bodytext20"/>
          <w:rFonts w:asciiTheme="majorHAnsi" w:eastAsiaTheme="minorHAnsi" w:hAnsiTheme="majorHAnsi" w:cstheme="majorHAnsi"/>
          <w:color w:val="auto"/>
          <w:sz w:val="24"/>
          <w:szCs w:val="24"/>
          <w:lang w:val="ro-MD"/>
        </w:rPr>
        <w:t xml:space="preserve">instituirea mecanismului de </w:t>
      </w:r>
      <w:r w:rsidR="00744E7E" w:rsidRPr="00CB5F81">
        <w:rPr>
          <w:rStyle w:val="Bodytext20"/>
          <w:rFonts w:asciiTheme="majorHAnsi" w:eastAsiaTheme="minorHAnsi" w:hAnsiTheme="majorHAnsi" w:cstheme="majorHAnsi"/>
          <w:color w:val="auto"/>
          <w:sz w:val="24"/>
          <w:szCs w:val="24"/>
          <w:lang w:val="ro-MD"/>
        </w:rPr>
        <w:t xml:space="preserve">rambursare </w:t>
      </w:r>
      <w:r w:rsidR="00B826C9" w:rsidRPr="00CB5F81">
        <w:rPr>
          <w:rStyle w:val="Bodytext20"/>
          <w:rFonts w:asciiTheme="majorHAnsi" w:eastAsiaTheme="minorHAnsi" w:hAnsiTheme="majorHAnsi" w:cstheme="majorHAnsi"/>
          <w:color w:val="auto"/>
          <w:sz w:val="24"/>
          <w:szCs w:val="24"/>
          <w:lang w:val="ro-MD"/>
        </w:rPr>
        <w:t>a acciz</w:t>
      </w:r>
      <w:r w:rsidR="006B3891">
        <w:rPr>
          <w:rStyle w:val="Bodytext20"/>
          <w:rFonts w:asciiTheme="majorHAnsi" w:eastAsiaTheme="minorHAnsi" w:hAnsiTheme="majorHAnsi" w:cstheme="majorHAnsi"/>
          <w:color w:val="auto"/>
          <w:sz w:val="24"/>
          <w:szCs w:val="24"/>
          <w:lang w:val="ro-MD"/>
        </w:rPr>
        <w:t>ei</w:t>
      </w:r>
      <w:r w:rsidR="00B826C9" w:rsidRPr="00CB5F81">
        <w:rPr>
          <w:rStyle w:val="Bodytext20"/>
          <w:rFonts w:asciiTheme="majorHAnsi" w:eastAsiaTheme="minorHAnsi" w:hAnsiTheme="majorHAnsi" w:cstheme="majorHAnsi"/>
          <w:color w:val="auto"/>
          <w:sz w:val="24"/>
          <w:szCs w:val="24"/>
          <w:lang w:val="ro-MD"/>
        </w:rPr>
        <w:t xml:space="preserve"> plătit</w:t>
      </w:r>
      <w:r w:rsidR="006B3891">
        <w:rPr>
          <w:rStyle w:val="Bodytext20"/>
          <w:rFonts w:asciiTheme="majorHAnsi" w:eastAsiaTheme="minorHAnsi" w:hAnsiTheme="majorHAnsi" w:cstheme="majorHAnsi"/>
          <w:color w:val="auto"/>
          <w:sz w:val="24"/>
          <w:szCs w:val="24"/>
          <w:lang w:val="ro-MD"/>
        </w:rPr>
        <w:t>e</w:t>
      </w:r>
      <w:r w:rsidR="00744E7E" w:rsidRPr="00CB5F81">
        <w:rPr>
          <w:rStyle w:val="Bodytext20"/>
          <w:rFonts w:asciiTheme="majorHAnsi" w:eastAsiaTheme="minorHAnsi" w:hAnsiTheme="majorHAnsi" w:cstheme="majorHAnsi"/>
          <w:color w:val="auto"/>
          <w:sz w:val="24"/>
          <w:szCs w:val="24"/>
          <w:lang w:val="ro-MD"/>
        </w:rPr>
        <w:t>, la solicitarea beneficiarului, ceea ce</w:t>
      </w:r>
      <w:r w:rsidR="006B3891">
        <w:rPr>
          <w:rStyle w:val="Bodytext20"/>
          <w:rFonts w:asciiTheme="majorHAnsi" w:eastAsiaTheme="minorHAnsi" w:hAnsiTheme="majorHAnsi" w:cstheme="majorHAnsi"/>
          <w:color w:val="auto"/>
          <w:sz w:val="24"/>
          <w:szCs w:val="24"/>
          <w:lang w:val="ro-MD"/>
        </w:rPr>
        <w:t>,</w:t>
      </w:r>
      <w:r w:rsidR="00744E7E" w:rsidRPr="00CB5F81">
        <w:rPr>
          <w:rStyle w:val="Bodytext20"/>
          <w:rFonts w:asciiTheme="majorHAnsi" w:eastAsiaTheme="minorHAnsi" w:hAnsiTheme="majorHAnsi" w:cstheme="majorHAnsi"/>
          <w:color w:val="auto"/>
          <w:sz w:val="24"/>
          <w:szCs w:val="24"/>
          <w:lang w:val="ro-MD"/>
        </w:rPr>
        <w:t xml:space="preserve"> de fapt</w:t>
      </w:r>
      <w:r w:rsidR="006B3891">
        <w:rPr>
          <w:rStyle w:val="Bodytext20"/>
          <w:rFonts w:asciiTheme="majorHAnsi" w:eastAsiaTheme="minorHAnsi" w:hAnsiTheme="majorHAnsi" w:cstheme="majorHAnsi"/>
          <w:color w:val="auto"/>
          <w:sz w:val="24"/>
          <w:szCs w:val="24"/>
          <w:lang w:val="ro-MD"/>
        </w:rPr>
        <w:t xml:space="preserve">, </w:t>
      </w:r>
      <w:r w:rsidR="00744E7E" w:rsidRPr="00CB5F81">
        <w:rPr>
          <w:rStyle w:val="Bodytext20"/>
          <w:rFonts w:asciiTheme="majorHAnsi" w:eastAsiaTheme="minorHAnsi" w:hAnsiTheme="majorHAnsi" w:cstheme="majorHAnsi"/>
          <w:color w:val="auto"/>
          <w:sz w:val="24"/>
          <w:szCs w:val="24"/>
          <w:lang w:val="ro-MD"/>
        </w:rPr>
        <w:t>nu s-a realizat.</w:t>
      </w:r>
      <w:r w:rsidR="00EC1EAF">
        <w:rPr>
          <w:rStyle w:val="Bodytext20"/>
          <w:rFonts w:asciiTheme="majorHAnsi" w:eastAsiaTheme="minorHAnsi" w:hAnsiTheme="majorHAnsi" w:cstheme="majorHAnsi"/>
          <w:color w:val="auto"/>
          <w:sz w:val="24"/>
          <w:szCs w:val="24"/>
          <w:lang w:val="ro-MD"/>
        </w:rPr>
        <w:t xml:space="preserve"> </w:t>
      </w:r>
    </w:p>
    <w:p w:rsidR="00B75292" w:rsidRPr="00CB5F81" w:rsidRDefault="00744E7E" w:rsidP="00A411BB">
      <w:pPr>
        <w:pStyle w:val="ListParagraph"/>
        <w:tabs>
          <w:tab w:val="left" w:pos="0"/>
          <w:tab w:val="left" w:pos="990"/>
        </w:tabs>
        <w:spacing w:after="120"/>
        <w:ind w:left="0"/>
        <w:contextualSpacing w:val="0"/>
        <w:jc w:val="both"/>
        <w:rPr>
          <w:rStyle w:val="Bodytext20"/>
          <w:rFonts w:asciiTheme="majorHAnsi" w:eastAsiaTheme="minorHAnsi" w:hAnsiTheme="majorHAnsi" w:cstheme="majorHAnsi"/>
          <w:color w:val="auto"/>
          <w:sz w:val="24"/>
          <w:szCs w:val="24"/>
          <w:lang w:val="ro-MD"/>
        </w:rPr>
      </w:pPr>
      <w:r w:rsidRPr="00CB5F81">
        <w:rPr>
          <w:rStyle w:val="Bodytext20"/>
          <w:rFonts w:asciiTheme="majorHAnsi" w:eastAsiaTheme="minorHAnsi" w:hAnsiTheme="majorHAnsi" w:cstheme="majorHAnsi"/>
          <w:color w:val="auto"/>
          <w:sz w:val="24"/>
          <w:szCs w:val="24"/>
          <w:lang w:val="ro-MD"/>
        </w:rPr>
        <w:t>De menț</w:t>
      </w:r>
      <w:r w:rsidR="00426E0E">
        <w:rPr>
          <w:rStyle w:val="Bodytext20"/>
          <w:rFonts w:asciiTheme="majorHAnsi" w:eastAsiaTheme="minorHAnsi" w:hAnsiTheme="majorHAnsi" w:cstheme="majorHAnsi"/>
          <w:color w:val="auto"/>
          <w:sz w:val="24"/>
          <w:szCs w:val="24"/>
          <w:lang w:val="ro-MD"/>
        </w:rPr>
        <w:t>ionat că inițial</w:t>
      </w:r>
      <w:r w:rsidR="00023602">
        <w:rPr>
          <w:rStyle w:val="Bodytext20"/>
          <w:rFonts w:asciiTheme="majorHAnsi" w:eastAsiaTheme="minorHAnsi" w:hAnsiTheme="majorHAnsi" w:cstheme="majorHAnsi"/>
          <w:color w:val="auto"/>
          <w:sz w:val="24"/>
          <w:szCs w:val="24"/>
          <w:lang w:val="ro-MD"/>
        </w:rPr>
        <w:t>,</w:t>
      </w:r>
      <w:r w:rsidR="00426E0E">
        <w:rPr>
          <w:rStyle w:val="Bodytext20"/>
          <w:rFonts w:asciiTheme="majorHAnsi" w:eastAsiaTheme="minorHAnsi" w:hAnsiTheme="majorHAnsi" w:cstheme="majorHAnsi"/>
          <w:color w:val="auto"/>
          <w:sz w:val="24"/>
          <w:szCs w:val="24"/>
          <w:lang w:val="ro-MD"/>
        </w:rPr>
        <w:t xml:space="preserve"> la instituirea </w:t>
      </w:r>
      <w:r w:rsidR="00023602" w:rsidRPr="00426E0E">
        <w:rPr>
          <w:rStyle w:val="Bodytext20"/>
          <w:rFonts w:asciiTheme="majorHAnsi" w:eastAsiaTheme="minorHAnsi" w:hAnsiTheme="majorHAnsi" w:cstheme="majorHAnsi"/>
          <w:color w:val="auto"/>
          <w:sz w:val="24"/>
          <w:szCs w:val="24"/>
          <w:lang w:val="ro-MD"/>
        </w:rPr>
        <w:t>s</w:t>
      </w:r>
      <w:r w:rsidR="00023602" w:rsidRPr="00CB5F81">
        <w:rPr>
          <w:rStyle w:val="Bodytext20"/>
          <w:rFonts w:asciiTheme="majorHAnsi" w:eastAsiaTheme="minorHAnsi" w:hAnsiTheme="majorHAnsi" w:cstheme="majorHAnsi"/>
          <w:color w:val="auto"/>
          <w:sz w:val="24"/>
          <w:szCs w:val="24"/>
          <w:lang w:val="ro-MD"/>
        </w:rPr>
        <w:t>cutiri</w:t>
      </w:r>
      <w:r w:rsidR="00023602">
        <w:rPr>
          <w:rStyle w:val="Bodytext20"/>
          <w:rFonts w:asciiTheme="majorHAnsi" w:eastAsiaTheme="minorHAnsi" w:hAnsiTheme="majorHAnsi" w:cstheme="majorHAnsi"/>
          <w:color w:val="auto"/>
          <w:sz w:val="24"/>
          <w:szCs w:val="24"/>
          <w:lang w:val="ro-MD"/>
        </w:rPr>
        <w:t>i</w:t>
      </w:r>
      <w:r w:rsidR="00023602" w:rsidRPr="00426E0E">
        <w:rPr>
          <w:rStyle w:val="Bodytext20"/>
          <w:rFonts w:asciiTheme="majorHAnsi" w:eastAsiaTheme="minorHAnsi" w:hAnsiTheme="majorHAnsi" w:cstheme="majorHAnsi"/>
          <w:color w:val="auto"/>
          <w:sz w:val="24"/>
          <w:szCs w:val="24"/>
          <w:lang w:val="ro-MD"/>
        </w:rPr>
        <w:t xml:space="preserve"> </w:t>
      </w:r>
      <w:r w:rsidR="00A1750F" w:rsidRPr="00426E0E">
        <w:rPr>
          <w:rStyle w:val="Bodytext20"/>
          <w:rFonts w:asciiTheme="majorHAnsi" w:eastAsiaTheme="minorHAnsi" w:hAnsiTheme="majorHAnsi" w:cstheme="majorHAnsi"/>
          <w:color w:val="auto"/>
          <w:sz w:val="24"/>
          <w:szCs w:val="24"/>
          <w:lang w:val="ro-MD"/>
        </w:rPr>
        <w:t>respective</w:t>
      </w:r>
      <w:r w:rsidRPr="00CB5F81">
        <w:rPr>
          <w:rStyle w:val="FootnoteReference"/>
          <w:rFonts w:asciiTheme="majorHAnsi" w:hAnsiTheme="majorHAnsi" w:cstheme="majorHAnsi"/>
          <w:sz w:val="24"/>
          <w:szCs w:val="24"/>
          <w:lang w:val="ro-MD" w:eastAsia="ro-RO" w:bidi="ro-RO"/>
        </w:rPr>
        <w:footnoteReference w:id="60"/>
      </w:r>
      <w:r w:rsidR="00023602">
        <w:rPr>
          <w:rStyle w:val="Bodytext20"/>
          <w:rFonts w:asciiTheme="majorHAnsi" w:eastAsiaTheme="minorHAnsi" w:hAnsiTheme="majorHAnsi" w:cstheme="majorHAnsi"/>
          <w:color w:val="auto"/>
          <w:sz w:val="24"/>
          <w:szCs w:val="24"/>
          <w:lang w:val="ro-MD"/>
        </w:rPr>
        <w:t>,</w:t>
      </w:r>
      <w:r w:rsidR="00B826C9" w:rsidRPr="00CB5F81">
        <w:rPr>
          <w:rStyle w:val="Bodytext20"/>
          <w:rFonts w:asciiTheme="majorHAnsi" w:eastAsiaTheme="minorHAnsi" w:hAnsiTheme="majorHAnsi" w:cstheme="majorHAnsi"/>
          <w:color w:val="auto"/>
          <w:sz w:val="24"/>
          <w:szCs w:val="24"/>
          <w:lang w:val="ro-MD"/>
        </w:rPr>
        <w:t xml:space="preserve"> modalitatea de acordare </w:t>
      </w:r>
      <w:r w:rsidR="00B826C9" w:rsidRPr="00A1750F">
        <w:rPr>
          <w:rStyle w:val="Bodytext20"/>
          <w:rFonts w:asciiTheme="majorHAnsi" w:eastAsiaTheme="minorHAnsi" w:hAnsiTheme="majorHAnsi" w:cstheme="majorHAnsi"/>
          <w:color w:val="auto"/>
          <w:sz w:val="24"/>
          <w:szCs w:val="24"/>
          <w:lang w:val="ro-MD"/>
        </w:rPr>
        <w:t>a</w:t>
      </w:r>
      <w:r w:rsidRPr="00A1750F">
        <w:rPr>
          <w:rStyle w:val="Bodytext20"/>
          <w:rFonts w:asciiTheme="majorHAnsi" w:eastAsiaTheme="minorHAnsi" w:hAnsiTheme="majorHAnsi" w:cstheme="majorHAnsi"/>
          <w:color w:val="auto"/>
          <w:sz w:val="24"/>
          <w:szCs w:val="24"/>
          <w:lang w:val="ro-MD"/>
        </w:rPr>
        <w:t xml:space="preserve"> </w:t>
      </w:r>
      <w:r w:rsidR="007E6B09" w:rsidRPr="00A1750F">
        <w:rPr>
          <w:rStyle w:val="Bodytext20"/>
          <w:rFonts w:asciiTheme="majorHAnsi" w:eastAsiaTheme="minorHAnsi" w:hAnsiTheme="majorHAnsi" w:cstheme="majorHAnsi"/>
          <w:color w:val="auto"/>
          <w:sz w:val="24"/>
          <w:szCs w:val="24"/>
          <w:lang w:val="ro-MD"/>
        </w:rPr>
        <w:t>acesteia</w:t>
      </w:r>
      <w:r w:rsidR="007E6B09" w:rsidRPr="00CB5F81">
        <w:rPr>
          <w:rStyle w:val="Bodytext20"/>
          <w:rFonts w:asciiTheme="majorHAnsi" w:eastAsiaTheme="minorHAnsi" w:hAnsiTheme="majorHAnsi" w:cstheme="majorHAnsi"/>
          <w:color w:val="auto"/>
          <w:sz w:val="24"/>
          <w:szCs w:val="24"/>
          <w:lang w:val="ro-MD"/>
        </w:rPr>
        <w:t xml:space="preserve"> preve</w:t>
      </w:r>
      <w:r w:rsidR="00B826C9" w:rsidRPr="00CB5F81">
        <w:rPr>
          <w:rStyle w:val="Bodytext20"/>
          <w:rFonts w:asciiTheme="majorHAnsi" w:eastAsiaTheme="minorHAnsi" w:hAnsiTheme="majorHAnsi" w:cstheme="majorHAnsi"/>
          <w:color w:val="auto"/>
          <w:sz w:val="24"/>
          <w:szCs w:val="24"/>
          <w:lang w:val="ro-MD"/>
        </w:rPr>
        <w:t>dea restituirea/</w:t>
      </w:r>
      <w:r w:rsidRPr="00CB5F81">
        <w:rPr>
          <w:rStyle w:val="Bodytext20"/>
          <w:rFonts w:asciiTheme="majorHAnsi" w:eastAsiaTheme="minorHAnsi" w:hAnsiTheme="majorHAnsi" w:cstheme="majorHAnsi"/>
          <w:color w:val="auto"/>
          <w:sz w:val="24"/>
          <w:szCs w:val="24"/>
          <w:lang w:val="ro-MD"/>
        </w:rPr>
        <w:t>rambursare</w:t>
      </w:r>
      <w:r w:rsidR="00B826C9" w:rsidRPr="00CB5F81">
        <w:rPr>
          <w:rStyle w:val="Bodytext20"/>
          <w:rFonts w:asciiTheme="majorHAnsi" w:eastAsiaTheme="minorHAnsi" w:hAnsiTheme="majorHAnsi" w:cstheme="majorHAnsi"/>
          <w:color w:val="auto"/>
          <w:sz w:val="24"/>
          <w:szCs w:val="24"/>
          <w:lang w:val="ro-MD"/>
        </w:rPr>
        <w:t>a impozitului achitat,</w:t>
      </w:r>
      <w:r w:rsidR="00EC1EAF">
        <w:rPr>
          <w:rStyle w:val="Bodytext20"/>
          <w:rFonts w:asciiTheme="majorHAnsi" w:eastAsiaTheme="minorHAnsi" w:hAnsiTheme="majorHAnsi" w:cstheme="majorHAnsi"/>
          <w:color w:val="auto"/>
          <w:sz w:val="24"/>
          <w:szCs w:val="24"/>
          <w:lang w:val="ro-MD"/>
        </w:rPr>
        <w:t xml:space="preserve"> </w:t>
      </w:r>
      <w:r w:rsidR="00550BB3" w:rsidRPr="00CB5F81">
        <w:rPr>
          <w:rStyle w:val="Bodytext20"/>
          <w:rFonts w:asciiTheme="majorHAnsi" w:eastAsiaTheme="minorHAnsi" w:hAnsiTheme="majorHAnsi" w:cstheme="majorHAnsi"/>
          <w:color w:val="auto"/>
          <w:sz w:val="24"/>
          <w:szCs w:val="24"/>
          <w:lang w:val="ro-MD"/>
        </w:rPr>
        <w:t>sau prevederi</w:t>
      </w:r>
      <w:r w:rsidR="00A1750F">
        <w:rPr>
          <w:rStyle w:val="Bodytext20"/>
          <w:rFonts w:asciiTheme="majorHAnsi" w:eastAsiaTheme="minorHAnsi" w:hAnsiTheme="majorHAnsi" w:cstheme="majorHAnsi"/>
          <w:color w:val="auto"/>
          <w:sz w:val="24"/>
          <w:szCs w:val="24"/>
          <w:lang w:val="ro-MD"/>
        </w:rPr>
        <w:t>le nominalizate</w:t>
      </w:r>
      <w:r w:rsidR="00550BB3" w:rsidRPr="00CB5F81">
        <w:rPr>
          <w:rStyle w:val="Bodytext20"/>
          <w:rFonts w:asciiTheme="majorHAnsi" w:eastAsiaTheme="minorHAnsi" w:hAnsiTheme="majorHAnsi" w:cstheme="majorHAnsi"/>
          <w:color w:val="auto"/>
          <w:sz w:val="24"/>
          <w:szCs w:val="24"/>
          <w:lang w:val="ro-MD"/>
        </w:rPr>
        <w:t xml:space="preserve"> erau racordate la bunele practici</w:t>
      </w:r>
      <w:r w:rsidRPr="00CB5F81">
        <w:rPr>
          <w:rStyle w:val="Bodytext20"/>
          <w:rFonts w:asciiTheme="majorHAnsi" w:eastAsiaTheme="minorHAnsi" w:hAnsiTheme="majorHAnsi" w:cstheme="majorHAnsi"/>
          <w:color w:val="auto"/>
          <w:sz w:val="24"/>
          <w:szCs w:val="24"/>
          <w:lang w:val="ro-MD"/>
        </w:rPr>
        <w:t>. Însă</w:t>
      </w:r>
      <w:r w:rsidR="00B826C9" w:rsidRPr="00CB5F81">
        <w:rPr>
          <w:rStyle w:val="Bodytext20"/>
          <w:rFonts w:asciiTheme="majorHAnsi" w:eastAsiaTheme="minorHAnsi" w:hAnsiTheme="majorHAnsi" w:cstheme="majorHAnsi"/>
          <w:color w:val="auto"/>
          <w:sz w:val="24"/>
          <w:szCs w:val="24"/>
          <w:lang w:val="ro-MD"/>
        </w:rPr>
        <w:t>,</w:t>
      </w:r>
      <w:r w:rsidRPr="00CB5F81">
        <w:rPr>
          <w:rStyle w:val="Bodytext20"/>
          <w:rFonts w:asciiTheme="majorHAnsi" w:eastAsiaTheme="minorHAnsi" w:hAnsiTheme="majorHAnsi" w:cstheme="majorHAnsi"/>
          <w:color w:val="auto"/>
          <w:sz w:val="24"/>
          <w:szCs w:val="24"/>
          <w:lang w:val="ro-MD"/>
        </w:rPr>
        <w:t xml:space="preserve"> prin </w:t>
      </w:r>
      <w:r w:rsidR="00B826C9" w:rsidRPr="00CB5F81">
        <w:rPr>
          <w:rStyle w:val="Bodytext20"/>
          <w:rFonts w:asciiTheme="majorHAnsi" w:eastAsiaTheme="minorHAnsi" w:hAnsiTheme="majorHAnsi" w:cstheme="majorHAnsi"/>
          <w:color w:val="auto"/>
          <w:sz w:val="24"/>
          <w:szCs w:val="24"/>
          <w:lang w:val="ro-MD"/>
        </w:rPr>
        <w:t xml:space="preserve">ajustările </w:t>
      </w:r>
      <w:r w:rsidRPr="00CB5F81">
        <w:rPr>
          <w:rStyle w:val="Bodytext20"/>
          <w:rFonts w:asciiTheme="majorHAnsi" w:eastAsiaTheme="minorHAnsi" w:hAnsiTheme="majorHAnsi" w:cstheme="majorHAnsi"/>
          <w:color w:val="auto"/>
          <w:sz w:val="24"/>
          <w:szCs w:val="24"/>
          <w:lang w:val="ro-MD"/>
        </w:rPr>
        <w:t>operate la Codul fiscal</w:t>
      </w:r>
      <w:r w:rsidR="00550BB3" w:rsidRPr="00CB5F81">
        <w:rPr>
          <w:rStyle w:val="FootnoteReference"/>
          <w:rFonts w:asciiTheme="majorHAnsi" w:hAnsiTheme="majorHAnsi" w:cstheme="majorHAnsi"/>
          <w:sz w:val="24"/>
          <w:szCs w:val="24"/>
          <w:lang w:val="ro-MD" w:eastAsia="ro-RO" w:bidi="ro-RO"/>
        </w:rPr>
        <w:footnoteReference w:id="61"/>
      </w:r>
      <w:r w:rsidRPr="00CB5F81">
        <w:rPr>
          <w:rStyle w:val="Bodytext20"/>
          <w:rFonts w:asciiTheme="majorHAnsi" w:eastAsiaTheme="minorHAnsi" w:hAnsiTheme="majorHAnsi" w:cstheme="majorHAnsi"/>
          <w:color w:val="auto"/>
          <w:sz w:val="24"/>
          <w:szCs w:val="24"/>
          <w:lang w:val="ro-MD"/>
        </w:rPr>
        <w:t xml:space="preserve"> în anul 2015</w:t>
      </w:r>
      <w:r w:rsidR="00023602">
        <w:rPr>
          <w:rStyle w:val="Bodytext20"/>
          <w:rFonts w:asciiTheme="majorHAnsi" w:eastAsiaTheme="minorHAnsi" w:hAnsiTheme="majorHAnsi" w:cstheme="majorHAnsi"/>
          <w:color w:val="auto"/>
          <w:sz w:val="24"/>
          <w:szCs w:val="24"/>
          <w:lang w:val="ro-MD"/>
        </w:rPr>
        <w:t>,</w:t>
      </w:r>
      <w:r w:rsidRPr="00CB5F81">
        <w:rPr>
          <w:rStyle w:val="Bodytext20"/>
          <w:rFonts w:asciiTheme="majorHAnsi" w:eastAsiaTheme="minorHAnsi" w:hAnsiTheme="majorHAnsi" w:cstheme="majorHAnsi"/>
          <w:color w:val="auto"/>
          <w:sz w:val="24"/>
          <w:szCs w:val="24"/>
          <w:lang w:val="ro-MD"/>
        </w:rPr>
        <w:t xml:space="preserve"> s-a modificat</w:t>
      </w:r>
      <w:r w:rsidR="00EC1EAF">
        <w:rPr>
          <w:rStyle w:val="Bodytext20"/>
          <w:rFonts w:asciiTheme="majorHAnsi" w:eastAsiaTheme="minorHAnsi" w:hAnsiTheme="majorHAnsi" w:cstheme="majorHAnsi"/>
          <w:color w:val="auto"/>
          <w:sz w:val="24"/>
          <w:szCs w:val="24"/>
          <w:lang w:val="ro-MD"/>
        </w:rPr>
        <w:t xml:space="preserve"> </w:t>
      </w:r>
      <w:r w:rsidR="00550BB3" w:rsidRPr="00CB5F81">
        <w:rPr>
          <w:rStyle w:val="Bodytext20"/>
          <w:rFonts w:asciiTheme="majorHAnsi" w:eastAsiaTheme="minorHAnsi" w:hAnsiTheme="majorHAnsi" w:cstheme="majorHAnsi"/>
          <w:color w:val="auto"/>
          <w:sz w:val="24"/>
          <w:szCs w:val="24"/>
          <w:lang w:val="ro-MD"/>
        </w:rPr>
        <w:t>această normă legală, fiind instituită modalitatea de scutire</w:t>
      </w:r>
      <w:r w:rsidR="00B826C9" w:rsidRPr="00CB5F81">
        <w:rPr>
          <w:rStyle w:val="Bodytext20"/>
          <w:rFonts w:asciiTheme="majorHAnsi" w:eastAsiaTheme="minorHAnsi" w:hAnsiTheme="majorHAnsi" w:cstheme="majorHAnsi"/>
          <w:color w:val="auto"/>
          <w:sz w:val="24"/>
          <w:szCs w:val="24"/>
          <w:lang w:val="ro-MD"/>
        </w:rPr>
        <w:t xml:space="preserve"> totală</w:t>
      </w:r>
      <w:r w:rsidR="007304FC" w:rsidRPr="00CB5F81">
        <w:rPr>
          <w:rStyle w:val="Bodytext20"/>
          <w:rFonts w:asciiTheme="majorHAnsi" w:eastAsiaTheme="minorHAnsi" w:hAnsiTheme="majorHAnsi" w:cstheme="majorHAnsi"/>
          <w:color w:val="auto"/>
          <w:sz w:val="24"/>
          <w:szCs w:val="24"/>
          <w:lang w:val="ro-MD"/>
        </w:rPr>
        <w:t xml:space="preserve"> de plat</w:t>
      </w:r>
      <w:r w:rsidR="00265C1B" w:rsidRPr="00CB5F81">
        <w:rPr>
          <w:rStyle w:val="Bodytext20"/>
          <w:rFonts w:asciiTheme="majorHAnsi" w:eastAsiaTheme="minorHAnsi" w:hAnsiTheme="majorHAnsi" w:cstheme="majorHAnsi"/>
          <w:color w:val="auto"/>
          <w:sz w:val="24"/>
          <w:szCs w:val="24"/>
          <w:lang w:val="ro-MD"/>
        </w:rPr>
        <w:t xml:space="preserve">a </w:t>
      </w:r>
      <w:r w:rsidR="007304FC" w:rsidRPr="00CB5F81">
        <w:rPr>
          <w:rStyle w:val="Bodytext20"/>
          <w:rFonts w:asciiTheme="majorHAnsi" w:eastAsiaTheme="minorHAnsi" w:hAnsiTheme="majorHAnsi" w:cstheme="majorHAnsi"/>
          <w:color w:val="auto"/>
          <w:sz w:val="24"/>
          <w:szCs w:val="24"/>
          <w:lang w:val="ro-MD"/>
        </w:rPr>
        <w:t>acciz</w:t>
      </w:r>
      <w:r w:rsidR="00023602">
        <w:rPr>
          <w:rStyle w:val="Bodytext20"/>
          <w:rFonts w:asciiTheme="majorHAnsi" w:eastAsiaTheme="minorHAnsi" w:hAnsiTheme="majorHAnsi" w:cstheme="majorHAnsi"/>
          <w:color w:val="auto"/>
          <w:sz w:val="24"/>
          <w:szCs w:val="24"/>
          <w:lang w:val="ro-MD"/>
        </w:rPr>
        <w:t>ei</w:t>
      </w:r>
      <w:r w:rsidR="007304FC" w:rsidRPr="00CB5F81">
        <w:rPr>
          <w:rStyle w:val="Bodytext20"/>
          <w:rFonts w:asciiTheme="majorHAnsi" w:eastAsiaTheme="minorHAnsi" w:hAnsiTheme="majorHAnsi" w:cstheme="majorHAnsi"/>
          <w:color w:val="auto"/>
          <w:sz w:val="24"/>
          <w:szCs w:val="24"/>
          <w:lang w:val="ro-MD"/>
        </w:rPr>
        <w:t>. În aceste condiții</w:t>
      </w:r>
      <w:r w:rsidR="00023602">
        <w:rPr>
          <w:rStyle w:val="Bodytext20"/>
          <w:rFonts w:asciiTheme="majorHAnsi" w:eastAsiaTheme="minorHAnsi" w:hAnsiTheme="majorHAnsi" w:cstheme="majorHAnsi"/>
          <w:color w:val="auto"/>
          <w:sz w:val="24"/>
          <w:szCs w:val="24"/>
          <w:lang w:val="ro-MD"/>
        </w:rPr>
        <w:t>,</w:t>
      </w:r>
      <w:r w:rsidR="007304FC" w:rsidRPr="00CB5F81">
        <w:rPr>
          <w:rStyle w:val="Bodytext20"/>
          <w:rFonts w:asciiTheme="majorHAnsi" w:eastAsiaTheme="minorHAnsi" w:hAnsiTheme="majorHAnsi" w:cstheme="majorHAnsi"/>
          <w:color w:val="auto"/>
          <w:sz w:val="24"/>
          <w:szCs w:val="24"/>
          <w:lang w:val="ro-MD"/>
        </w:rPr>
        <w:t xml:space="preserve"> s-a</w:t>
      </w:r>
      <w:r w:rsidR="005E2440" w:rsidRPr="00CB5F81">
        <w:rPr>
          <w:rStyle w:val="Bodytext20"/>
          <w:rFonts w:asciiTheme="majorHAnsi" w:eastAsiaTheme="minorHAnsi" w:hAnsiTheme="majorHAnsi" w:cstheme="majorHAnsi"/>
          <w:color w:val="auto"/>
          <w:sz w:val="24"/>
          <w:szCs w:val="24"/>
          <w:lang w:val="ro-MD"/>
        </w:rPr>
        <w:t>u</w:t>
      </w:r>
      <w:r w:rsidR="00EC1EAF">
        <w:rPr>
          <w:rStyle w:val="Bodytext20"/>
          <w:rFonts w:asciiTheme="majorHAnsi" w:eastAsiaTheme="minorHAnsi" w:hAnsiTheme="majorHAnsi" w:cstheme="majorHAnsi"/>
          <w:color w:val="auto"/>
          <w:sz w:val="24"/>
          <w:szCs w:val="24"/>
          <w:lang w:val="ro-MD"/>
        </w:rPr>
        <w:t xml:space="preserve"> </w:t>
      </w:r>
      <w:r w:rsidR="007304FC" w:rsidRPr="00CB5F81">
        <w:rPr>
          <w:rStyle w:val="Bodytext20"/>
          <w:rFonts w:asciiTheme="majorHAnsi" w:eastAsiaTheme="minorHAnsi" w:hAnsiTheme="majorHAnsi" w:cstheme="majorHAnsi"/>
          <w:color w:val="auto"/>
          <w:sz w:val="24"/>
          <w:szCs w:val="24"/>
          <w:lang w:val="ro-MD"/>
        </w:rPr>
        <w:t>diminuat pârghiile de monitorizare</w:t>
      </w:r>
      <w:r w:rsidR="005E2440" w:rsidRPr="00CB5F81">
        <w:rPr>
          <w:rStyle w:val="Bodytext20"/>
          <w:rFonts w:asciiTheme="majorHAnsi" w:eastAsiaTheme="minorHAnsi" w:hAnsiTheme="majorHAnsi" w:cstheme="majorHAnsi"/>
          <w:color w:val="auto"/>
          <w:sz w:val="24"/>
          <w:szCs w:val="24"/>
          <w:lang w:val="ro-MD"/>
        </w:rPr>
        <w:t xml:space="preserve"> din partea SFS </w:t>
      </w:r>
      <w:r w:rsidR="007304FC" w:rsidRPr="00CB5F81">
        <w:rPr>
          <w:rStyle w:val="Bodytext20"/>
          <w:rFonts w:asciiTheme="majorHAnsi" w:eastAsiaTheme="minorHAnsi" w:hAnsiTheme="majorHAnsi" w:cstheme="majorHAnsi"/>
          <w:color w:val="auto"/>
          <w:sz w:val="24"/>
          <w:szCs w:val="24"/>
          <w:lang w:val="ro-MD"/>
        </w:rPr>
        <w:t xml:space="preserve">a </w:t>
      </w:r>
      <w:r w:rsidR="00B826C9" w:rsidRPr="00CB5F81">
        <w:rPr>
          <w:rStyle w:val="Bodytext20"/>
          <w:rFonts w:asciiTheme="majorHAnsi" w:eastAsiaTheme="minorHAnsi" w:hAnsiTheme="majorHAnsi" w:cstheme="majorHAnsi"/>
          <w:color w:val="auto"/>
          <w:sz w:val="24"/>
          <w:szCs w:val="24"/>
          <w:lang w:val="ro-MD"/>
        </w:rPr>
        <w:t>corectitudinii și</w:t>
      </w:r>
      <w:r w:rsidR="00550BB3" w:rsidRPr="00CB5F81">
        <w:rPr>
          <w:rStyle w:val="Bodytext20"/>
          <w:rFonts w:asciiTheme="majorHAnsi" w:eastAsiaTheme="minorHAnsi" w:hAnsiTheme="majorHAnsi" w:cstheme="majorHAnsi"/>
          <w:color w:val="auto"/>
          <w:sz w:val="24"/>
          <w:szCs w:val="24"/>
          <w:lang w:val="ro-MD"/>
        </w:rPr>
        <w:t xml:space="preserve"> </w:t>
      </w:r>
      <w:r w:rsidR="00B826C9" w:rsidRPr="00CB5F81">
        <w:rPr>
          <w:rStyle w:val="Bodytext20"/>
          <w:rFonts w:asciiTheme="majorHAnsi" w:eastAsiaTheme="minorHAnsi" w:hAnsiTheme="majorHAnsi" w:cstheme="majorHAnsi"/>
          <w:color w:val="auto"/>
          <w:sz w:val="24"/>
          <w:szCs w:val="24"/>
          <w:lang w:val="ro-MD"/>
        </w:rPr>
        <w:t xml:space="preserve">transparenței </w:t>
      </w:r>
      <w:r w:rsidR="007304FC" w:rsidRPr="00CB5F81">
        <w:rPr>
          <w:rStyle w:val="Bodytext20"/>
          <w:rFonts w:asciiTheme="majorHAnsi" w:eastAsiaTheme="minorHAnsi" w:hAnsiTheme="majorHAnsi" w:cstheme="majorHAnsi"/>
          <w:color w:val="auto"/>
          <w:sz w:val="24"/>
          <w:szCs w:val="24"/>
          <w:lang w:val="ro-MD"/>
        </w:rPr>
        <w:t xml:space="preserve">acordării </w:t>
      </w:r>
      <w:r w:rsidR="00B826C9" w:rsidRPr="00CB5F81">
        <w:rPr>
          <w:rStyle w:val="Bodytext20"/>
          <w:rFonts w:asciiTheme="majorHAnsi" w:eastAsiaTheme="minorHAnsi" w:hAnsiTheme="majorHAnsi" w:cstheme="majorHAnsi"/>
          <w:color w:val="auto"/>
          <w:sz w:val="24"/>
          <w:szCs w:val="24"/>
          <w:lang w:val="ro-MD"/>
        </w:rPr>
        <w:t>facilități</w:t>
      </w:r>
      <w:r w:rsidR="00023602">
        <w:rPr>
          <w:rStyle w:val="Bodytext20"/>
          <w:rFonts w:asciiTheme="majorHAnsi" w:eastAsiaTheme="minorHAnsi" w:hAnsiTheme="majorHAnsi" w:cstheme="majorHAnsi"/>
          <w:color w:val="auto"/>
          <w:sz w:val="24"/>
          <w:szCs w:val="24"/>
          <w:lang w:val="ro-MD"/>
        </w:rPr>
        <w:t>i</w:t>
      </w:r>
      <w:r w:rsidR="005E2440" w:rsidRPr="00CB5F81">
        <w:rPr>
          <w:rStyle w:val="Bodytext20"/>
          <w:rFonts w:asciiTheme="majorHAnsi" w:eastAsiaTheme="minorHAnsi" w:hAnsiTheme="majorHAnsi" w:cstheme="majorHAnsi"/>
          <w:color w:val="auto"/>
          <w:sz w:val="24"/>
          <w:szCs w:val="24"/>
          <w:lang w:val="ro-MD"/>
        </w:rPr>
        <w:t xml:space="preserve"> respective</w:t>
      </w:r>
      <w:r w:rsidR="00CA4FD0" w:rsidRPr="00CB5F81">
        <w:rPr>
          <w:rStyle w:val="Bodytext20"/>
          <w:rFonts w:asciiTheme="majorHAnsi" w:eastAsiaTheme="minorHAnsi" w:hAnsiTheme="majorHAnsi" w:cstheme="majorHAnsi"/>
          <w:color w:val="auto"/>
          <w:sz w:val="24"/>
          <w:szCs w:val="24"/>
          <w:lang w:val="ro-MD"/>
        </w:rPr>
        <w:t>.</w:t>
      </w:r>
      <w:r w:rsidR="007E6B09" w:rsidRPr="00CB5F81">
        <w:rPr>
          <w:rStyle w:val="Bodytext20"/>
          <w:rFonts w:asciiTheme="majorHAnsi" w:eastAsiaTheme="minorHAnsi" w:hAnsiTheme="majorHAnsi" w:cstheme="majorHAnsi"/>
          <w:color w:val="auto"/>
          <w:sz w:val="24"/>
          <w:szCs w:val="24"/>
          <w:lang w:val="ro-MD"/>
        </w:rPr>
        <w:t xml:space="preserve"> </w:t>
      </w:r>
      <w:r w:rsidR="00CA4FD0" w:rsidRPr="00CB5F81">
        <w:rPr>
          <w:rStyle w:val="Bodytext20"/>
          <w:rFonts w:asciiTheme="majorHAnsi" w:eastAsiaTheme="minorHAnsi" w:hAnsiTheme="majorHAnsi" w:cstheme="majorHAnsi"/>
          <w:color w:val="auto"/>
          <w:sz w:val="24"/>
          <w:szCs w:val="24"/>
          <w:lang w:val="ro-MD"/>
        </w:rPr>
        <w:t>M</w:t>
      </w:r>
      <w:r w:rsidR="007304FC" w:rsidRPr="00CB5F81">
        <w:rPr>
          <w:rStyle w:val="Bodytext20"/>
          <w:rFonts w:asciiTheme="majorHAnsi" w:eastAsiaTheme="minorHAnsi" w:hAnsiTheme="majorHAnsi" w:cstheme="majorHAnsi"/>
          <w:color w:val="auto"/>
          <w:sz w:val="24"/>
          <w:szCs w:val="24"/>
          <w:lang w:val="ro-MD"/>
        </w:rPr>
        <w:t xml:space="preserve">odificările efectuate s-au </w:t>
      </w:r>
      <w:r w:rsidR="005E2440" w:rsidRPr="00CB5F81">
        <w:rPr>
          <w:rStyle w:val="Bodytext20"/>
          <w:rFonts w:asciiTheme="majorHAnsi" w:eastAsiaTheme="minorHAnsi" w:hAnsiTheme="majorHAnsi" w:cstheme="majorHAnsi"/>
          <w:color w:val="auto"/>
          <w:sz w:val="24"/>
          <w:szCs w:val="24"/>
          <w:lang w:val="ro-MD"/>
        </w:rPr>
        <w:t xml:space="preserve">răsfrâns negativ </w:t>
      </w:r>
      <w:r w:rsidR="00CA4FD0" w:rsidRPr="00CB5F81">
        <w:rPr>
          <w:rStyle w:val="Bodytext20"/>
          <w:rFonts w:asciiTheme="majorHAnsi" w:eastAsiaTheme="minorHAnsi" w:hAnsiTheme="majorHAnsi" w:cstheme="majorHAnsi"/>
          <w:color w:val="auto"/>
          <w:sz w:val="24"/>
          <w:szCs w:val="24"/>
          <w:lang w:val="ro-MD"/>
        </w:rPr>
        <w:t xml:space="preserve">și </w:t>
      </w:r>
      <w:r w:rsidR="005E2440" w:rsidRPr="00CB5F81">
        <w:rPr>
          <w:rStyle w:val="Bodytext20"/>
          <w:rFonts w:asciiTheme="majorHAnsi" w:eastAsiaTheme="minorHAnsi" w:hAnsiTheme="majorHAnsi" w:cstheme="majorHAnsi"/>
          <w:color w:val="auto"/>
          <w:sz w:val="24"/>
          <w:szCs w:val="24"/>
          <w:lang w:val="ro-MD"/>
        </w:rPr>
        <w:t xml:space="preserve">asupra </w:t>
      </w:r>
      <w:r w:rsidR="007304FC" w:rsidRPr="00CB5F81">
        <w:rPr>
          <w:rStyle w:val="Bodytext20"/>
          <w:rFonts w:asciiTheme="majorHAnsi" w:eastAsiaTheme="minorHAnsi" w:hAnsiTheme="majorHAnsi" w:cstheme="majorHAnsi"/>
          <w:color w:val="auto"/>
          <w:sz w:val="24"/>
          <w:szCs w:val="24"/>
          <w:lang w:val="ro-MD"/>
        </w:rPr>
        <w:t>veridicit</w:t>
      </w:r>
      <w:r w:rsidR="005E2440" w:rsidRPr="00CB5F81">
        <w:rPr>
          <w:rStyle w:val="Bodytext20"/>
          <w:rFonts w:asciiTheme="majorHAnsi" w:eastAsiaTheme="minorHAnsi" w:hAnsiTheme="majorHAnsi" w:cstheme="majorHAnsi"/>
          <w:color w:val="auto"/>
          <w:sz w:val="24"/>
          <w:szCs w:val="24"/>
          <w:lang w:val="ro-MD"/>
        </w:rPr>
        <w:t xml:space="preserve">ății </w:t>
      </w:r>
      <w:r w:rsidR="007304FC" w:rsidRPr="00CB5F81">
        <w:rPr>
          <w:rStyle w:val="Bodytext20"/>
          <w:rFonts w:asciiTheme="majorHAnsi" w:eastAsiaTheme="minorHAnsi" w:hAnsiTheme="majorHAnsi" w:cstheme="majorHAnsi"/>
          <w:color w:val="auto"/>
          <w:sz w:val="24"/>
          <w:szCs w:val="24"/>
          <w:lang w:val="ro-MD"/>
        </w:rPr>
        <w:t>sumei ra</w:t>
      </w:r>
      <w:r w:rsidR="00B826C9" w:rsidRPr="00CB5F81">
        <w:rPr>
          <w:rStyle w:val="Bodytext20"/>
          <w:rFonts w:asciiTheme="majorHAnsi" w:eastAsiaTheme="minorHAnsi" w:hAnsiTheme="majorHAnsi" w:cstheme="majorHAnsi"/>
          <w:color w:val="auto"/>
          <w:sz w:val="24"/>
          <w:szCs w:val="24"/>
          <w:lang w:val="ro-MD"/>
        </w:rPr>
        <w:t>porta</w:t>
      </w:r>
      <w:r w:rsidR="007304FC" w:rsidRPr="00CB5F81">
        <w:rPr>
          <w:rStyle w:val="Bodytext20"/>
          <w:rFonts w:asciiTheme="majorHAnsi" w:eastAsiaTheme="minorHAnsi" w:hAnsiTheme="majorHAnsi" w:cstheme="majorHAnsi"/>
          <w:color w:val="auto"/>
          <w:sz w:val="24"/>
          <w:szCs w:val="24"/>
          <w:lang w:val="ro-MD"/>
        </w:rPr>
        <w:t>te de</w:t>
      </w:r>
      <w:r w:rsidR="00CA4FD0" w:rsidRPr="00CB5F81">
        <w:rPr>
          <w:rStyle w:val="Bodytext20"/>
          <w:rFonts w:asciiTheme="majorHAnsi" w:eastAsiaTheme="minorHAnsi" w:hAnsiTheme="majorHAnsi" w:cstheme="majorHAnsi"/>
          <w:color w:val="auto"/>
          <w:sz w:val="24"/>
          <w:szCs w:val="24"/>
          <w:lang w:val="ro-MD"/>
        </w:rPr>
        <w:t xml:space="preserve"> către organul fiscal</w:t>
      </w:r>
      <w:r w:rsidR="007304FC" w:rsidRPr="00CB5F81">
        <w:rPr>
          <w:rStyle w:val="Bodytext20"/>
          <w:rFonts w:asciiTheme="majorHAnsi" w:eastAsiaTheme="minorHAnsi" w:hAnsiTheme="majorHAnsi" w:cstheme="majorHAnsi"/>
          <w:color w:val="auto"/>
          <w:sz w:val="24"/>
          <w:szCs w:val="24"/>
          <w:lang w:val="ro-MD"/>
        </w:rPr>
        <w:t>,</w:t>
      </w:r>
      <w:r w:rsidR="00EC1EAF">
        <w:rPr>
          <w:rStyle w:val="Bodytext20"/>
          <w:rFonts w:asciiTheme="majorHAnsi" w:eastAsiaTheme="minorHAnsi" w:hAnsiTheme="majorHAnsi" w:cstheme="majorHAnsi"/>
          <w:color w:val="auto"/>
          <w:sz w:val="24"/>
          <w:szCs w:val="24"/>
          <w:lang w:val="ro-MD"/>
        </w:rPr>
        <w:t xml:space="preserve"> </w:t>
      </w:r>
      <w:r w:rsidR="005E2440" w:rsidRPr="00CB5F81">
        <w:rPr>
          <w:rStyle w:val="Bodytext20"/>
          <w:rFonts w:asciiTheme="majorHAnsi" w:eastAsiaTheme="minorHAnsi" w:hAnsiTheme="majorHAnsi" w:cstheme="majorHAnsi"/>
          <w:color w:val="auto"/>
          <w:sz w:val="24"/>
          <w:szCs w:val="24"/>
          <w:lang w:val="ro-MD"/>
        </w:rPr>
        <w:t>ținând</w:t>
      </w:r>
      <w:r w:rsidR="00CA4FD0" w:rsidRPr="00CB5F81">
        <w:rPr>
          <w:rStyle w:val="Bodytext20"/>
          <w:rFonts w:asciiTheme="majorHAnsi" w:eastAsiaTheme="minorHAnsi" w:hAnsiTheme="majorHAnsi" w:cstheme="majorHAnsi"/>
          <w:color w:val="auto"/>
          <w:sz w:val="24"/>
          <w:szCs w:val="24"/>
          <w:lang w:val="ro-MD"/>
        </w:rPr>
        <w:t>u-se</w:t>
      </w:r>
      <w:r w:rsidR="005E2440" w:rsidRPr="00CB5F81">
        <w:rPr>
          <w:rStyle w:val="Bodytext20"/>
          <w:rFonts w:asciiTheme="majorHAnsi" w:eastAsiaTheme="minorHAnsi" w:hAnsiTheme="majorHAnsi" w:cstheme="majorHAnsi"/>
          <w:color w:val="auto"/>
          <w:sz w:val="24"/>
          <w:szCs w:val="24"/>
          <w:lang w:val="ro-MD"/>
        </w:rPr>
        <w:t xml:space="preserve"> cont </w:t>
      </w:r>
      <w:r w:rsidR="00023602">
        <w:rPr>
          <w:rStyle w:val="Bodytext20"/>
          <w:rFonts w:asciiTheme="majorHAnsi" w:eastAsiaTheme="minorHAnsi" w:hAnsiTheme="majorHAnsi" w:cstheme="majorHAnsi"/>
          <w:color w:val="auto"/>
          <w:sz w:val="24"/>
          <w:szCs w:val="24"/>
          <w:lang w:val="ro-MD"/>
        </w:rPr>
        <w:t xml:space="preserve">de faptul </w:t>
      </w:r>
      <w:r w:rsidR="005E2440" w:rsidRPr="00CB5F81">
        <w:rPr>
          <w:rStyle w:val="Bodytext20"/>
          <w:rFonts w:asciiTheme="majorHAnsi" w:eastAsiaTheme="minorHAnsi" w:hAnsiTheme="majorHAnsi" w:cstheme="majorHAnsi"/>
          <w:color w:val="auto"/>
          <w:sz w:val="24"/>
          <w:szCs w:val="24"/>
          <w:lang w:val="ro-MD"/>
        </w:rPr>
        <w:t xml:space="preserve">că se </w:t>
      </w:r>
      <w:r w:rsidR="007E6B09" w:rsidRPr="00CB5F81">
        <w:rPr>
          <w:rStyle w:val="Bodytext20"/>
          <w:rFonts w:asciiTheme="majorHAnsi" w:eastAsiaTheme="minorHAnsi" w:hAnsiTheme="majorHAnsi" w:cstheme="majorHAnsi"/>
          <w:color w:val="auto"/>
          <w:sz w:val="24"/>
          <w:szCs w:val="24"/>
          <w:lang w:val="ro-MD"/>
        </w:rPr>
        <w:t xml:space="preserve">raportează valoarea accizelor </w:t>
      </w:r>
      <w:r w:rsidR="00023602">
        <w:rPr>
          <w:rStyle w:val="Bodytext20"/>
          <w:rFonts w:asciiTheme="majorHAnsi" w:eastAsiaTheme="minorHAnsi" w:hAnsiTheme="majorHAnsi" w:cstheme="majorHAnsi"/>
          <w:color w:val="auto"/>
          <w:sz w:val="24"/>
          <w:szCs w:val="24"/>
          <w:lang w:val="ro-MD"/>
        </w:rPr>
        <w:t>pentru</w:t>
      </w:r>
      <w:r w:rsidR="007E6B09" w:rsidRPr="00CB5F81">
        <w:rPr>
          <w:rStyle w:val="Bodytext20"/>
          <w:rFonts w:asciiTheme="majorHAnsi" w:eastAsiaTheme="minorHAnsi" w:hAnsiTheme="majorHAnsi" w:cstheme="majorHAnsi"/>
          <w:color w:val="auto"/>
          <w:sz w:val="24"/>
          <w:szCs w:val="24"/>
          <w:lang w:val="ro-MD"/>
        </w:rPr>
        <w:t xml:space="preserve"> cuantumul de alcool etilic stabilit</w:t>
      </w:r>
      <w:r w:rsidR="007304FC" w:rsidRPr="00CB5F81">
        <w:rPr>
          <w:rStyle w:val="Bodytext20"/>
          <w:rFonts w:asciiTheme="majorHAnsi" w:eastAsiaTheme="minorHAnsi" w:hAnsiTheme="majorHAnsi" w:cstheme="majorHAnsi"/>
          <w:color w:val="auto"/>
          <w:sz w:val="24"/>
          <w:szCs w:val="24"/>
          <w:lang w:val="ro-MD"/>
        </w:rPr>
        <w:t xml:space="preserve"> prin Hotărârea Guvernului</w:t>
      </w:r>
      <w:r w:rsidR="00023602">
        <w:rPr>
          <w:rStyle w:val="Bodytext20"/>
          <w:rFonts w:asciiTheme="majorHAnsi" w:eastAsiaTheme="minorHAnsi" w:hAnsiTheme="majorHAnsi" w:cstheme="majorHAnsi"/>
          <w:color w:val="auto"/>
          <w:sz w:val="24"/>
          <w:szCs w:val="24"/>
          <w:lang w:val="ro-MD"/>
        </w:rPr>
        <w:t>,</w:t>
      </w:r>
      <w:r w:rsidR="007304FC" w:rsidRPr="00CB5F81">
        <w:rPr>
          <w:rStyle w:val="Bodytext20"/>
          <w:rFonts w:asciiTheme="majorHAnsi" w:eastAsiaTheme="minorHAnsi" w:hAnsiTheme="majorHAnsi" w:cstheme="majorHAnsi"/>
          <w:color w:val="auto"/>
          <w:sz w:val="24"/>
          <w:szCs w:val="24"/>
          <w:lang w:val="ro-MD"/>
        </w:rPr>
        <w:t xml:space="preserve"> și nu</w:t>
      </w:r>
      <w:r w:rsidR="00EC1EAF">
        <w:rPr>
          <w:rStyle w:val="Bodytext20"/>
          <w:rFonts w:asciiTheme="majorHAnsi" w:eastAsiaTheme="minorHAnsi" w:hAnsiTheme="majorHAnsi" w:cstheme="majorHAnsi"/>
          <w:color w:val="auto"/>
          <w:sz w:val="24"/>
          <w:szCs w:val="24"/>
          <w:lang w:val="ro-MD"/>
        </w:rPr>
        <w:t xml:space="preserve"> </w:t>
      </w:r>
      <w:r w:rsidR="00B826C9" w:rsidRPr="00CB5F81">
        <w:rPr>
          <w:rStyle w:val="Bodytext20"/>
          <w:rFonts w:asciiTheme="majorHAnsi" w:eastAsiaTheme="minorHAnsi" w:hAnsiTheme="majorHAnsi" w:cstheme="majorHAnsi"/>
          <w:color w:val="auto"/>
          <w:sz w:val="24"/>
          <w:szCs w:val="24"/>
          <w:lang w:val="ro-MD"/>
        </w:rPr>
        <w:t>înle</w:t>
      </w:r>
      <w:r w:rsidR="007304FC" w:rsidRPr="00CB5F81">
        <w:rPr>
          <w:rStyle w:val="Bodytext20"/>
          <w:rFonts w:asciiTheme="majorHAnsi" w:eastAsiaTheme="minorHAnsi" w:hAnsiTheme="majorHAnsi" w:cstheme="majorHAnsi"/>
          <w:color w:val="auto"/>
          <w:sz w:val="24"/>
          <w:szCs w:val="24"/>
          <w:lang w:val="ro-MD"/>
        </w:rPr>
        <w:t>snirile</w:t>
      </w:r>
      <w:r w:rsidR="00B826C9" w:rsidRPr="00CB5F81">
        <w:rPr>
          <w:rStyle w:val="Bodytext20"/>
          <w:rFonts w:asciiTheme="majorHAnsi" w:eastAsiaTheme="minorHAnsi" w:hAnsiTheme="majorHAnsi" w:cstheme="majorHAnsi"/>
          <w:color w:val="auto"/>
          <w:sz w:val="24"/>
          <w:szCs w:val="24"/>
          <w:lang w:val="ro-MD"/>
        </w:rPr>
        <w:t xml:space="preserve"> efectiv valorificate de către agenții economici utilizatori</w:t>
      </w:r>
      <w:r w:rsidR="007304FC" w:rsidRPr="00CB5F81">
        <w:rPr>
          <w:rStyle w:val="Bodytext20"/>
          <w:rFonts w:asciiTheme="majorHAnsi" w:eastAsiaTheme="minorHAnsi" w:hAnsiTheme="majorHAnsi" w:cstheme="majorHAnsi"/>
          <w:color w:val="auto"/>
          <w:sz w:val="24"/>
          <w:szCs w:val="24"/>
          <w:lang w:val="ro-MD"/>
        </w:rPr>
        <w:t>.</w:t>
      </w:r>
    </w:p>
    <w:p w:rsidR="00594E93" w:rsidRPr="00594E93" w:rsidRDefault="00594E93" w:rsidP="00EC1EAF">
      <w:pPr>
        <w:pStyle w:val="Heading3"/>
        <w:numPr>
          <w:ilvl w:val="2"/>
          <w:numId w:val="22"/>
        </w:numPr>
        <w:tabs>
          <w:tab w:val="left" w:pos="630"/>
        </w:tabs>
        <w:spacing w:after="120"/>
        <w:ind w:left="0" w:firstLine="0"/>
        <w:jc w:val="both"/>
        <w:rPr>
          <w:rFonts w:eastAsia="Times New Roman" w:cstheme="majorHAnsi"/>
          <w:b/>
          <w:color w:val="2E74B5" w:themeColor="accent1" w:themeShade="BF"/>
        </w:rPr>
      </w:pPr>
      <w:bookmarkStart w:id="34" w:name="_Toc111467878"/>
      <w:r w:rsidRPr="00594E93">
        <w:rPr>
          <w:rFonts w:eastAsia="Times New Roman" w:cstheme="majorHAnsi"/>
          <w:b/>
          <w:color w:val="2E74B5" w:themeColor="accent1" w:themeShade="BF"/>
        </w:rPr>
        <w:t>Circa 1/4 din rezidenții zonelor libere au beneficiat de înlesniri fiscale în valoare de 36,4 mil.lei, achitând la buget impozite și taxe în valoare de 555,2 mii lei, concomitent efectuând investiții de 137,3 mil.lei</w:t>
      </w:r>
      <w:bookmarkEnd w:id="34"/>
    </w:p>
    <w:p w:rsidR="00B136F9" w:rsidRPr="00CB5F81" w:rsidRDefault="00121376" w:rsidP="00032F07">
      <w:pPr>
        <w:pStyle w:val="ListParagraph"/>
        <w:spacing w:after="120"/>
        <w:ind w:left="0"/>
        <w:contextualSpacing w:val="0"/>
        <w:jc w:val="both"/>
        <w:rPr>
          <w:rFonts w:asciiTheme="majorHAnsi" w:eastAsia="Times New Roman" w:hAnsiTheme="majorHAnsi" w:cstheme="majorHAnsi"/>
          <w:sz w:val="24"/>
          <w:szCs w:val="24"/>
          <w:lang w:val="ro-MD"/>
        </w:rPr>
      </w:pPr>
      <w:r w:rsidRPr="00CB5F81">
        <w:rPr>
          <w:rFonts w:asciiTheme="majorHAnsi" w:eastAsia="Times New Roman" w:hAnsiTheme="majorHAnsi" w:cstheme="majorHAnsi"/>
          <w:sz w:val="24"/>
          <w:szCs w:val="24"/>
          <w:lang w:val="ro-MD"/>
        </w:rPr>
        <w:t>Ar</w:t>
      </w:r>
      <w:r w:rsidR="00F543AB" w:rsidRPr="00CB5F81">
        <w:rPr>
          <w:rFonts w:asciiTheme="majorHAnsi" w:eastAsia="Times New Roman" w:hAnsiTheme="majorHAnsi" w:cstheme="majorHAnsi"/>
          <w:sz w:val="24"/>
          <w:szCs w:val="24"/>
          <w:lang w:val="ro-MD"/>
        </w:rPr>
        <w:t>t.</w:t>
      </w:r>
      <w:r w:rsidR="00B828BD" w:rsidRPr="00CB5F81">
        <w:rPr>
          <w:rFonts w:asciiTheme="majorHAnsi" w:eastAsia="Times New Roman" w:hAnsiTheme="majorHAnsi" w:cstheme="majorHAnsi"/>
          <w:sz w:val="24"/>
          <w:szCs w:val="24"/>
          <w:lang w:val="ro-MD"/>
        </w:rPr>
        <w:t>49</w:t>
      </w:r>
      <w:r w:rsidRPr="00CB5F81">
        <w:rPr>
          <w:rFonts w:asciiTheme="majorHAnsi" w:eastAsia="Times New Roman" w:hAnsiTheme="majorHAnsi" w:cstheme="majorHAnsi"/>
          <w:sz w:val="24"/>
          <w:szCs w:val="24"/>
          <w:lang w:val="ro-MD"/>
        </w:rPr>
        <w:t xml:space="preserve"> și art.51</w:t>
      </w:r>
      <w:r w:rsidRPr="00CB5F81">
        <w:rPr>
          <w:rFonts w:asciiTheme="majorHAnsi" w:eastAsia="Times New Roman" w:hAnsiTheme="majorHAnsi" w:cstheme="majorHAnsi"/>
          <w:sz w:val="24"/>
          <w:szCs w:val="24"/>
          <w:vertAlign w:val="superscript"/>
          <w:lang w:val="ro-MD"/>
        </w:rPr>
        <w:t>2</w:t>
      </w:r>
      <w:r w:rsidR="00B828BD" w:rsidRPr="00CB5F81">
        <w:rPr>
          <w:rFonts w:asciiTheme="majorHAnsi" w:eastAsia="Times New Roman" w:hAnsiTheme="majorHAnsi" w:cstheme="majorHAnsi"/>
          <w:sz w:val="24"/>
          <w:szCs w:val="24"/>
          <w:lang w:val="ro-MD"/>
        </w:rPr>
        <w:t xml:space="preserve"> din </w:t>
      </w:r>
      <w:r w:rsidRPr="00CB5F81">
        <w:rPr>
          <w:rFonts w:asciiTheme="majorHAnsi" w:eastAsia="Times New Roman" w:hAnsiTheme="majorHAnsi" w:cstheme="majorHAnsi"/>
          <w:sz w:val="24"/>
          <w:szCs w:val="24"/>
          <w:lang w:val="ro-MD"/>
        </w:rPr>
        <w:t>Codul</w:t>
      </w:r>
      <w:r w:rsidR="0000773A" w:rsidRPr="00CB5F81">
        <w:rPr>
          <w:rFonts w:asciiTheme="majorHAnsi" w:eastAsia="Times New Roman" w:hAnsiTheme="majorHAnsi" w:cstheme="majorHAnsi"/>
          <w:sz w:val="24"/>
          <w:szCs w:val="24"/>
          <w:lang w:val="ro-MD"/>
        </w:rPr>
        <w:t xml:space="preserve"> fiscal</w:t>
      </w:r>
      <w:r w:rsidR="00F543AB" w:rsidRPr="00CB5F81">
        <w:rPr>
          <w:rFonts w:asciiTheme="majorHAnsi" w:eastAsia="Times New Roman" w:hAnsiTheme="majorHAnsi" w:cstheme="majorHAnsi"/>
          <w:sz w:val="24"/>
          <w:szCs w:val="24"/>
          <w:lang w:val="ro-MD"/>
        </w:rPr>
        <w:t xml:space="preserve"> </w:t>
      </w:r>
      <w:r w:rsidRPr="00CB5F81">
        <w:rPr>
          <w:rFonts w:asciiTheme="majorHAnsi" w:eastAsia="Times New Roman" w:hAnsiTheme="majorHAnsi" w:cstheme="majorHAnsi"/>
          <w:sz w:val="24"/>
          <w:szCs w:val="24"/>
          <w:lang w:val="ro-MD"/>
        </w:rPr>
        <w:t>statuează reg</w:t>
      </w:r>
      <w:r w:rsidR="008551EE" w:rsidRPr="00CB5F81">
        <w:rPr>
          <w:rFonts w:asciiTheme="majorHAnsi" w:eastAsia="Times New Roman" w:hAnsiTheme="majorHAnsi" w:cstheme="majorHAnsi"/>
          <w:sz w:val="24"/>
          <w:szCs w:val="24"/>
          <w:lang w:val="ro-MD"/>
        </w:rPr>
        <w:t>lementări aferente scutir</w:t>
      </w:r>
      <w:r w:rsidRPr="00CB5F81">
        <w:rPr>
          <w:rFonts w:asciiTheme="majorHAnsi" w:eastAsia="Times New Roman" w:hAnsiTheme="majorHAnsi" w:cstheme="majorHAnsi"/>
          <w:sz w:val="24"/>
          <w:szCs w:val="24"/>
          <w:lang w:val="ro-MD"/>
        </w:rPr>
        <w:t>i</w:t>
      </w:r>
      <w:r w:rsidR="008551EE" w:rsidRPr="00CB5F81">
        <w:rPr>
          <w:rFonts w:asciiTheme="majorHAnsi" w:eastAsia="Times New Roman" w:hAnsiTheme="majorHAnsi" w:cstheme="majorHAnsi"/>
          <w:sz w:val="24"/>
          <w:szCs w:val="24"/>
          <w:lang w:val="ro-MD"/>
        </w:rPr>
        <w:t xml:space="preserve">lor </w:t>
      </w:r>
      <w:r w:rsidRPr="00CB5F81">
        <w:rPr>
          <w:rFonts w:asciiTheme="majorHAnsi" w:eastAsia="Times New Roman" w:hAnsiTheme="majorHAnsi" w:cstheme="majorHAnsi"/>
          <w:sz w:val="24"/>
          <w:szCs w:val="24"/>
          <w:lang w:val="ro-MD"/>
        </w:rPr>
        <w:t xml:space="preserve">de plata impozitului pe venit </w:t>
      </w:r>
      <w:r w:rsidR="00023602">
        <w:rPr>
          <w:rFonts w:asciiTheme="majorHAnsi" w:eastAsia="Times New Roman" w:hAnsiTheme="majorHAnsi" w:cstheme="majorHAnsi"/>
          <w:sz w:val="24"/>
          <w:szCs w:val="24"/>
          <w:lang w:val="ro-MD"/>
        </w:rPr>
        <w:t>pentru</w:t>
      </w:r>
      <w:r w:rsidRPr="00CB5F81">
        <w:rPr>
          <w:rFonts w:asciiTheme="majorHAnsi" w:eastAsia="Times New Roman" w:hAnsiTheme="majorHAnsi" w:cstheme="majorHAnsi"/>
          <w:sz w:val="24"/>
          <w:szCs w:val="24"/>
          <w:lang w:val="ro-MD"/>
        </w:rPr>
        <w:t xml:space="preserve"> a</w:t>
      </w:r>
      <w:r w:rsidRPr="00CB5F81">
        <w:rPr>
          <w:rFonts w:asciiTheme="majorHAnsi" w:hAnsiTheme="majorHAnsi" w:cstheme="majorHAnsi"/>
          <w:sz w:val="24"/>
          <w:szCs w:val="24"/>
          <w:lang w:val="ro-MD"/>
        </w:rPr>
        <w:t>genții economici rezidenți ai zonelor economice libere</w:t>
      </w:r>
      <w:r w:rsidR="008C32E9" w:rsidRPr="00CB5F81">
        <w:rPr>
          <w:rFonts w:asciiTheme="majorHAnsi" w:hAnsiTheme="majorHAnsi" w:cstheme="majorHAnsi"/>
          <w:sz w:val="24"/>
          <w:szCs w:val="24"/>
          <w:lang w:val="ro-MD"/>
        </w:rPr>
        <w:t xml:space="preserve"> și administrați</w:t>
      </w:r>
      <w:r w:rsidR="00843C17" w:rsidRPr="00CB5F81">
        <w:rPr>
          <w:rFonts w:asciiTheme="majorHAnsi" w:hAnsiTheme="majorHAnsi" w:cstheme="majorHAnsi"/>
          <w:sz w:val="24"/>
          <w:szCs w:val="24"/>
          <w:lang w:val="ro-MD"/>
        </w:rPr>
        <w:t>il</w:t>
      </w:r>
      <w:r w:rsidR="00023602">
        <w:rPr>
          <w:rFonts w:asciiTheme="majorHAnsi" w:hAnsiTheme="majorHAnsi" w:cstheme="majorHAnsi"/>
          <w:sz w:val="24"/>
          <w:szCs w:val="24"/>
          <w:lang w:val="ro-MD"/>
        </w:rPr>
        <w:t>e</w:t>
      </w:r>
      <w:r w:rsidR="00843C17" w:rsidRPr="00CB5F81">
        <w:rPr>
          <w:rFonts w:asciiTheme="majorHAnsi" w:hAnsiTheme="majorHAnsi" w:cstheme="majorHAnsi"/>
          <w:sz w:val="24"/>
          <w:szCs w:val="24"/>
          <w:lang w:val="ro-MD"/>
        </w:rPr>
        <w:t xml:space="preserve"> acestora.</w:t>
      </w:r>
      <w:r w:rsidR="008C32E9" w:rsidRPr="00CB5F81">
        <w:rPr>
          <w:rFonts w:asciiTheme="majorHAnsi" w:hAnsiTheme="majorHAnsi" w:cstheme="majorHAnsi"/>
          <w:sz w:val="24"/>
          <w:szCs w:val="24"/>
          <w:lang w:val="ro-MD"/>
        </w:rPr>
        <w:t xml:space="preserve"> </w:t>
      </w:r>
      <w:r w:rsidR="008C32E9" w:rsidRPr="00CB5F81">
        <w:rPr>
          <w:rFonts w:asciiTheme="majorHAnsi" w:eastAsia="Times New Roman" w:hAnsiTheme="majorHAnsi" w:cstheme="majorHAnsi"/>
          <w:sz w:val="24"/>
          <w:szCs w:val="24"/>
          <w:lang w:val="ro-MD"/>
        </w:rPr>
        <w:t>Potrivit datelor prezentate de SFS</w:t>
      </w:r>
      <w:r w:rsidR="00023602">
        <w:rPr>
          <w:rFonts w:asciiTheme="majorHAnsi" w:eastAsia="Times New Roman" w:hAnsiTheme="majorHAnsi" w:cstheme="majorHAnsi"/>
          <w:sz w:val="24"/>
          <w:szCs w:val="24"/>
          <w:lang w:val="ro-MD"/>
        </w:rPr>
        <w:t>,</w:t>
      </w:r>
      <w:r w:rsidR="008C32E9" w:rsidRPr="00CB5F81">
        <w:rPr>
          <w:rFonts w:asciiTheme="majorHAnsi" w:eastAsia="Times New Roman" w:hAnsiTheme="majorHAnsi" w:cstheme="majorHAnsi"/>
          <w:sz w:val="24"/>
          <w:szCs w:val="24"/>
          <w:lang w:val="ro-MD"/>
        </w:rPr>
        <w:t xml:space="preserve"> în anul 2020</w:t>
      </w:r>
      <w:r w:rsidR="0031328C">
        <w:rPr>
          <w:rFonts w:asciiTheme="majorHAnsi" w:eastAsia="Times New Roman" w:hAnsiTheme="majorHAnsi" w:cstheme="majorHAnsi"/>
          <w:sz w:val="24"/>
          <w:szCs w:val="24"/>
          <w:lang w:val="ro-MD"/>
        </w:rPr>
        <w:t>,</w:t>
      </w:r>
      <w:r w:rsidR="008C32E9" w:rsidRPr="00CB5F81">
        <w:rPr>
          <w:rFonts w:asciiTheme="majorHAnsi" w:eastAsia="Times New Roman" w:hAnsiTheme="majorHAnsi" w:cstheme="majorHAnsi"/>
          <w:sz w:val="24"/>
          <w:szCs w:val="24"/>
          <w:lang w:val="ro-MD"/>
        </w:rPr>
        <w:t xml:space="preserve"> de înlesniri fiscale la impozitul pe venit</w:t>
      </w:r>
      <w:r w:rsidR="00843C17" w:rsidRPr="00CB5F81">
        <w:rPr>
          <w:rFonts w:asciiTheme="majorHAnsi" w:eastAsia="Times New Roman" w:hAnsiTheme="majorHAnsi" w:cstheme="majorHAnsi"/>
          <w:sz w:val="24"/>
          <w:szCs w:val="24"/>
          <w:lang w:val="ro-MD"/>
        </w:rPr>
        <w:t xml:space="preserve"> </w:t>
      </w:r>
      <w:r w:rsidR="00A1750F" w:rsidRPr="00426E0E">
        <w:rPr>
          <w:rFonts w:asciiTheme="majorHAnsi" w:eastAsia="Times New Roman" w:hAnsiTheme="majorHAnsi" w:cstheme="majorHAnsi"/>
          <w:sz w:val="24"/>
          <w:szCs w:val="24"/>
          <w:lang w:val="ro-MD"/>
        </w:rPr>
        <w:t>au beneficiat</w:t>
      </w:r>
      <w:r w:rsidR="00A1750F">
        <w:rPr>
          <w:rFonts w:asciiTheme="majorHAnsi" w:eastAsia="Times New Roman" w:hAnsiTheme="majorHAnsi" w:cstheme="majorHAnsi"/>
          <w:sz w:val="24"/>
          <w:szCs w:val="24"/>
          <w:lang w:val="ro-MD"/>
        </w:rPr>
        <w:t xml:space="preserve"> </w:t>
      </w:r>
      <w:r w:rsidR="00843C17" w:rsidRPr="00CB5F81">
        <w:rPr>
          <w:rFonts w:asciiTheme="majorHAnsi" w:eastAsia="Times New Roman" w:hAnsiTheme="majorHAnsi" w:cstheme="majorHAnsi"/>
          <w:sz w:val="24"/>
          <w:szCs w:val="24"/>
          <w:lang w:val="ro-MD"/>
        </w:rPr>
        <w:t xml:space="preserve">54 </w:t>
      </w:r>
      <w:r w:rsidR="0031328C">
        <w:rPr>
          <w:rFonts w:asciiTheme="majorHAnsi" w:eastAsia="Times New Roman" w:hAnsiTheme="majorHAnsi" w:cstheme="majorHAnsi"/>
          <w:sz w:val="24"/>
          <w:szCs w:val="24"/>
          <w:lang w:val="ro-MD"/>
        </w:rPr>
        <w:t xml:space="preserve">de </w:t>
      </w:r>
      <w:r w:rsidR="00843C17" w:rsidRPr="00CB5F81">
        <w:rPr>
          <w:rFonts w:asciiTheme="majorHAnsi" w:eastAsia="Times New Roman" w:hAnsiTheme="majorHAnsi" w:cstheme="majorHAnsi"/>
          <w:sz w:val="24"/>
          <w:szCs w:val="24"/>
          <w:lang w:val="ro-MD"/>
        </w:rPr>
        <w:t>agenți economici rezidenți</w:t>
      </w:r>
      <w:r w:rsidR="0031328C">
        <w:rPr>
          <w:rFonts w:asciiTheme="majorHAnsi" w:eastAsia="Times New Roman" w:hAnsiTheme="majorHAnsi" w:cstheme="majorHAnsi"/>
          <w:sz w:val="24"/>
          <w:szCs w:val="24"/>
          <w:lang w:val="ro-MD"/>
        </w:rPr>
        <w:t>,</w:t>
      </w:r>
      <w:r w:rsidR="00843C17" w:rsidRPr="00CB5F81">
        <w:rPr>
          <w:rFonts w:asciiTheme="majorHAnsi" w:eastAsia="Times New Roman" w:hAnsiTheme="majorHAnsi" w:cstheme="majorHAnsi"/>
          <w:sz w:val="24"/>
          <w:szCs w:val="24"/>
          <w:lang w:val="ro-MD"/>
        </w:rPr>
        <w:t xml:space="preserve"> </w:t>
      </w:r>
      <w:r w:rsidR="008C32E9" w:rsidRPr="00CB5F81">
        <w:rPr>
          <w:rFonts w:asciiTheme="majorHAnsi" w:eastAsia="Times New Roman" w:hAnsiTheme="majorHAnsi" w:cstheme="majorHAnsi"/>
          <w:sz w:val="24"/>
          <w:szCs w:val="24"/>
          <w:lang w:val="ro-MD"/>
        </w:rPr>
        <w:t xml:space="preserve">în sumă totală de </w:t>
      </w:r>
      <w:r w:rsidR="00843C17" w:rsidRPr="00CB5F81">
        <w:rPr>
          <w:rFonts w:asciiTheme="majorHAnsi" w:eastAsia="Times New Roman" w:hAnsiTheme="majorHAnsi" w:cstheme="majorHAnsi"/>
          <w:sz w:val="24"/>
          <w:szCs w:val="24"/>
          <w:lang w:val="ro-MD"/>
        </w:rPr>
        <w:t>36,</w:t>
      </w:r>
      <w:r w:rsidR="008551EE" w:rsidRPr="00CB5F81">
        <w:rPr>
          <w:rFonts w:asciiTheme="majorHAnsi" w:eastAsia="Times New Roman" w:hAnsiTheme="majorHAnsi" w:cstheme="majorHAnsi"/>
          <w:sz w:val="24"/>
          <w:szCs w:val="24"/>
          <w:lang w:val="ro-MD"/>
        </w:rPr>
        <w:t>4</w:t>
      </w:r>
      <w:r w:rsidR="00843C17" w:rsidRPr="00CB5F81">
        <w:rPr>
          <w:rFonts w:asciiTheme="majorHAnsi" w:eastAsia="Times New Roman" w:hAnsiTheme="majorHAnsi" w:cstheme="majorHAnsi"/>
          <w:sz w:val="24"/>
          <w:szCs w:val="24"/>
          <w:lang w:val="ro-MD"/>
        </w:rPr>
        <w:t xml:space="preserve"> mil. lei</w:t>
      </w:r>
      <w:r w:rsidR="00F82B3A">
        <w:rPr>
          <w:rFonts w:asciiTheme="majorHAnsi" w:eastAsia="Times New Roman" w:hAnsiTheme="majorHAnsi" w:cstheme="majorHAnsi"/>
          <w:sz w:val="24"/>
          <w:szCs w:val="24"/>
          <w:lang w:val="ro-MD"/>
        </w:rPr>
        <w:t>,</w:t>
      </w:r>
      <w:r w:rsidR="00843C17" w:rsidRPr="00CB5F81">
        <w:rPr>
          <w:rFonts w:asciiTheme="majorHAnsi" w:eastAsia="Times New Roman" w:hAnsiTheme="majorHAnsi" w:cstheme="majorHAnsi"/>
          <w:sz w:val="24"/>
          <w:szCs w:val="24"/>
          <w:lang w:val="ro-MD"/>
        </w:rPr>
        <w:t xml:space="preserve"> ce reprezintă </w:t>
      </w:r>
      <w:r w:rsidR="00FE3CAA" w:rsidRPr="00CB5F81">
        <w:rPr>
          <w:rFonts w:asciiTheme="majorHAnsi" w:eastAsia="Times New Roman" w:hAnsiTheme="majorHAnsi" w:cstheme="majorHAnsi"/>
          <w:sz w:val="24"/>
          <w:szCs w:val="24"/>
          <w:lang w:val="ro-MD"/>
        </w:rPr>
        <w:t xml:space="preserve">24 </w:t>
      </w:r>
      <w:r w:rsidR="00843C17" w:rsidRPr="00CB5F81">
        <w:rPr>
          <w:rFonts w:asciiTheme="majorHAnsi" w:eastAsia="Times New Roman" w:hAnsiTheme="majorHAnsi" w:cstheme="majorHAnsi"/>
          <w:sz w:val="24"/>
          <w:szCs w:val="24"/>
          <w:lang w:val="ro-MD"/>
        </w:rPr>
        <w:t>% din n</w:t>
      </w:r>
      <w:r w:rsidR="008C32E9" w:rsidRPr="00CB5F81">
        <w:rPr>
          <w:rFonts w:asciiTheme="majorHAnsi" w:eastAsia="Times New Roman" w:hAnsiTheme="majorHAnsi" w:cstheme="majorHAnsi"/>
          <w:sz w:val="24"/>
          <w:szCs w:val="24"/>
          <w:lang w:val="ro-MD"/>
        </w:rPr>
        <w:t>umărul total</w:t>
      </w:r>
      <w:r w:rsidR="00EC1EAF">
        <w:rPr>
          <w:rFonts w:asciiTheme="majorHAnsi" w:eastAsia="Times New Roman" w:hAnsiTheme="majorHAnsi" w:cstheme="majorHAnsi"/>
          <w:sz w:val="24"/>
          <w:szCs w:val="24"/>
          <w:lang w:val="ro-MD"/>
        </w:rPr>
        <w:t xml:space="preserve"> </w:t>
      </w:r>
      <w:r w:rsidR="00843C17" w:rsidRPr="00CB5F81">
        <w:rPr>
          <w:rFonts w:asciiTheme="majorHAnsi" w:eastAsia="Times New Roman" w:hAnsiTheme="majorHAnsi" w:cstheme="majorHAnsi"/>
          <w:sz w:val="24"/>
          <w:szCs w:val="24"/>
          <w:lang w:val="ro-MD"/>
        </w:rPr>
        <w:t xml:space="preserve">de </w:t>
      </w:r>
      <w:r w:rsidR="008551EE" w:rsidRPr="00CB5F81">
        <w:rPr>
          <w:rFonts w:asciiTheme="majorHAnsi" w:eastAsia="Times New Roman" w:hAnsiTheme="majorHAnsi" w:cstheme="majorHAnsi"/>
          <w:sz w:val="24"/>
          <w:szCs w:val="24"/>
          <w:lang w:val="ro-MD"/>
        </w:rPr>
        <w:t>22</w:t>
      </w:r>
      <w:r w:rsidR="00EC1500" w:rsidRPr="00CB5F81">
        <w:rPr>
          <w:rFonts w:asciiTheme="majorHAnsi" w:eastAsia="Times New Roman" w:hAnsiTheme="majorHAnsi" w:cstheme="majorHAnsi"/>
          <w:sz w:val="24"/>
          <w:szCs w:val="24"/>
          <w:lang w:val="ro-MD"/>
        </w:rPr>
        <w:t>6</w:t>
      </w:r>
      <w:r w:rsidR="00843C17" w:rsidRPr="00CB5F81">
        <w:rPr>
          <w:rFonts w:asciiTheme="majorHAnsi" w:eastAsia="Times New Roman" w:hAnsiTheme="majorHAnsi" w:cstheme="majorHAnsi"/>
          <w:sz w:val="24"/>
          <w:szCs w:val="24"/>
          <w:lang w:val="ro-MD"/>
        </w:rPr>
        <w:t xml:space="preserve"> </w:t>
      </w:r>
      <w:r w:rsidR="00F82B3A">
        <w:rPr>
          <w:rFonts w:asciiTheme="majorHAnsi" w:eastAsia="Times New Roman" w:hAnsiTheme="majorHAnsi" w:cstheme="majorHAnsi"/>
          <w:sz w:val="24"/>
          <w:szCs w:val="24"/>
          <w:lang w:val="ro-MD"/>
        </w:rPr>
        <w:t xml:space="preserve">de </w:t>
      </w:r>
      <w:r w:rsidR="00843C17" w:rsidRPr="00CB5F81">
        <w:rPr>
          <w:rFonts w:asciiTheme="majorHAnsi" w:eastAsia="Times New Roman" w:hAnsiTheme="majorHAnsi" w:cstheme="majorHAnsi"/>
          <w:sz w:val="24"/>
          <w:szCs w:val="24"/>
          <w:lang w:val="ro-MD"/>
        </w:rPr>
        <w:t xml:space="preserve">rezidenți înregistrați în cele </w:t>
      </w:r>
      <w:r w:rsidR="00843C17" w:rsidRPr="00CB5F81">
        <w:rPr>
          <w:rFonts w:asciiTheme="majorHAnsi" w:hAnsiTheme="majorHAnsi" w:cstheme="majorHAnsi"/>
          <w:sz w:val="24"/>
          <w:szCs w:val="24"/>
          <w:lang w:val="ro-MD"/>
        </w:rPr>
        <w:t xml:space="preserve">7 zone economice libere: </w:t>
      </w:r>
      <w:r w:rsidR="00843C17" w:rsidRPr="00F82B3A">
        <w:rPr>
          <w:rFonts w:asciiTheme="majorHAnsi" w:hAnsiTheme="majorHAnsi" w:cstheme="majorHAnsi"/>
          <w:sz w:val="24"/>
          <w:szCs w:val="24"/>
          <w:lang w:val="ro-MD"/>
        </w:rPr>
        <w:t>ZAL</w:t>
      </w:r>
      <w:r w:rsidR="00843C17" w:rsidRPr="00CB5F81">
        <w:rPr>
          <w:rFonts w:asciiTheme="majorHAnsi" w:hAnsiTheme="majorHAnsi" w:cstheme="majorHAnsi"/>
          <w:sz w:val="24"/>
          <w:szCs w:val="24"/>
          <w:lang w:val="ro-MD"/>
        </w:rPr>
        <w:t xml:space="preserve"> „Expo-Business-Chişinău”; ZAL „Tvardiţa”; ZEL „Ungheni-Business”; ZAL „Otaci-Business”; ZEL „Bălţi”; ZAL-Parcul de Producție „Taraclia”; ZAL </w:t>
      </w:r>
      <w:r w:rsidR="001A6761" w:rsidRPr="001A6761">
        <w:rPr>
          <w:rFonts w:asciiTheme="majorHAnsi" w:hAnsiTheme="majorHAnsi" w:cstheme="majorHAnsi"/>
          <w:sz w:val="24"/>
          <w:szCs w:val="24"/>
          <w:lang w:val="ro-MD"/>
        </w:rPr>
        <w:t>„Valka</w:t>
      </w:r>
      <w:r w:rsidR="00843C17" w:rsidRPr="001A6761">
        <w:rPr>
          <w:rFonts w:asciiTheme="majorHAnsi" w:hAnsiTheme="majorHAnsi" w:cstheme="majorHAnsi"/>
          <w:sz w:val="24"/>
          <w:szCs w:val="24"/>
          <w:lang w:val="ro-MD"/>
        </w:rPr>
        <w:t>neş”.</w:t>
      </w:r>
      <w:r w:rsidR="00A349CC" w:rsidRPr="00CB5F81">
        <w:rPr>
          <w:rFonts w:asciiTheme="majorHAnsi" w:hAnsiTheme="majorHAnsi" w:cstheme="majorHAnsi"/>
          <w:sz w:val="24"/>
          <w:szCs w:val="24"/>
          <w:lang w:val="ro-MD"/>
        </w:rPr>
        <w:t xml:space="preserve"> La fel, au beneficiat de facilități fiscale în valoare de 0,3 mil. lei la achitarea impozitului pe venit și 5 administrații ale zonelor </w:t>
      </w:r>
      <w:r w:rsidR="00F82B3A">
        <w:rPr>
          <w:rFonts w:asciiTheme="majorHAnsi" w:hAnsiTheme="majorHAnsi" w:cstheme="majorHAnsi"/>
          <w:sz w:val="24"/>
          <w:szCs w:val="24"/>
          <w:lang w:val="ro-MD"/>
        </w:rPr>
        <w:t xml:space="preserve">economice libere </w:t>
      </w:r>
      <w:r w:rsidR="00A349CC" w:rsidRPr="00CB5F81">
        <w:rPr>
          <w:rFonts w:asciiTheme="majorHAnsi" w:hAnsiTheme="majorHAnsi" w:cstheme="majorHAnsi"/>
          <w:sz w:val="24"/>
          <w:szCs w:val="24"/>
          <w:lang w:val="ro-MD"/>
        </w:rPr>
        <w:t xml:space="preserve">din cele 7 specificate, </w:t>
      </w:r>
      <w:r w:rsidR="00F82B3A">
        <w:rPr>
          <w:rFonts w:asciiTheme="majorHAnsi" w:hAnsiTheme="majorHAnsi" w:cstheme="majorHAnsi"/>
          <w:sz w:val="24"/>
          <w:szCs w:val="24"/>
          <w:lang w:val="ro-MD"/>
        </w:rPr>
        <w:t>2</w:t>
      </w:r>
      <w:r w:rsidR="00A349CC" w:rsidRPr="00CB5F81">
        <w:rPr>
          <w:rFonts w:asciiTheme="majorHAnsi" w:hAnsiTheme="majorHAnsi" w:cstheme="majorHAnsi"/>
          <w:sz w:val="24"/>
          <w:szCs w:val="24"/>
          <w:lang w:val="ro-MD"/>
        </w:rPr>
        <w:t xml:space="preserve"> înregistrând pierderi. </w:t>
      </w:r>
      <w:r w:rsidR="00265C1B" w:rsidRPr="00CB5F81">
        <w:rPr>
          <w:rFonts w:asciiTheme="majorHAnsi" w:hAnsiTheme="majorHAnsi" w:cstheme="majorHAnsi"/>
          <w:sz w:val="24"/>
          <w:szCs w:val="24"/>
          <w:lang w:val="ro-MD"/>
        </w:rPr>
        <w:t xml:space="preserve">Analizând situația </w:t>
      </w:r>
      <w:r w:rsidR="00A349CC" w:rsidRPr="00CB5F81">
        <w:rPr>
          <w:rFonts w:asciiTheme="majorHAnsi" w:hAnsiTheme="majorHAnsi" w:cstheme="majorHAnsi"/>
          <w:sz w:val="24"/>
          <w:szCs w:val="24"/>
          <w:lang w:val="ro-MD"/>
        </w:rPr>
        <w:t>prin prisma conformității acordării facilităților fiscale, auditul atestă că</w:t>
      </w:r>
      <w:r w:rsidR="00FE3CAA" w:rsidRPr="00CB5F81">
        <w:rPr>
          <w:rFonts w:asciiTheme="majorHAnsi" w:hAnsiTheme="majorHAnsi" w:cstheme="majorHAnsi"/>
          <w:sz w:val="24"/>
          <w:szCs w:val="24"/>
          <w:lang w:val="ro-MD"/>
        </w:rPr>
        <w:t xml:space="preserve"> contribuabilii indicați</w:t>
      </w:r>
      <w:r w:rsidR="00EC1EAF">
        <w:rPr>
          <w:rFonts w:asciiTheme="majorHAnsi" w:hAnsiTheme="majorHAnsi" w:cstheme="majorHAnsi"/>
          <w:sz w:val="24"/>
          <w:szCs w:val="24"/>
          <w:lang w:val="ro-MD"/>
        </w:rPr>
        <w:t xml:space="preserve"> </w:t>
      </w:r>
      <w:r w:rsidR="00A349CC" w:rsidRPr="00CB5F81">
        <w:rPr>
          <w:rFonts w:asciiTheme="majorHAnsi" w:hAnsiTheme="majorHAnsi" w:cstheme="majorHAnsi"/>
          <w:sz w:val="24"/>
          <w:szCs w:val="24"/>
          <w:lang w:val="ro-MD"/>
        </w:rPr>
        <w:t>întruneau condițiile de eligibilitate</w:t>
      </w:r>
      <w:r w:rsidR="0031328C">
        <w:rPr>
          <w:rFonts w:asciiTheme="majorHAnsi" w:hAnsiTheme="majorHAnsi" w:cstheme="majorHAnsi"/>
          <w:sz w:val="24"/>
          <w:szCs w:val="24"/>
          <w:lang w:val="ro-MD"/>
        </w:rPr>
        <w:t>,</w:t>
      </w:r>
      <w:r w:rsidR="00A349CC" w:rsidRPr="00CB5F81">
        <w:rPr>
          <w:rFonts w:asciiTheme="majorHAnsi" w:hAnsiTheme="majorHAnsi" w:cstheme="majorHAnsi"/>
          <w:sz w:val="24"/>
          <w:szCs w:val="24"/>
          <w:lang w:val="ro-MD"/>
        </w:rPr>
        <w:t xml:space="preserve"> </w:t>
      </w:r>
      <w:r w:rsidR="00FE3CAA" w:rsidRPr="00CB5F81">
        <w:rPr>
          <w:rFonts w:asciiTheme="majorHAnsi" w:hAnsiTheme="majorHAnsi" w:cstheme="majorHAnsi"/>
          <w:sz w:val="24"/>
          <w:szCs w:val="24"/>
          <w:lang w:val="ro-MD"/>
        </w:rPr>
        <w:t>prestabilite de Codul fiscal</w:t>
      </w:r>
      <w:r w:rsidR="0031328C">
        <w:rPr>
          <w:rFonts w:asciiTheme="majorHAnsi" w:hAnsiTheme="majorHAnsi" w:cstheme="majorHAnsi"/>
          <w:sz w:val="24"/>
          <w:szCs w:val="24"/>
          <w:lang w:val="ro-MD"/>
        </w:rPr>
        <w:t>,</w:t>
      </w:r>
      <w:r w:rsidR="00FE3CAA" w:rsidRPr="00CB5F81">
        <w:rPr>
          <w:rFonts w:asciiTheme="majorHAnsi" w:hAnsiTheme="majorHAnsi" w:cstheme="majorHAnsi"/>
          <w:sz w:val="24"/>
          <w:szCs w:val="24"/>
          <w:lang w:val="ro-MD"/>
        </w:rPr>
        <w:t xml:space="preserve"> </w:t>
      </w:r>
      <w:r w:rsidR="00A349CC" w:rsidRPr="00CB5F81">
        <w:rPr>
          <w:rFonts w:asciiTheme="majorHAnsi" w:hAnsiTheme="majorHAnsi" w:cstheme="majorHAnsi"/>
          <w:sz w:val="24"/>
          <w:szCs w:val="24"/>
          <w:lang w:val="ro-MD"/>
        </w:rPr>
        <w:t>în vederea beneficierii de scutiri.</w:t>
      </w:r>
      <w:r w:rsidR="00EC1EAF">
        <w:rPr>
          <w:rFonts w:asciiTheme="majorHAnsi" w:hAnsiTheme="majorHAnsi" w:cstheme="majorHAnsi"/>
          <w:sz w:val="24"/>
          <w:szCs w:val="24"/>
          <w:lang w:val="ro-MD"/>
        </w:rPr>
        <w:t xml:space="preserve"> </w:t>
      </w:r>
      <w:r w:rsidR="00A349CC" w:rsidRPr="00CB5F81">
        <w:rPr>
          <w:rFonts w:asciiTheme="majorHAnsi" w:hAnsiTheme="majorHAnsi" w:cstheme="majorHAnsi"/>
          <w:sz w:val="24"/>
          <w:szCs w:val="24"/>
          <w:lang w:val="ro-MD"/>
        </w:rPr>
        <w:t xml:space="preserve"> </w:t>
      </w:r>
    </w:p>
    <w:p w:rsidR="00032F07" w:rsidRPr="00CB5F81" w:rsidRDefault="00FE3CAA" w:rsidP="007B7669">
      <w:pPr>
        <w:pStyle w:val="ListParagraph"/>
        <w:spacing w:after="120"/>
        <w:ind w:left="0"/>
        <w:contextualSpacing w:val="0"/>
        <w:jc w:val="both"/>
        <w:rPr>
          <w:rFonts w:asciiTheme="majorHAnsi" w:eastAsia="Times New Roman" w:hAnsiTheme="majorHAnsi" w:cstheme="majorHAnsi"/>
          <w:sz w:val="24"/>
          <w:szCs w:val="24"/>
          <w:lang w:val="ro-MD"/>
        </w:rPr>
      </w:pPr>
      <w:r w:rsidRPr="00CB5F81">
        <w:rPr>
          <w:rFonts w:asciiTheme="majorHAnsi" w:eastAsia="Times New Roman" w:hAnsiTheme="majorHAnsi" w:cstheme="majorHAnsi"/>
          <w:sz w:val="24"/>
          <w:szCs w:val="24"/>
          <w:lang w:val="ro-MD"/>
        </w:rPr>
        <w:t xml:space="preserve">Analizând </w:t>
      </w:r>
      <w:r w:rsidR="00204502" w:rsidRPr="00CB5F81">
        <w:rPr>
          <w:rFonts w:asciiTheme="majorHAnsi" w:eastAsia="Times New Roman" w:hAnsiTheme="majorHAnsi" w:cstheme="majorHAnsi"/>
          <w:sz w:val="24"/>
          <w:szCs w:val="24"/>
          <w:lang w:val="ro-MD"/>
        </w:rPr>
        <w:t>datele p</w:t>
      </w:r>
      <w:r w:rsidR="0031328C">
        <w:rPr>
          <w:rFonts w:asciiTheme="majorHAnsi" w:eastAsia="Times New Roman" w:hAnsiTheme="majorHAnsi" w:cstheme="majorHAnsi"/>
          <w:sz w:val="24"/>
          <w:szCs w:val="24"/>
          <w:lang w:val="ro-MD"/>
        </w:rPr>
        <w:t>rivind</w:t>
      </w:r>
      <w:r w:rsidRPr="00CB5F81">
        <w:rPr>
          <w:rFonts w:asciiTheme="majorHAnsi" w:eastAsia="Times New Roman" w:hAnsiTheme="majorHAnsi" w:cstheme="majorHAnsi"/>
          <w:sz w:val="24"/>
          <w:szCs w:val="24"/>
          <w:lang w:val="ro-MD"/>
        </w:rPr>
        <w:t xml:space="preserve"> 14 agenți </w:t>
      </w:r>
      <w:r w:rsidR="008E0468" w:rsidRPr="00CB5F81">
        <w:rPr>
          <w:rFonts w:asciiTheme="majorHAnsi" w:eastAsia="Times New Roman" w:hAnsiTheme="majorHAnsi" w:cstheme="majorHAnsi"/>
          <w:sz w:val="24"/>
          <w:szCs w:val="24"/>
          <w:lang w:val="ro-MD"/>
        </w:rPr>
        <w:t>economici</w:t>
      </w:r>
      <w:r w:rsidRPr="00CB5F81">
        <w:rPr>
          <w:rStyle w:val="FootnoteReference"/>
          <w:rFonts w:asciiTheme="majorHAnsi" w:eastAsia="Times New Roman" w:hAnsiTheme="majorHAnsi" w:cstheme="majorHAnsi"/>
          <w:sz w:val="24"/>
          <w:szCs w:val="24"/>
          <w:lang w:val="ro-MD"/>
        </w:rPr>
        <w:footnoteReference w:id="62"/>
      </w:r>
      <w:r w:rsidR="0031328C">
        <w:rPr>
          <w:rFonts w:asciiTheme="majorHAnsi" w:eastAsia="Times New Roman" w:hAnsiTheme="majorHAnsi" w:cstheme="majorHAnsi"/>
          <w:sz w:val="24"/>
          <w:szCs w:val="24"/>
          <w:lang w:val="ro-MD"/>
        </w:rPr>
        <w:t>,</w:t>
      </w:r>
      <w:r w:rsidRPr="00CB5F81">
        <w:rPr>
          <w:rFonts w:asciiTheme="majorHAnsi" w:eastAsia="Times New Roman" w:hAnsiTheme="majorHAnsi" w:cstheme="majorHAnsi"/>
          <w:sz w:val="24"/>
          <w:szCs w:val="24"/>
          <w:lang w:val="ro-MD"/>
        </w:rPr>
        <w:t xml:space="preserve"> </w:t>
      </w:r>
      <w:r w:rsidR="00204502" w:rsidRPr="00CB5F81">
        <w:rPr>
          <w:rFonts w:asciiTheme="majorHAnsi" w:eastAsia="Times New Roman" w:hAnsiTheme="majorHAnsi" w:cstheme="majorHAnsi"/>
          <w:sz w:val="24"/>
          <w:szCs w:val="24"/>
          <w:lang w:val="ro-MD"/>
        </w:rPr>
        <w:t xml:space="preserve">se atestă că </w:t>
      </w:r>
      <w:r w:rsidR="008E0468" w:rsidRPr="00CB5F81">
        <w:rPr>
          <w:rFonts w:asciiTheme="majorHAnsi" w:eastAsia="Times New Roman" w:hAnsiTheme="majorHAnsi" w:cstheme="majorHAnsi"/>
          <w:sz w:val="24"/>
          <w:szCs w:val="24"/>
          <w:lang w:val="ro-MD"/>
        </w:rPr>
        <w:t>în anul 2020</w:t>
      </w:r>
      <w:r w:rsidR="00204502" w:rsidRPr="00CB5F81">
        <w:rPr>
          <w:rFonts w:asciiTheme="majorHAnsi" w:eastAsia="Times New Roman" w:hAnsiTheme="majorHAnsi" w:cstheme="majorHAnsi"/>
          <w:sz w:val="24"/>
          <w:szCs w:val="24"/>
          <w:lang w:val="ro-MD"/>
        </w:rPr>
        <w:t xml:space="preserve"> coraportul dintre valoarea facilității acordate și valoarea impozitelor achitate la buget reprezintă 6%,</w:t>
      </w:r>
      <w:r w:rsidR="00085529" w:rsidRPr="00CB5F81">
        <w:rPr>
          <w:rFonts w:asciiTheme="majorHAnsi" w:eastAsia="Times New Roman" w:hAnsiTheme="majorHAnsi" w:cstheme="majorHAnsi"/>
          <w:sz w:val="24"/>
          <w:szCs w:val="24"/>
          <w:lang w:val="ro-MD"/>
        </w:rPr>
        <w:t xml:space="preserve"> sau acești agenți</w:t>
      </w:r>
      <w:r w:rsidR="0031328C">
        <w:rPr>
          <w:rFonts w:asciiTheme="majorHAnsi" w:eastAsia="Times New Roman" w:hAnsiTheme="majorHAnsi" w:cstheme="majorHAnsi"/>
          <w:sz w:val="24"/>
          <w:szCs w:val="24"/>
          <w:lang w:val="ro-MD"/>
        </w:rPr>
        <w:t xml:space="preserve"> </w:t>
      </w:r>
      <w:r w:rsidR="00085529" w:rsidRPr="00CB5F81">
        <w:rPr>
          <w:rFonts w:asciiTheme="majorHAnsi" w:eastAsia="Times New Roman" w:hAnsiTheme="majorHAnsi" w:cstheme="majorHAnsi"/>
          <w:sz w:val="24"/>
          <w:szCs w:val="24"/>
          <w:lang w:val="ro-MD"/>
        </w:rPr>
        <w:t xml:space="preserve"> economici</w:t>
      </w:r>
      <w:r w:rsidR="0031328C">
        <w:rPr>
          <w:rFonts w:asciiTheme="majorHAnsi" w:eastAsia="Times New Roman" w:hAnsiTheme="majorHAnsi" w:cstheme="majorHAnsi"/>
          <w:sz w:val="24"/>
          <w:szCs w:val="24"/>
          <w:lang w:val="ro-MD"/>
        </w:rPr>
        <w:t>,</w:t>
      </w:r>
      <w:r w:rsidR="00085529" w:rsidRPr="00CB5F81">
        <w:rPr>
          <w:rFonts w:asciiTheme="majorHAnsi" w:eastAsia="Times New Roman" w:hAnsiTheme="majorHAnsi" w:cstheme="majorHAnsi"/>
          <w:sz w:val="24"/>
          <w:szCs w:val="24"/>
          <w:lang w:val="ro-MD"/>
        </w:rPr>
        <w:t xml:space="preserve"> achitând impozite și taxe în </w:t>
      </w:r>
      <w:r w:rsidR="0031328C">
        <w:rPr>
          <w:rFonts w:asciiTheme="majorHAnsi" w:eastAsia="Times New Roman" w:hAnsiTheme="majorHAnsi" w:cstheme="majorHAnsi"/>
          <w:sz w:val="24"/>
          <w:szCs w:val="24"/>
          <w:lang w:val="ro-MD"/>
        </w:rPr>
        <w:t>sumă</w:t>
      </w:r>
      <w:r w:rsidR="00085529" w:rsidRPr="00CB5F81">
        <w:rPr>
          <w:rFonts w:asciiTheme="majorHAnsi" w:eastAsia="Times New Roman" w:hAnsiTheme="majorHAnsi" w:cstheme="majorHAnsi"/>
          <w:sz w:val="24"/>
          <w:szCs w:val="24"/>
          <w:lang w:val="ro-MD"/>
        </w:rPr>
        <w:t xml:space="preserve"> de 555,2 </w:t>
      </w:r>
      <w:r w:rsidR="00726434" w:rsidRPr="00CB5F81">
        <w:rPr>
          <w:rFonts w:asciiTheme="majorHAnsi" w:eastAsia="Times New Roman" w:hAnsiTheme="majorHAnsi" w:cstheme="majorHAnsi"/>
          <w:sz w:val="24"/>
          <w:szCs w:val="24"/>
          <w:lang w:val="ro-MD"/>
        </w:rPr>
        <w:t>mil.</w:t>
      </w:r>
      <w:r w:rsidR="00085529" w:rsidRPr="00CB5F81">
        <w:rPr>
          <w:rFonts w:asciiTheme="majorHAnsi" w:eastAsia="Times New Roman" w:hAnsiTheme="majorHAnsi" w:cstheme="majorHAnsi"/>
          <w:sz w:val="24"/>
          <w:szCs w:val="24"/>
          <w:lang w:val="ro-MD"/>
        </w:rPr>
        <w:t>lei</w:t>
      </w:r>
      <w:r w:rsidR="0031328C">
        <w:rPr>
          <w:rFonts w:asciiTheme="majorHAnsi" w:eastAsia="Times New Roman" w:hAnsiTheme="majorHAnsi" w:cstheme="majorHAnsi"/>
          <w:sz w:val="24"/>
          <w:szCs w:val="24"/>
          <w:lang w:val="ro-MD"/>
        </w:rPr>
        <w:t>,</w:t>
      </w:r>
      <w:r w:rsidR="00085529" w:rsidRPr="00CB5F81">
        <w:rPr>
          <w:rFonts w:asciiTheme="majorHAnsi" w:eastAsia="Times New Roman" w:hAnsiTheme="majorHAnsi" w:cstheme="majorHAnsi"/>
          <w:sz w:val="24"/>
          <w:szCs w:val="24"/>
          <w:lang w:val="ro-MD"/>
        </w:rPr>
        <w:t xml:space="preserve"> au beneficiat de facilități fiscale în valoare de 37,7 </w:t>
      </w:r>
      <w:r w:rsidR="00726434" w:rsidRPr="00CB5F81">
        <w:rPr>
          <w:rFonts w:asciiTheme="majorHAnsi" w:eastAsia="Times New Roman" w:hAnsiTheme="majorHAnsi" w:cstheme="majorHAnsi"/>
          <w:sz w:val="24"/>
          <w:szCs w:val="24"/>
          <w:lang w:val="ro-MD"/>
        </w:rPr>
        <w:t>mil.</w:t>
      </w:r>
      <w:r w:rsidR="00085529" w:rsidRPr="00CB5F81">
        <w:rPr>
          <w:rFonts w:asciiTheme="majorHAnsi" w:eastAsia="Times New Roman" w:hAnsiTheme="majorHAnsi" w:cstheme="majorHAnsi"/>
          <w:sz w:val="24"/>
          <w:szCs w:val="24"/>
          <w:lang w:val="ro-MD"/>
        </w:rPr>
        <w:t xml:space="preserve">lei. Concomitent, se relevă că în anul de referință valoarea investițiilor efectuate de beneficiarii facilităților menționați mai sus a constituit 137,3 </w:t>
      </w:r>
      <w:r w:rsidR="00726434" w:rsidRPr="00CB5F81">
        <w:rPr>
          <w:rFonts w:asciiTheme="majorHAnsi" w:eastAsia="Times New Roman" w:hAnsiTheme="majorHAnsi" w:cstheme="majorHAnsi"/>
          <w:sz w:val="24"/>
          <w:szCs w:val="24"/>
          <w:lang w:val="ro-MD"/>
        </w:rPr>
        <w:t>mil.</w:t>
      </w:r>
      <w:r w:rsidR="00085529" w:rsidRPr="00CB5F81">
        <w:rPr>
          <w:rFonts w:asciiTheme="majorHAnsi" w:eastAsia="Times New Roman" w:hAnsiTheme="majorHAnsi" w:cstheme="majorHAnsi"/>
          <w:sz w:val="24"/>
          <w:szCs w:val="24"/>
          <w:lang w:val="ro-MD"/>
        </w:rPr>
        <w:t>lei, preponderent</w:t>
      </w:r>
      <w:r w:rsidR="00032F07" w:rsidRPr="00CB5F81">
        <w:rPr>
          <w:rFonts w:asciiTheme="majorHAnsi" w:eastAsia="Times New Roman" w:hAnsiTheme="majorHAnsi" w:cstheme="majorHAnsi"/>
          <w:sz w:val="24"/>
          <w:szCs w:val="24"/>
          <w:lang w:val="ro-MD"/>
        </w:rPr>
        <w:t xml:space="preserve"> </w:t>
      </w:r>
      <w:r w:rsidR="008551EE" w:rsidRPr="00CB5F81">
        <w:rPr>
          <w:rFonts w:asciiTheme="majorHAnsi" w:eastAsia="Times New Roman" w:hAnsiTheme="majorHAnsi" w:cstheme="majorHAnsi"/>
          <w:sz w:val="24"/>
          <w:szCs w:val="24"/>
          <w:lang w:val="ro-MD"/>
        </w:rPr>
        <w:lastRenderedPageBreak/>
        <w:t xml:space="preserve">fiind direcționate pentru </w:t>
      </w:r>
      <w:r w:rsidR="00032F07" w:rsidRPr="00CB5F81">
        <w:rPr>
          <w:rFonts w:asciiTheme="majorHAnsi" w:eastAsia="Times New Roman" w:hAnsiTheme="majorHAnsi" w:cstheme="majorHAnsi"/>
          <w:sz w:val="24"/>
          <w:szCs w:val="24"/>
          <w:lang w:val="ro-MD"/>
        </w:rPr>
        <w:t>producerea cablajului electric/ echipamentului</w:t>
      </w:r>
      <w:r w:rsidR="00EC1EAF">
        <w:rPr>
          <w:rFonts w:asciiTheme="majorHAnsi" w:eastAsia="Times New Roman" w:hAnsiTheme="majorHAnsi" w:cstheme="majorHAnsi"/>
          <w:sz w:val="24"/>
          <w:szCs w:val="24"/>
          <w:lang w:val="ro-MD"/>
        </w:rPr>
        <w:t xml:space="preserve"> </w:t>
      </w:r>
      <w:r w:rsidR="00032F07" w:rsidRPr="00CB5F81">
        <w:rPr>
          <w:rFonts w:asciiTheme="majorHAnsi" w:eastAsia="Times New Roman" w:hAnsiTheme="majorHAnsi" w:cstheme="majorHAnsi"/>
          <w:sz w:val="24"/>
          <w:szCs w:val="24"/>
          <w:lang w:val="ro-MD"/>
        </w:rPr>
        <w:t>pentru autovehicule mobile, cablurilor de fibră optică</w:t>
      </w:r>
      <w:r w:rsidR="0031328C">
        <w:rPr>
          <w:rFonts w:asciiTheme="majorHAnsi" w:eastAsia="Times New Roman" w:hAnsiTheme="majorHAnsi" w:cstheme="majorHAnsi"/>
          <w:sz w:val="24"/>
          <w:szCs w:val="24"/>
          <w:lang w:val="ro-MD"/>
        </w:rPr>
        <w:t>,</w:t>
      </w:r>
      <w:r w:rsidR="00032F07" w:rsidRPr="00CB5F81">
        <w:rPr>
          <w:rFonts w:asciiTheme="majorHAnsi" w:eastAsia="Times New Roman" w:hAnsiTheme="majorHAnsi" w:cstheme="majorHAnsi"/>
          <w:sz w:val="24"/>
          <w:szCs w:val="24"/>
          <w:lang w:val="ro-MD"/>
        </w:rPr>
        <w:t xml:space="preserve"> articolelor din carton</w:t>
      </w:r>
      <w:r w:rsidR="008551EE" w:rsidRPr="00CB5F81">
        <w:rPr>
          <w:rFonts w:asciiTheme="majorHAnsi" w:eastAsia="Times New Roman" w:hAnsiTheme="majorHAnsi" w:cstheme="majorHAnsi"/>
          <w:sz w:val="24"/>
          <w:szCs w:val="24"/>
          <w:lang w:val="ro-MD"/>
        </w:rPr>
        <w:t xml:space="preserve"> </w:t>
      </w:r>
      <w:r w:rsidR="00E963D8">
        <w:rPr>
          <w:rFonts w:asciiTheme="majorHAnsi" w:eastAsia="Times New Roman" w:hAnsiTheme="majorHAnsi" w:cstheme="majorHAnsi"/>
          <w:sz w:val="24"/>
          <w:szCs w:val="24"/>
          <w:lang w:val="ro-MD"/>
        </w:rPr>
        <w:t>etc</w:t>
      </w:r>
      <w:r w:rsidR="008551EE" w:rsidRPr="00CB5F81">
        <w:rPr>
          <w:rFonts w:asciiTheme="majorHAnsi" w:eastAsia="Times New Roman" w:hAnsiTheme="majorHAnsi" w:cstheme="majorHAnsi"/>
          <w:sz w:val="24"/>
          <w:szCs w:val="24"/>
          <w:lang w:val="ro-MD"/>
        </w:rPr>
        <w:t>.</w:t>
      </w:r>
      <w:r w:rsidR="00204502" w:rsidRPr="00CB5F81">
        <w:rPr>
          <w:rFonts w:asciiTheme="majorHAnsi" w:eastAsia="Times New Roman" w:hAnsiTheme="majorHAnsi" w:cstheme="majorHAnsi"/>
          <w:sz w:val="24"/>
          <w:szCs w:val="24"/>
          <w:lang w:val="ro-MD"/>
        </w:rPr>
        <w:t xml:space="preserve"> </w:t>
      </w:r>
    </w:p>
    <w:p w:rsidR="006250ED" w:rsidRPr="00CB5F81" w:rsidRDefault="00E963D8" w:rsidP="001A6761">
      <w:pPr>
        <w:pStyle w:val="ListParagraph"/>
        <w:spacing w:after="120"/>
        <w:ind w:left="0"/>
        <w:contextualSpacing w:val="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R</w:t>
      </w:r>
      <w:r w:rsidR="00F5701D" w:rsidRPr="00CB5F81">
        <w:rPr>
          <w:rFonts w:asciiTheme="majorHAnsi" w:eastAsia="Times New Roman" w:hAnsiTheme="majorHAnsi" w:cstheme="majorHAnsi"/>
          <w:sz w:val="24"/>
          <w:szCs w:val="24"/>
          <w:lang w:val="ro-MD"/>
        </w:rPr>
        <w:t>eferi</w:t>
      </w:r>
      <w:r>
        <w:rPr>
          <w:rFonts w:asciiTheme="majorHAnsi" w:eastAsia="Times New Roman" w:hAnsiTheme="majorHAnsi" w:cstheme="majorHAnsi"/>
          <w:sz w:val="24"/>
          <w:szCs w:val="24"/>
          <w:lang w:val="ro-MD"/>
        </w:rPr>
        <w:t>tor</w:t>
      </w:r>
      <w:r w:rsidR="00F5701D" w:rsidRPr="00CB5F81">
        <w:rPr>
          <w:rFonts w:asciiTheme="majorHAnsi" w:eastAsia="Times New Roman" w:hAnsiTheme="majorHAnsi" w:cstheme="majorHAnsi"/>
          <w:sz w:val="24"/>
          <w:szCs w:val="24"/>
          <w:lang w:val="ro-MD"/>
        </w:rPr>
        <w:t xml:space="preserve"> la implementarea recomandării înaintate </w:t>
      </w:r>
      <w:r w:rsidR="008551EE" w:rsidRPr="00CB5F81">
        <w:rPr>
          <w:rFonts w:asciiTheme="majorHAnsi" w:eastAsia="Times New Roman" w:hAnsiTheme="majorHAnsi" w:cstheme="majorHAnsi"/>
          <w:sz w:val="24"/>
          <w:szCs w:val="24"/>
          <w:lang w:val="ro-MD"/>
        </w:rPr>
        <w:t>în cadrul auditului precedent</w:t>
      </w:r>
      <w:r w:rsidR="008551EE" w:rsidRPr="00CB5F81">
        <w:rPr>
          <w:rStyle w:val="FootnoteReference"/>
          <w:rFonts w:asciiTheme="majorHAnsi" w:eastAsia="Times New Roman" w:hAnsiTheme="majorHAnsi" w:cstheme="majorHAnsi"/>
          <w:sz w:val="24"/>
          <w:szCs w:val="24"/>
          <w:lang w:val="ro-MD"/>
        </w:rPr>
        <w:footnoteReference w:id="63"/>
      </w:r>
      <w:r>
        <w:rPr>
          <w:rFonts w:asciiTheme="majorHAnsi" w:eastAsia="Times New Roman" w:hAnsiTheme="majorHAnsi" w:cstheme="majorHAnsi"/>
          <w:sz w:val="24"/>
          <w:szCs w:val="24"/>
          <w:lang w:val="ro-MD"/>
        </w:rPr>
        <w:t xml:space="preserve"> </w:t>
      </w:r>
      <w:r w:rsidRPr="001A6761">
        <w:rPr>
          <w:rFonts w:asciiTheme="majorHAnsi" w:eastAsia="Times New Roman" w:hAnsiTheme="majorHAnsi" w:cstheme="majorHAnsi"/>
          <w:sz w:val="24"/>
          <w:szCs w:val="24"/>
          <w:lang w:val="ro-MD"/>
        </w:rPr>
        <w:t>către</w:t>
      </w:r>
      <w:r w:rsidR="008551EE" w:rsidRPr="001A6761">
        <w:rPr>
          <w:rFonts w:asciiTheme="majorHAnsi" w:eastAsia="Times New Roman" w:hAnsiTheme="majorHAnsi" w:cstheme="majorHAnsi"/>
          <w:sz w:val="24"/>
          <w:szCs w:val="24"/>
          <w:lang w:val="ro-MD"/>
        </w:rPr>
        <w:t xml:space="preserve"> </w:t>
      </w:r>
      <w:r w:rsidR="00F5701D" w:rsidRPr="001A6761">
        <w:rPr>
          <w:rFonts w:asciiTheme="majorHAnsi" w:eastAsia="Times New Roman" w:hAnsiTheme="majorHAnsi" w:cstheme="majorHAnsi"/>
          <w:sz w:val="24"/>
          <w:szCs w:val="24"/>
          <w:lang w:val="ro-MD"/>
        </w:rPr>
        <w:t>M</w:t>
      </w:r>
      <w:r w:rsidR="00DC66D0" w:rsidRPr="001A6761">
        <w:rPr>
          <w:rFonts w:asciiTheme="majorHAnsi" w:eastAsia="Times New Roman" w:hAnsiTheme="majorHAnsi" w:cstheme="majorHAnsi"/>
          <w:sz w:val="24"/>
          <w:szCs w:val="24"/>
          <w:lang w:val="ro-MD"/>
        </w:rPr>
        <w:t>E</w:t>
      </w:r>
      <w:r w:rsidR="00F5701D" w:rsidRPr="00CB5F81">
        <w:rPr>
          <w:rFonts w:asciiTheme="majorHAnsi" w:eastAsia="Times New Roman" w:hAnsiTheme="majorHAnsi" w:cstheme="majorHAnsi"/>
          <w:sz w:val="24"/>
          <w:szCs w:val="24"/>
          <w:lang w:val="ro-MD"/>
        </w:rPr>
        <w:t xml:space="preserve"> </w:t>
      </w:r>
      <w:r w:rsidR="008551EE" w:rsidRPr="00CB5F81">
        <w:rPr>
          <w:rFonts w:asciiTheme="majorHAnsi" w:eastAsia="Times New Roman" w:hAnsiTheme="majorHAnsi" w:cstheme="majorHAnsi"/>
          <w:sz w:val="24"/>
          <w:szCs w:val="24"/>
          <w:lang w:val="ro-MD"/>
        </w:rPr>
        <w:t xml:space="preserve">privind </w:t>
      </w:r>
      <w:r w:rsidR="00843C17" w:rsidRPr="00CB5F81">
        <w:rPr>
          <w:rFonts w:asciiTheme="majorHAnsi" w:eastAsia="Times New Roman" w:hAnsiTheme="majorHAnsi" w:cstheme="majorHAnsi"/>
          <w:sz w:val="24"/>
          <w:szCs w:val="24"/>
          <w:lang w:val="ro-MD"/>
        </w:rPr>
        <w:t>fortific</w:t>
      </w:r>
      <w:r w:rsidR="008551EE" w:rsidRPr="00CB5F81">
        <w:rPr>
          <w:rFonts w:asciiTheme="majorHAnsi" w:eastAsia="Times New Roman" w:hAnsiTheme="majorHAnsi" w:cstheme="majorHAnsi"/>
          <w:sz w:val="24"/>
          <w:szCs w:val="24"/>
          <w:lang w:val="ro-MD"/>
        </w:rPr>
        <w:t xml:space="preserve">area </w:t>
      </w:r>
      <w:r w:rsidR="00843C17" w:rsidRPr="00CB5F81">
        <w:rPr>
          <w:rFonts w:asciiTheme="majorHAnsi" w:eastAsia="Times New Roman" w:hAnsiTheme="majorHAnsi" w:cstheme="majorHAnsi"/>
          <w:sz w:val="24"/>
          <w:szCs w:val="24"/>
          <w:lang w:val="ro-MD"/>
        </w:rPr>
        <w:t>controlul</w:t>
      </w:r>
      <w:r w:rsidR="008551EE" w:rsidRPr="00CB5F81">
        <w:rPr>
          <w:rFonts w:asciiTheme="majorHAnsi" w:eastAsia="Times New Roman" w:hAnsiTheme="majorHAnsi" w:cstheme="majorHAnsi"/>
          <w:sz w:val="24"/>
          <w:szCs w:val="24"/>
          <w:lang w:val="ro-MD"/>
        </w:rPr>
        <w:t>ui</w:t>
      </w:r>
      <w:r w:rsidR="00843C17" w:rsidRPr="00CB5F81">
        <w:rPr>
          <w:rFonts w:asciiTheme="majorHAnsi" w:eastAsia="Times New Roman" w:hAnsiTheme="majorHAnsi" w:cstheme="majorHAnsi"/>
          <w:sz w:val="24"/>
          <w:szCs w:val="24"/>
          <w:lang w:val="ro-MD"/>
        </w:rPr>
        <w:t xml:space="preserve"> </w:t>
      </w:r>
      <w:r w:rsidR="00F93DE2" w:rsidRPr="00CB5F81">
        <w:rPr>
          <w:rFonts w:asciiTheme="majorHAnsi" w:eastAsia="Times New Roman" w:hAnsiTheme="majorHAnsi" w:cstheme="majorHAnsi"/>
          <w:sz w:val="24"/>
          <w:szCs w:val="24"/>
          <w:lang w:val="ro-MD"/>
        </w:rPr>
        <w:t>și</w:t>
      </w:r>
      <w:r w:rsidR="00843C17" w:rsidRPr="00CB5F81">
        <w:rPr>
          <w:rFonts w:asciiTheme="majorHAnsi" w:eastAsia="Times New Roman" w:hAnsiTheme="majorHAnsi" w:cstheme="majorHAnsi"/>
          <w:sz w:val="24"/>
          <w:szCs w:val="24"/>
          <w:lang w:val="ro-MD"/>
        </w:rPr>
        <w:t xml:space="preserve"> </w:t>
      </w:r>
      <w:r w:rsidR="008551EE" w:rsidRPr="00CB5F81">
        <w:rPr>
          <w:rFonts w:asciiTheme="majorHAnsi" w:eastAsia="Times New Roman" w:hAnsiTheme="majorHAnsi" w:cstheme="majorHAnsi"/>
          <w:sz w:val="24"/>
          <w:szCs w:val="24"/>
          <w:lang w:val="ro-MD"/>
        </w:rPr>
        <w:t>analiza</w:t>
      </w:r>
      <w:r w:rsidR="00843C17" w:rsidRPr="00CB5F81">
        <w:rPr>
          <w:rFonts w:asciiTheme="majorHAnsi" w:eastAsia="Times New Roman" w:hAnsiTheme="majorHAnsi" w:cstheme="majorHAnsi"/>
          <w:sz w:val="24"/>
          <w:szCs w:val="24"/>
          <w:lang w:val="ro-MD"/>
        </w:rPr>
        <w:t xml:space="preserve"> </w:t>
      </w:r>
      <w:r w:rsidR="008551EE" w:rsidRPr="00CB5F81">
        <w:rPr>
          <w:rFonts w:asciiTheme="majorHAnsi" w:eastAsia="Times New Roman" w:hAnsiTheme="majorHAnsi" w:cstheme="majorHAnsi"/>
          <w:sz w:val="24"/>
          <w:szCs w:val="24"/>
          <w:lang w:val="ro-MD"/>
        </w:rPr>
        <w:t>activităților</w:t>
      </w:r>
      <w:r w:rsidR="00843C17" w:rsidRPr="00CB5F81">
        <w:rPr>
          <w:rFonts w:asciiTheme="majorHAnsi" w:eastAsia="Times New Roman" w:hAnsiTheme="majorHAnsi" w:cstheme="majorHAnsi"/>
          <w:sz w:val="24"/>
          <w:szCs w:val="24"/>
          <w:lang w:val="ro-MD"/>
        </w:rPr>
        <w:t xml:space="preserve"> zonelor economice libere asupra atingerii obiecti</w:t>
      </w:r>
      <w:r w:rsidR="00F5701D" w:rsidRPr="00CB5F81">
        <w:rPr>
          <w:rFonts w:asciiTheme="majorHAnsi" w:eastAsia="Times New Roman" w:hAnsiTheme="majorHAnsi" w:cstheme="majorHAnsi"/>
          <w:sz w:val="24"/>
          <w:szCs w:val="24"/>
          <w:lang w:val="ro-MD"/>
        </w:rPr>
        <w:t>velor stabilite de cadrul legal,</w:t>
      </w:r>
      <w:r w:rsidR="00F35FD1" w:rsidRPr="00CB5F81">
        <w:rPr>
          <w:rFonts w:asciiTheme="majorHAnsi" w:eastAsia="Times New Roman" w:hAnsiTheme="majorHAnsi" w:cstheme="majorHAnsi"/>
          <w:sz w:val="24"/>
          <w:szCs w:val="24"/>
          <w:lang w:val="ro-MD"/>
        </w:rPr>
        <w:t xml:space="preserve"> se menționează </w:t>
      </w:r>
      <w:r w:rsidR="00F5701D" w:rsidRPr="00CB5F81">
        <w:rPr>
          <w:rFonts w:asciiTheme="majorHAnsi" w:eastAsia="Times New Roman" w:hAnsiTheme="majorHAnsi" w:cstheme="majorHAnsi"/>
          <w:sz w:val="24"/>
          <w:szCs w:val="24"/>
          <w:lang w:val="ro-MD"/>
        </w:rPr>
        <w:t>că</w:t>
      </w:r>
      <w:r>
        <w:rPr>
          <w:rFonts w:asciiTheme="majorHAnsi" w:eastAsia="Times New Roman" w:hAnsiTheme="majorHAnsi" w:cstheme="majorHAnsi"/>
          <w:sz w:val="24"/>
          <w:szCs w:val="24"/>
          <w:lang w:val="ro-MD"/>
        </w:rPr>
        <w:t>,</w:t>
      </w:r>
      <w:r w:rsidR="00F5701D" w:rsidRPr="00CB5F81">
        <w:rPr>
          <w:rFonts w:asciiTheme="majorHAnsi" w:eastAsia="Times New Roman" w:hAnsiTheme="majorHAnsi" w:cstheme="majorHAnsi"/>
          <w:sz w:val="24"/>
          <w:szCs w:val="24"/>
          <w:lang w:val="ro-MD"/>
        </w:rPr>
        <w:t xml:space="preserve"> </w:t>
      </w:r>
      <w:r w:rsidR="00F35FD1" w:rsidRPr="00CB5F81">
        <w:rPr>
          <w:rFonts w:asciiTheme="majorHAnsi" w:eastAsia="Times New Roman" w:hAnsiTheme="majorHAnsi" w:cstheme="majorHAnsi"/>
          <w:sz w:val="24"/>
          <w:szCs w:val="24"/>
          <w:lang w:val="ro-MD"/>
        </w:rPr>
        <w:t xml:space="preserve">deși s-au realizat unele acțiuni menite să </w:t>
      </w:r>
      <w:r w:rsidR="00F35FD1" w:rsidRPr="00426E0E">
        <w:rPr>
          <w:rFonts w:asciiTheme="majorHAnsi" w:eastAsia="Times New Roman" w:hAnsiTheme="majorHAnsi" w:cstheme="majorHAnsi"/>
          <w:sz w:val="24"/>
          <w:szCs w:val="24"/>
          <w:lang w:val="ro-MD"/>
        </w:rPr>
        <w:t xml:space="preserve">îmbunătățească </w:t>
      </w:r>
      <w:r w:rsidR="00335A1D" w:rsidRPr="00426E0E">
        <w:rPr>
          <w:rFonts w:asciiTheme="majorHAnsi" w:eastAsia="Times New Roman" w:hAnsiTheme="majorHAnsi" w:cstheme="majorHAnsi"/>
          <w:sz w:val="24"/>
          <w:szCs w:val="24"/>
          <w:lang w:val="ro-MD"/>
        </w:rPr>
        <w:t>rezultatele</w:t>
      </w:r>
      <w:r w:rsidR="00F35FD1" w:rsidRPr="00CB5F81">
        <w:rPr>
          <w:rFonts w:asciiTheme="majorHAnsi" w:eastAsia="Times New Roman" w:hAnsiTheme="majorHAnsi" w:cstheme="majorHAnsi"/>
          <w:sz w:val="24"/>
          <w:szCs w:val="24"/>
          <w:lang w:val="ro-MD"/>
        </w:rPr>
        <w:t xml:space="preserve"> </w:t>
      </w:r>
      <w:r w:rsidR="007B7669" w:rsidRPr="00CB5F81">
        <w:rPr>
          <w:rFonts w:asciiTheme="majorHAnsi" w:eastAsia="Times New Roman" w:hAnsiTheme="majorHAnsi" w:cstheme="majorHAnsi"/>
          <w:sz w:val="24"/>
          <w:szCs w:val="24"/>
          <w:lang w:val="ro-MD"/>
        </w:rPr>
        <w:t>activității zonelor</w:t>
      </w:r>
      <w:r w:rsidR="00335A1D">
        <w:rPr>
          <w:rFonts w:asciiTheme="majorHAnsi" w:eastAsia="Times New Roman" w:hAnsiTheme="majorHAnsi" w:cstheme="majorHAnsi"/>
          <w:sz w:val="24"/>
          <w:szCs w:val="24"/>
          <w:lang w:val="ro-MD"/>
        </w:rPr>
        <w:t xml:space="preserve"> </w:t>
      </w:r>
      <w:r w:rsidR="00335A1D" w:rsidRPr="00426E0E">
        <w:rPr>
          <w:rFonts w:asciiTheme="majorHAnsi" w:eastAsia="Times New Roman" w:hAnsiTheme="majorHAnsi" w:cstheme="majorHAnsi"/>
          <w:sz w:val="24"/>
          <w:szCs w:val="24"/>
          <w:lang w:val="ro-MD"/>
        </w:rPr>
        <w:t>economice libere</w:t>
      </w:r>
      <w:r w:rsidR="00F35FD1" w:rsidRPr="00CB5F81">
        <w:rPr>
          <w:rFonts w:asciiTheme="majorHAnsi" w:eastAsia="Times New Roman" w:hAnsiTheme="majorHAnsi" w:cstheme="majorHAnsi"/>
          <w:sz w:val="24"/>
          <w:szCs w:val="24"/>
          <w:lang w:val="ro-MD"/>
        </w:rPr>
        <w:t>, totuși</w:t>
      </w:r>
      <w:r>
        <w:rPr>
          <w:rFonts w:asciiTheme="majorHAnsi" w:eastAsia="Times New Roman" w:hAnsiTheme="majorHAnsi" w:cstheme="majorHAnsi"/>
          <w:sz w:val="24"/>
          <w:szCs w:val="24"/>
          <w:lang w:val="ro-MD"/>
        </w:rPr>
        <w:t>,</w:t>
      </w:r>
      <w:r w:rsidR="00EC1EAF">
        <w:rPr>
          <w:rFonts w:asciiTheme="majorHAnsi" w:eastAsia="Times New Roman" w:hAnsiTheme="majorHAnsi" w:cstheme="majorHAnsi"/>
          <w:sz w:val="24"/>
          <w:szCs w:val="24"/>
          <w:lang w:val="ro-MD"/>
        </w:rPr>
        <w:t xml:space="preserve"> </w:t>
      </w:r>
      <w:r w:rsidR="00F35FD1" w:rsidRPr="00CB5F81">
        <w:rPr>
          <w:rFonts w:asciiTheme="majorHAnsi" w:eastAsia="Times New Roman" w:hAnsiTheme="majorHAnsi" w:cstheme="majorHAnsi"/>
          <w:sz w:val="24"/>
          <w:szCs w:val="24"/>
          <w:lang w:val="ro-MD"/>
        </w:rPr>
        <w:t xml:space="preserve">se atestă </w:t>
      </w:r>
      <w:r w:rsidR="007A480A" w:rsidRPr="00CB5F81">
        <w:rPr>
          <w:rFonts w:asciiTheme="majorHAnsi" w:eastAsia="Times New Roman" w:hAnsiTheme="majorHAnsi" w:cstheme="majorHAnsi"/>
          <w:sz w:val="24"/>
          <w:szCs w:val="24"/>
          <w:lang w:val="ro-MD"/>
        </w:rPr>
        <w:t>o perpetuare a situației privind inactivitatea unor agenți</w:t>
      </w:r>
      <w:r w:rsidR="007B7669" w:rsidRPr="00CB5F81">
        <w:rPr>
          <w:rFonts w:asciiTheme="majorHAnsi" w:eastAsia="Times New Roman" w:hAnsiTheme="majorHAnsi" w:cstheme="majorHAnsi"/>
          <w:sz w:val="24"/>
          <w:szCs w:val="24"/>
          <w:lang w:val="ro-MD"/>
        </w:rPr>
        <w:t xml:space="preserve"> economici care își desfășoară activitatea în </w:t>
      </w:r>
      <w:r>
        <w:rPr>
          <w:rFonts w:asciiTheme="majorHAnsi" w:eastAsia="Times New Roman" w:hAnsiTheme="majorHAnsi" w:cstheme="majorHAnsi"/>
          <w:sz w:val="24"/>
          <w:szCs w:val="24"/>
          <w:lang w:val="ro-MD"/>
        </w:rPr>
        <w:t xml:space="preserve">aceste </w:t>
      </w:r>
      <w:r w:rsidR="007B7669" w:rsidRPr="00CB5F81">
        <w:rPr>
          <w:rFonts w:asciiTheme="majorHAnsi" w:eastAsia="Times New Roman" w:hAnsiTheme="majorHAnsi" w:cstheme="majorHAnsi"/>
          <w:sz w:val="24"/>
          <w:szCs w:val="24"/>
          <w:lang w:val="ro-MD"/>
        </w:rPr>
        <w:t>zone.</w:t>
      </w:r>
      <w:r w:rsidR="00EC1EAF">
        <w:rPr>
          <w:rFonts w:asciiTheme="majorHAnsi" w:eastAsia="Times New Roman" w:hAnsiTheme="majorHAnsi" w:cstheme="majorHAnsi"/>
          <w:sz w:val="24"/>
          <w:szCs w:val="24"/>
          <w:lang w:val="ro-MD"/>
        </w:rPr>
        <w:t xml:space="preserve"> </w:t>
      </w:r>
      <w:r w:rsidR="00F35FD1" w:rsidRPr="00CB5F81">
        <w:rPr>
          <w:rFonts w:asciiTheme="majorHAnsi" w:eastAsia="Times New Roman" w:hAnsiTheme="majorHAnsi" w:cstheme="majorHAnsi"/>
          <w:sz w:val="24"/>
          <w:szCs w:val="24"/>
          <w:lang w:val="ro-MD"/>
        </w:rPr>
        <w:t xml:space="preserve">Astfel, analizele </w:t>
      </w:r>
      <w:r>
        <w:rPr>
          <w:rFonts w:asciiTheme="majorHAnsi" w:eastAsia="Times New Roman" w:hAnsiTheme="majorHAnsi" w:cstheme="majorHAnsi"/>
          <w:sz w:val="24"/>
          <w:szCs w:val="24"/>
          <w:lang w:val="ro-MD"/>
        </w:rPr>
        <w:t xml:space="preserve">efectuate </w:t>
      </w:r>
      <w:r w:rsidR="00F35FD1" w:rsidRPr="00CB5F81">
        <w:rPr>
          <w:rFonts w:asciiTheme="majorHAnsi" w:eastAsia="Times New Roman" w:hAnsiTheme="majorHAnsi" w:cstheme="majorHAnsi"/>
          <w:sz w:val="24"/>
          <w:szCs w:val="24"/>
          <w:lang w:val="ro-MD"/>
        </w:rPr>
        <w:t>de audit relevă că</w:t>
      </w:r>
      <w:r>
        <w:rPr>
          <w:rFonts w:asciiTheme="majorHAnsi" w:eastAsia="Times New Roman" w:hAnsiTheme="majorHAnsi" w:cstheme="majorHAnsi"/>
          <w:sz w:val="24"/>
          <w:szCs w:val="24"/>
          <w:lang w:val="ro-MD"/>
        </w:rPr>
        <w:t>,</w:t>
      </w:r>
      <w:r w:rsidR="00F35FD1" w:rsidRPr="00CB5F81">
        <w:rPr>
          <w:rFonts w:asciiTheme="majorHAnsi" w:eastAsia="Times New Roman" w:hAnsiTheme="majorHAnsi" w:cstheme="majorHAnsi"/>
          <w:sz w:val="24"/>
          <w:szCs w:val="24"/>
          <w:lang w:val="ro-MD"/>
        </w:rPr>
        <w:t xml:space="preserve"> din numărul total de 22</w:t>
      </w:r>
      <w:r w:rsidR="00EC1500" w:rsidRPr="00CB5F81">
        <w:rPr>
          <w:rFonts w:asciiTheme="majorHAnsi" w:eastAsia="Times New Roman" w:hAnsiTheme="majorHAnsi" w:cstheme="majorHAnsi"/>
          <w:sz w:val="24"/>
          <w:szCs w:val="24"/>
          <w:lang w:val="ro-MD"/>
        </w:rPr>
        <w:t>6</w:t>
      </w:r>
      <w:r>
        <w:rPr>
          <w:rFonts w:asciiTheme="majorHAnsi" w:eastAsia="Times New Roman" w:hAnsiTheme="majorHAnsi" w:cstheme="majorHAnsi"/>
          <w:sz w:val="24"/>
          <w:szCs w:val="24"/>
          <w:lang w:val="ro-MD"/>
        </w:rPr>
        <w:t xml:space="preserve"> de</w:t>
      </w:r>
      <w:r w:rsidR="00F35FD1" w:rsidRPr="00CB5F81">
        <w:rPr>
          <w:rFonts w:asciiTheme="majorHAnsi" w:eastAsia="Times New Roman" w:hAnsiTheme="majorHAnsi" w:cstheme="majorHAnsi"/>
          <w:sz w:val="24"/>
          <w:szCs w:val="24"/>
          <w:lang w:val="ro-MD"/>
        </w:rPr>
        <w:t xml:space="preserve"> rezidenți înregistrați în cele șapte</w:t>
      </w:r>
      <w:r w:rsidR="00EC1EAF">
        <w:rPr>
          <w:rFonts w:asciiTheme="majorHAnsi" w:eastAsia="Times New Roman" w:hAnsiTheme="majorHAnsi" w:cstheme="majorHAnsi"/>
          <w:sz w:val="24"/>
          <w:szCs w:val="24"/>
          <w:lang w:val="ro-MD"/>
        </w:rPr>
        <w:t xml:space="preserve"> </w:t>
      </w:r>
      <w:r w:rsidR="00F35FD1" w:rsidRPr="00CB5F81">
        <w:rPr>
          <w:rFonts w:asciiTheme="majorHAnsi" w:eastAsia="Times New Roman" w:hAnsiTheme="majorHAnsi" w:cstheme="majorHAnsi"/>
          <w:sz w:val="24"/>
          <w:szCs w:val="24"/>
          <w:lang w:val="ro-MD"/>
        </w:rPr>
        <w:t xml:space="preserve">ZEL-uri din țară, </w:t>
      </w:r>
      <w:r w:rsidR="00EC1500" w:rsidRPr="00CB5F81">
        <w:rPr>
          <w:rFonts w:asciiTheme="majorHAnsi" w:eastAsia="Times New Roman" w:hAnsiTheme="majorHAnsi" w:cstheme="majorHAnsi"/>
          <w:sz w:val="24"/>
          <w:szCs w:val="24"/>
          <w:lang w:val="ro-MD"/>
        </w:rPr>
        <w:t xml:space="preserve">79 </w:t>
      </w:r>
      <w:r>
        <w:rPr>
          <w:rFonts w:asciiTheme="majorHAnsi" w:eastAsia="Times New Roman" w:hAnsiTheme="majorHAnsi" w:cstheme="majorHAnsi"/>
          <w:sz w:val="24"/>
          <w:szCs w:val="24"/>
          <w:lang w:val="ro-MD"/>
        </w:rPr>
        <w:t xml:space="preserve">de </w:t>
      </w:r>
      <w:r w:rsidR="00F35FD1" w:rsidRPr="00CB5F81">
        <w:rPr>
          <w:rFonts w:asciiTheme="majorHAnsi" w:eastAsia="Times New Roman" w:hAnsiTheme="majorHAnsi" w:cstheme="majorHAnsi"/>
          <w:sz w:val="24"/>
          <w:szCs w:val="24"/>
          <w:lang w:val="ro-MD"/>
        </w:rPr>
        <w:t>agenți economici</w:t>
      </w:r>
      <w:r w:rsidR="00DB519E" w:rsidRPr="00CB5F81">
        <w:rPr>
          <w:rFonts w:asciiTheme="majorHAnsi" w:eastAsia="Times New Roman" w:hAnsiTheme="majorHAnsi" w:cstheme="majorHAnsi"/>
          <w:sz w:val="24"/>
          <w:szCs w:val="24"/>
          <w:lang w:val="ro-MD"/>
        </w:rPr>
        <w:t>, sau 35</w:t>
      </w:r>
      <w:r w:rsidR="007A480A" w:rsidRPr="00CB5F81">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w:t>
      </w:r>
      <w:r w:rsidR="00EC1EAF">
        <w:rPr>
          <w:rFonts w:asciiTheme="majorHAnsi" w:eastAsia="Times New Roman" w:hAnsiTheme="majorHAnsi" w:cstheme="majorHAnsi"/>
          <w:sz w:val="24"/>
          <w:szCs w:val="24"/>
          <w:lang w:val="ro-MD"/>
        </w:rPr>
        <w:t xml:space="preserve"> </w:t>
      </w:r>
      <w:r w:rsidR="00F35FD1" w:rsidRPr="00CB5F81">
        <w:rPr>
          <w:rFonts w:asciiTheme="majorHAnsi" w:eastAsia="Times New Roman" w:hAnsiTheme="majorHAnsi" w:cstheme="majorHAnsi"/>
          <w:sz w:val="24"/>
          <w:szCs w:val="24"/>
          <w:lang w:val="ro-MD"/>
        </w:rPr>
        <w:t>nu au</w:t>
      </w:r>
      <w:r w:rsidR="00EC1500" w:rsidRPr="00CB5F81">
        <w:rPr>
          <w:rFonts w:asciiTheme="majorHAnsi" w:eastAsia="Times New Roman" w:hAnsiTheme="majorHAnsi" w:cstheme="majorHAnsi"/>
          <w:sz w:val="24"/>
          <w:szCs w:val="24"/>
          <w:lang w:val="ro-MD"/>
        </w:rPr>
        <w:t xml:space="preserve"> activat în </w:t>
      </w:r>
      <w:r>
        <w:rPr>
          <w:rFonts w:asciiTheme="majorHAnsi" w:eastAsia="Times New Roman" w:hAnsiTheme="majorHAnsi" w:cstheme="majorHAnsi"/>
          <w:sz w:val="24"/>
          <w:szCs w:val="24"/>
          <w:lang w:val="ro-MD"/>
        </w:rPr>
        <w:t xml:space="preserve">aceste </w:t>
      </w:r>
      <w:r w:rsidR="00EC1500" w:rsidRPr="00CB5F81">
        <w:rPr>
          <w:rFonts w:asciiTheme="majorHAnsi" w:eastAsia="Times New Roman" w:hAnsiTheme="majorHAnsi" w:cstheme="majorHAnsi"/>
          <w:sz w:val="24"/>
          <w:szCs w:val="24"/>
          <w:lang w:val="ro-MD"/>
        </w:rPr>
        <w:t>zone</w:t>
      </w:r>
      <w:r>
        <w:rPr>
          <w:rFonts w:asciiTheme="majorHAnsi" w:eastAsia="Times New Roman" w:hAnsiTheme="majorHAnsi" w:cstheme="majorHAnsi"/>
          <w:sz w:val="24"/>
          <w:szCs w:val="24"/>
          <w:lang w:val="ro-MD"/>
        </w:rPr>
        <w:t>,</w:t>
      </w:r>
      <w:r w:rsidR="00EC1500" w:rsidRPr="00CB5F81">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nu au </w:t>
      </w:r>
      <w:r w:rsidR="00F35FD1" w:rsidRPr="00CB5F81">
        <w:rPr>
          <w:rFonts w:asciiTheme="majorHAnsi" w:eastAsia="Times New Roman" w:hAnsiTheme="majorHAnsi" w:cstheme="majorHAnsi"/>
          <w:sz w:val="24"/>
          <w:szCs w:val="24"/>
          <w:lang w:val="ro-MD"/>
        </w:rPr>
        <w:t xml:space="preserve">înregistrat </w:t>
      </w:r>
      <w:r w:rsidR="007A480A" w:rsidRPr="00CB5F81">
        <w:rPr>
          <w:rFonts w:asciiTheme="majorHAnsi" w:eastAsia="Times New Roman" w:hAnsiTheme="majorHAnsi" w:cstheme="majorHAnsi"/>
          <w:sz w:val="24"/>
          <w:szCs w:val="24"/>
          <w:lang w:val="ro-MD"/>
        </w:rPr>
        <w:t xml:space="preserve">careva </w:t>
      </w:r>
      <w:r w:rsidR="00F35FD1" w:rsidRPr="00CB5F81">
        <w:rPr>
          <w:rFonts w:asciiTheme="majorHAnsi" w:eastAsia="Times New Roman" w:hAnsiTheme="majorHAnsi" w:cstheme="majorHAnsi"/>
          <w:sz w:val="24"/>
          <w:szCs w:val="24"/>
          <w:lang w:val="ro-MD"/>
        </w:rPr>
        <w:t>venituri din vânzări, precu</w:t>
      </w:r>
      <w:r w:rsidR="00DB519E" w:rsidRPr="00CB5F81">
        <w:rPr>
          <w:rFonts w:asciiTheme="majorHAnsi" w:eastAsia="Times New Roman" w:hAnsiTheme="majorHAnsi" w:cstheme="majorHAnsi"/>
          <w:sz w:val="24"/>
          <w:szCs w:val="24"/>
          <w:lang w:val="ro-MD"/>
        </w:rPr>
        <w:t>m și nu au realizat investiții</w:t>
      </w:r>
      <w:r w:rsidR="00BA412C" w:rsidRPr="00CB5F81">
        <w:rPr>
          <w:rFonts w:asciiTheme="majorHAnsi" w:eastAsia="Times New Roman" w:hAnsiTheme="majorHAnsi" w:cstheme="majorHAnsi"/>
          <w:sz w:val="24"/>
          <w:szCs w:val="24"/>
          <w:lang w:val="ro-MD"/>
        </w:rPr>
        <w:t xml:space="preserve">. Comparativ cu datele prezentate în </w:t>
      </w:r>
      <w:r>
        <w:rPr>
          <w:rFonts w:asciiTheme="majorHAnsi" w:eastAsia="Times New Roman" w:hAnsiTheme="majorHAnsi" w:cstheme="majorHAnsi"/>
          <w:sz w:val="24"/>
          <w:szCs w:val="24"/>
          <w:lang w:val="ro-MD"/>
        </w:rPr>
        <w:t>R</w:t>
      </w:r>
      <w:r w:rsidR="00BA412C" w:rsidRPr="00CB5F81">
        <w:rPr>
          <w:rFonts w:asciiTheme="majorHAnsi" w:eastAsia="Times New Roman" w:hAnsiTheme="majorHAnsi" w:cstheme="majorHAnsi"/>
          <w:sz w:val="24"/>
          <w:szCs w:val="24"/>
          <w:lang w:val="ro-MD"/>
        </w:rPr>
        <w:t>aportul de audit</w:t>
      </w:r>
      <w:r w:rsidR="00EC1EAF">
        <w:rPr>
          <w:rFonts w:asciiTheme="majorHAnsi" w:eastAsia="Times New Roman" w:hAnsiTheme="majorHAnsi" w:cstheme="majorHAnsi"/>
          <w:sz w:val="24"/>
          <w:szCs w:val="24"/>
          <w:lang w:val="ro-MD"/>
        </w:rPr>
        <w:t xml:space="preserve"> </w:t>
      </w:r>
      <w:r w:rsidR="00BA412C" w:rsidRPr="00CB5F81">
        <w:rPr>
          <w:rFonts w:asciiTheme="majorHAnsi" w:eastAsia="Times New Roman" w:hAnsiTheme="majorHAnsi" w:cstheme="majorHAnsi"/>
          <w:sz w:val="24"/>
          <w:szCs w:val="24"/>
          <w:lang w:val="ro-MD"/>
        </w:rPr>
        <w:t>anterior</w:t>
      </w:r>
      <w:r w:rsidR="00791AE4" w:rsidRPr="00CB5F81">
        <w:rPr>
          <w:rFonts w:asciiTheme="majorHAnsi" w:eastAsia="Times New Roman" w:hAnsiTheme="majorHAnsi" w:cstheme="majorHAnsi"/>
          <w:sz w:val="24"/>
          <w:szCs w:val="24"/>
          <w:lang w:val="ro-MD"/>
        </w:rPr>
        <w:t xml:space="preserve">, care </w:t>
      </w:r>
      <w:r>
        <w:rPr>
          <w:rFonts w:asciiTheme="majorHAnsi" w:eastAsia="Times New Roman" w:hAnsiTheme="majorHAnsi" w:cstheme="majorHAnsi"/>
          <w:sz w:val="24"/>
          <w:szCs w:val="24"/>
          <w:lang w:val="ro-MD"/>
        </w:rPr>
        <w:t>indicau</w:t>
      </w:r>
      <w:r w:rsidR="00791AE4" w:rsidRPr="00CB5F81">
        <w:rPr>
          <w:rFonts w:asciiTheme="majorHAnsi" w:eastAsia="Times New Roman" w:hAnsiTheme="majorHAnsi" w:cstheme="majorHAnsi"/>
          <w:sz w:val="24"/>
          <w:szCs w:val="24"/>
          <w:lang w:val="ro-MD"/>
        </w:rPr>
        <w:t xml:space="preserve"> că</w:t>
      </w:r>
      <w:r w:rsidR="00EC1EAF">
        <w:rPr>
          <w:rFonts w:asciiTheme="majorHAnsi" w:eastAsia="Times New Roman" w:hAnsiTheme="majorHAnsi" w:cstheme="majorHAnsi"/>
          <w:sz w:val="24"/>
          <w:szCs w:val="24"/>
          <w:lang w:val="ro-MD"/>
        </w:rPr>
        <w:t xml:space="preserve"> </w:t>
      </w:r>
      <w:r w:rsidR="00BA412C" w:rsidRPr="00CB5F81">
        <w:rPr>
          <w:rFonts w:asciiTheme="majorHAnsi" w:eastAsia="Times New Roman" w:hAnsiTheme="majorHAnsi" w:cstheme="majorHAnsi"/>
          <w:sz w:val="24"/>
          <w:szCs w:val="24"/>
          <w:lang w:val="ro-MD"/>
        </w:rPr>
        <w:t>la finele anului 2015</w:t>
      </w:r>
      <w:r w:rsidR="00791AE4" w:rsidRPr="00CB5F81">
        <w:rPr>
          <w:rFonts w:asciiTheme="majorHAnsi" w:eastAsia="Times New Roman" w:hAnsiTheme="majorHAnsi" w:cstheme="majorHAnsi"/>
          <w:sz w:val="24"/>
          <w:szCs w:val="24"/>
          <w:lang w:val="ro-MD"/>
        </w:rPr>
        <w:t xml:space="preserve"> era</w:t>
      </w:r>
      <w:r>
        <w:rPr>
          <w:rFonts w:asciiTheme="majorHAnsi" w:eastAsia="Times New Roman" w:hAnsiTheme="majorHAnsi" w:cstheme="majorHAnsi"/>
          <w:sz w:val="24"/>
          <w:szCs w:val="24"/>
          <w:lang w:val="ro-MD"/>
        </w:rPr>
        <w:t>u</w:t>
      </w:r>
      <w:r w:rsidR="00791AE4" w:rsidRPr="00CB5F81">
        <w:rPr>
          <w:rFonts w:asciiTheme="majorHAnsi" w:eastAsia="Times New Roman" w:hAnsiTheme="majorHAnsi" w:cstheme="majorHAnsi"/>
          <w:sz w:val="24"/>
          <w:szCs w:val="24"/>
          <w:lang w:val="ro-MD"/>
        </w:rPr>
        <w:t xml:space="preserve"> inactivi</w:t>
      </w:r>
      <w:r w:rsidR="00EC1EAF">
        <w:rPr>
          <w:rFonts w:asciiTheme="majorHAnsi" w:eastAsia="Times New Roman" w:hAnsiTheme="majorHAnsi" w:cstheme="majorHAnsi"/>
          <w:sz w:val="24"/>
          <w:szCs w:val="24"/>
          <w:lang w:val="ro-MD"/>
        </w:rPr>
        <w:t xml:space="preserve"> </w:t>
      </w:r>
      <w:r w:rsidR="00BA412C" w:rsidRPr="00CB5F81">
        <w:rPr>
          <w:rFonts w:asciiTheme="majorHAnsi" w:eastAsia="Times New Roman" w:hAnsiTheme="majorHAnsi" w:cstheme="majorHAnsi"/>
          <w:sz w:val="24"/>
          <w:szCs w:val="24"/>
          <w:lang w:val="ro-MD"/>
        </w:rPr>
        <w:t>42,6 %</w:t>
      </w:r>
      <w:r w:rsidR="00791AE4" w:rsidRPr="00CB5F81">
        <w:rPr>
          <w:rFonts w:asciiTheme="majorHAnsi" w:eastAsia="Times New Roman" w:hAnsiTheme="majorHAnsi" w:cstheme="majorHAnsi"/>
          <w:sz w:val="24"/>
          <w:szCs w:val="24"/>
          <w:lang w:val="ro-MD"/>
        </w:rPr>
        <w:t xml:space="preserve"> din numărul total al rezidenților, la finele anului 2020 </w:t>
      </w:r>
      <w:r w:rsidR="00DB519E" w:rsidRPr="00CB5F81">
        <w:rPr>
          <w:rFonts w:asciiTheme="majorHAnsi" w:eastAsia="Times New Roman" w:hAnsiTheme="majorHAnsi" w:cstheme="majorHAnsi"/>
          <w:sz w:val="24"/>
          <w:szCs w:val="24"/>
          <w:lang w:val="ro-MD"/>
        </w:rPr>
        <w:t>ponderea acestora</w:t>
      </w:r>
      <w:r w:rsidR="00BA412C" w:rsidRPr="00CB5F81">
        <w:rPr>
          <w:rFonts w:asciiTheme="majorHAnsi" w:eastAsia="Times New Roman" w:hAnsiTheme="majorHAnsi" w:cstheme="majorHAnsi"/>
          <w:sz w:val="24"/>
          <w:szCs w:val="24"/>
          <w:lang w:val="ro-MD"/>
        </w:rPr>
        <w:t xml:space="preserve"> s-a </w:t>
      </w:r>
      <w:r w:rsidR="00DB519E" w:rsidRPr="00CB5F81">
        <w:rPr>
          <w:rFonts w:asciiTheme="majorHAnsi" w:eastAsia="Times New Roman" w:hAnsiTheme="majorHAnsi" w:cstheme="majorHAnsi"/>
          <w:sz w:val="24"/>
          <w:szCs w:val="24"/>
          <w:lang w:val="ro-MD"/>
        </w:rPr>
        <w:t>micșor</w:t>
      </w:r>
      <w:r w:rsidR="00BA412C" w:rsidRPr="00CB5F81">
        <w:rPr>
          <w:rFonts w:asciiTheme="majorHAnsi" w:eastAsia="Times New Roman" w:hAnsiTheme="majorHAnsi" w:cstheme="majorHAnsi"/>
          <w:sz w:val="24"/>
          <w:szCs w:val="24"/>
          <w:lang w:val="ro-MD"/>
        </w:rPr>
        <w:t>at cu</w:t>
      </w:r>
      <w:r w:rsidR="00DB519E" w:rsidRPr="00CB5F81">
        <w:rPr>
          <w:rFonts w:asciiTheme="majorHAnsi" w:eastAsia="Times New Roman" w:hAnsiTheme="majorHAnsi" w:cstheme="majorHAnsi"/>
          <w:sz w:val="24"/>
          <w:szCs w:val="24"/>
          <w:lang w:val="ro-MD"/>
        </w:rPr>
        <w:t xml:space="preserve"> 7,6</w:t>
      </w:r>
      <w:r w:rsidR="00EC1EAF">
        <w:rPr>
          <w:rFonts w:asciiTheme="majorHAnsi" w:eastAsia="Times New Roman" w:hAnsiTheme="majorHAnsi" w:cstheme="majorHAnsi"/>
          <w:sz w:val="24"/>
          <w:szCs w:val="24"/>
          <w:lang w:val="ro-MD"/>
        </w:rPr>
        <w:t xml:space="preserve"> </w:t>
      </w:r>
      <w:r w:rsidR="00335A1D" w:rsidRPr="00426E0E">
        <w:rPr>
          <w:rFonts w:asciiTheme="majorHAnsi" w:eastAsia="Times New Roman" w:hAnsiTheme="majorHAnsi" w:cstheme="majorHAnsi"/>
          <w:sz w:val="24"/>
          <w:szCs w:val="24"/>
          <w:lang w:val="ro-MD"/>
        </w:rPr>
        <w:t>puncte</w:t>
      </w:r>
      <w:r w:rsidR="001A6761">
        <w:rPr>
          <w:rFonts w:asciiTheme="majorHAnsi" w:eastAsia="Times New Roman" w:hAnsiTheme="majorHAnsi" w:cstheme="majorHAnsi"/>
          <w:sz w:val="24"/>
          <w:szCs w:val="24"/>
          <w:lang w:val="ro-MD"/>
        </w:rPr>
        <w:t xml:space="preserve"> procentuale.</w:t>
      </w:r>
    </w:p>
    <w:p w:rsidR="00545DBE" w:rsidRDefault="00847C32" w:rsidP="00545DBE">
      <w:pPr>
        <w:pStyle w:val="Heading3"/>
        <w:numPr>
          <w:ilvl w:val="2"/>
          <w:numId w:val="22"/>
        </w:numPr>
        <w:tabs>
          <w:tab w:val="left" w:pos="630"/>
        </w:tabs>
        <w:spacing w:after="120"/>
        <w:ind w:left="0" w:firstLine="0"/>
        <w:jc w:val="both"/>
        <w:rPr>
          <w:rFonts w:eastAsia="Times New Roman" w:cstheme="majorHAnsi"/>
          <w:b/>
          <w:color w:val="2E74B5" w:themeColor="accent1" w:themeShade="BF"/>
        </w:rPr>
      </w:pPr>
      <w:bookmarkStart w:id="35" w:name="_Toc111467879"/>
      <w:r>
        <w:rPr>
          <w:rFonts w:eastAsia="Times New Roman" w:cstheme="majorHAnsi"/>
          <w:b/>
          <w:color w:val="2E74B5" w:themeColor="accent1" w:themeShade="BF"/>
        </w:rPr>
        <w:t>Acțiunile</w:t>
      </w:r>
      <w:r w:rsidR="00EC054D" w:rsidRPr="00CB5F81">
        <w:rPr>
          <w:rFonts w:eastAsia="Times New Roman" w:cstheme="majorHAnsi"/>
          <w:b/>
          <w:color w:val="2E74B5" w:themeColor="accent1" w:themeShade="BF"/>
        </w:rPr>
        <w:t xml:space="preserve"> autorități</w:t>
      </w:r>
      <w:r>
        <w:rPr>
          <w:rFonts w:eastAsia="Times New Roman" w:cstheme="majorHAnsi"/>
          <w:b/>
          <w:color w:val="2E74B5" w:themeColor="accent1" w:themeShade="BF"/>
        </w:rPr>
        <w:t>lor</w:t>
      </w:r>
      <w:r w:rsidR="00EC054D" w:rsidRPr="00CB5F81">
        <w:rPr>
          <w:rFonts w:eastAsia="Times New Roman" w:cstheme="majorHAnsi"/>
          <w:b/>
          <w:color w:val="2E74B5" w:themeColor="accent1" w:themeShade="BF"/>
        </w:rPr>
        <w:t xml:space="preserve"> responsabile de </w:t>
      </w:r>
      <w:r w:rsidR="00396C8B" w:rsidRPr="00CB5F81">
        <w:rPr>
          <w:rFonts w:eastAsia="Times New Roman" w:cstheme="majorHAnsi"/>
          <w:b/>
          <w:color w:val="2E74B5" w:themeColor="accent1" w:themeShade="BF"/>
        </w:rPr>
        <w:t>alinierea facilităților fiscale în formă de ajutor de stat la</w:t>
      </w:r>
      <w:r w:rsidR="00A732F0" w:rsidRPr="00CB5F81">
        <w:rPr>
          <w:rFonts w:eastAsia="Times New Roman" w:cstheme="majorHAnsi"/>
          <w:b/>
          <w:color w:val="2E74B5" w:themeColor="accent1" w:themeShade="BF"/>
        </w:rPr>
        <w:t xml:space="preserve"> practicile internaționale sunt tardive, ceea ce tangențial afectează și procesul de </w:t>
      </w:r>
      <w:r w:rsidR="00A32C5C" w:rsidRPr="00CB5F81">
        <w:rPr>
          <w:rFonts w:eastAsia="Times New Roman" w:cstheme="majorHAnsi"/>
          <w:b/>
          <w:color w:val="2E74B5" w:themeColor="accent1" w:themeShade="BF"/>
        </w:rPr>
        <w:t xml:space="preserve">eficientizare </w:t>
      </w:r>
      <w:r w:rsidR="00A732F0" w:rsidRPr="00CB5F81">
        <w:rPr>
          <w:rFonts w:eastAsia="Times New Roman" w:cstheme="majorHAnsi"/>
          <w:b/>
          <w:color w:val="2E74B5" w:themeColor="accent1" w:themeShade="BF"/>
        </w:rPr>
        <w:t>a cheltuielilor bugetare</w:t>
      </w:r>
      <w:bookmarkEnd w:id="35"/>
    </w:p>
    <w:p w:rsidR="00545DBE" w:rsidRDefault="00545DBE" w:rsidP="00545DBE">
      <w:pPr>
        <w:jc w:val="both"/>
        <w:rPr>
          <w:rFonts w:asciiTheme="majorHAnsi" w:hAnsiTheme="majorHAnsi" w:cstheme="majorHAnsi"/>
          <w:sz w:val="24"/>
          <w:szCs w:val="24"/>
        </w:rPr>
      </w:pPr>
      <w:r w:rsidRPr="0077519F">
        <w:rPr>
          <w:rFonts w:asciiTheme="majorHAnsi" w:hAnsiTheme="majorHAnsi" w:cstheme="majorHAnsi"/>
          <w:sz w:val="24"/>
          <w:szCs w:val="24"/>
        </w:rPr>
        <w:t xml:space="preserve">Analizate prin prisma prevederilor Legii </w:t>
      </w:r>
      <w:r w:rsidR="00E963D8">
        <w:rPr>
          <w:rFonts w:asciiTheme="majorHAnsi" w:hAnsiTheme="majorHAnsi" w:cstheme="majorHAnsi"/>
          <w:sz w:val="24"/>
          <w:szCs w:val="24"/>
        </w:rPr>
        <w:t>nr.</w:t>
      </w:r>
      <w:r w:rsidRPr="0077519F">
        <w:rPr>
          <w:rFonts w:asciiTheme="majorHAnsi" w:hAnsiTheme="majorHAnsi" w:cstheme="majorHAnsi"/>
          <w:sz w:val="24"/>
          <w:szCs w:val="24"/>
        </w:rPr>
        <w:t>139/2012, o parte din facilitățile fiscale reprezintă ajutoare de stat, în speță</w:t>
      </w:r>
      <w:r w:rsidR="00E963D8">
        <w:rPr>
          <w:rFonts w:asciiTheme="majorHAnsi" w:hAnsiTheme="majorHAnsi" w:cstheme="majorHAnsi"/>
          <w:sz w:val="24"/>
          <w:szCs w:val="24"/>
        </w:rPr>
        <w:t>,</w:t>
      </w:r>
      <w:r w:rsidRPr="0077519F">
        <w:rPr>
          <w:rFonts w:asciiTheme="majorHAnsi" w:hAnsiTheme="majorHAnsi" w:cstheme="majorHAnsi"/>
          <w:sz w:val="24"/>
          <w:szCs w:val="24"/>
        </w:rPr>
        <w:t xml:space="preserve"> cele care întrunesc cumulativ patru condiții stipulate </w:t>
      </w:r>
      <w:r w:rsidR="00E963D8">
        <w:rPr>
          <w:rFonts w:asciiTheme="majorHAnsi" w:hAnsiTheme="majorHAnsi" w:cstheme="majorHAnsi"/>
          <w:sz w:val="24"/>
          <w:szCs w:val="24"/>
        </w:rPr>
        <w:t>în</w:t>
      </w:r>
      <w:r w:rsidRPr="0077519F">
        <w:rPr>
          <w:rFonts w:asciiTheme="majorHAnsi" w:hAnsiTheme="majorHAnsi" w:cstheme="majorHAnsi"/>
          <w:sz w:val="24"/>
          <w:szCs w:val="24"/>
        </w:rPr>
        <w:t xml:space="preserve"> art. 3 din </w:t>
      </w:r>
      <w:r w:rsidR="00E963D8">
        <w:rPr>
          <w:rFonts w:asciiTheme="majorHAnsi" w:hAnsiTheme="majorHAnsi" w:cstheme="majorHAnsi"/>
          <w:sz w:val="24"/>
          <w:szCs w:val="24"/>
        </w:rPr>
        <w:t>l</w:t>
      </w:r>
      <w:r w:rsidRPr="0077519F">
        <w:rPr>
          <w:rFonts w:asciiTheme="majorHAnsi" w:hAnsiTheme="majorHAnsi" w:cstheme="majorHAnsi"/>
          <w:sz w:val="24"/>
          <w:szCs w:val="24"/>
        </w:rPr>
        <w:t>egea prenotată</w:t>
      </w:r>
      <w:r>
        <w:rPr>
          <w:rFonts w:asciiTheme="majorHAnsi" w:hAnsiTheme="majorHAnsi" w:cstheme="majorHAnsi"/>
          <w:sz w:val="24"/>
          <w:szCs w:val="24"/>
        </w:rPr>
        <w:t>.</w:t>
      </w:r>
      <w:r w:rsidRPr="0077519F">
        <w:rPr>
          <w:rFonts w:asciiTheme="majorHAnsi" w:hAnsiTheme="majorHAnsi" w:cstheme="majorHAnsi"/>
          <w:sz w:val="24"/>
          <w:szCs w:val="24"/>
        </w:rPr>
        <w:t xml:space="preserve">  Potrivit art.20 din Legea </w:t>
      </w:r>
      <w:r w:rsidR="00E963D8">
        <w:rPr>
          <w:rFonts w:asciiTheme="majorHAnsi" w:hAnsiTheme="majorHAnsi" w:cstheme="majorHAnsi"/>
          <w:sz w:val="24"/>
          <w:szCs w:val="24"/>
        </w:rPr>
        <w:t>nr.</w:t>
      </w:r>
      <w:r w:rsidRPr="0077519F">
        <w:rPr>
          <w:rFonts w:asciiTheme="majorHAnsi" w:hAnsiTheme="majorHAnsi" w:cstheme="majorHAnsi"/>
          <w:sz w:val="24"/>
          <w:szCs w:val="24"/>
        </w:rPr>
        <w:t>139/2012, Consiliul Concurenței are obligația să monitorizeze ajutoarele de stat existente în derulare, pentru a verifica respectarea prevederilor actelor juridice în baza cărora acestea au fost acordate, în vederea asigurării unui mediu concurențial adecvat. În procesul auditului public extern s-a constatat că</w:t>
      </w:r>
      <w:r w:rsidR="00E963D8">
        <w:rPr>
          <w:rFonts w:asciiTheme="majorHAnsi" w:hAnsiTheme="majorHAnsi" w:cstheme="majorHAnsi"/>
          <w:sz w:val="24"/>
          <w:szCs w:val="24"/>
        </w:rPr>
        <w:t>,</w:t>
      </w:r>
      <w:r w:rsidRPr="0077519F">
        <w:rPr>
          <w:rFonts w:asciiTheme="majorHAnsi" w:hAnsiTheme="majorHAnsi" w:cstheme="majorHAnsi"/>
          <w:sz w:val="24"/>
          <w:szCs w:val="24"/>
        </w:rPr>
        <w:t xml:space="preserve"> deși de la adoptarea prevederilor normative </w:t>
      </w:r>
      <w:r w:rsidR="00867065">
        <w:rPr>
          <w:rFonts w:asciiTheme="majorHAnsi" w:hAnsiTheme="majorHAnsi" w:cstheme="majorHAnsi"/>
          <w:sz w:val="24"/>
          <w:szCs w:val="24"/>
        </w:rPr>
        <w:t>în</w:t>
      </w:r>
      <w:r w:rsidRPr="0077519F">
        <w:rPr>
          <w:rFonts w:asciiTheme="majorHAnsi" w:hAnsiTheme="majorHAnsi" w:cstheme="majorHAnsi"/>
          <w:sz w:val="24"/>
          <w:szCs w:val="24"/>
        </w:rPr>
        <w:t xml:space="preserve"> domeniul ajutorului de stat au fost examinate și aprobate decizii ale Plenului Consiliului Concurentei privind atribuirea/neatribuirea la categoria ajutorului de stat a unor facilități fiscale existente, alte înlesniri nu au fost examinate în modul stabilit, sau se află în proces de analiză. </w:t>
      </w:r>
      <w:r>
        <w:rPr>
          <w:rFonts w:asciiTheme="majorHAnsi" w:hAnsiTheme="majorHAnsi" w:cstheme="majorHAnsi"/>
          <w:sz w:val="24"/>
          <w:szCs w:val="24"/>
        </w:rPr>
        <w:t xml:space="preserve"> În contextul expus</w:t>
      </w:r>
      <w:r w:rsidR="00E963D8">
        <w:rPr>
          <w:rFonts w:asciiTheme="majorHAnsi" w:hAnsiTheme="majorHAnsi" w:cstheme="majorHAnsi"/>
          <w:sz w:val="24"/>
          <w:szCs w:val="24"/>
        </w:rPr>
        <w:t>,</w:t>
      </w:r>
      <w:r>
        <w:rPr>
          <w:rFonts w:asciiTheme="majorHAnsi" w:hAnsiTheme="majorHAnsi" w:cstheme="majorHAnsi"/>
          <w:sz w:val="24"/>
          <w:szCs w:val="24"/>
        </w:rPr>
        <w:t xml:space="preserve"> se menționează următoarele.</w:t>
      </w:r>
    </w:p>
    <w:p w:rsidR="00405D63" w:rsidRDefault="00545DBE" w:rsidP="00405D63">
      <w:pPr>
        <w:pStyle w:val="ListParagraph"/>
        <w:tabs>
          <w:tab w:val="left" w:pos="360"/>
        </w:tabs>
        <w:spacing w:after="120" w:line="259" w:lineRule="auto"/>
        <w:ind w:left="0"/>
        <w:contextualSpacing w:val="0"/>
        <w:jc w:val="both"/>
        <w:rPr>
          <w:rFonts w:asciiTheme="majorHAnsi" w:hAnsiTheme="majorHAnsi" w:cstheme="majorHAnsi"/>
          <w:sz w:val="24"/>
          <w:szCs w:val="24"/>
        </w:rPr>
      </w:pPr>
      <w:r w:rsidRPr="00223AA5">
        <w:rPr>
          <w:rFonts w:asciiTheme="majorHAnsi" w:hAnsiTheme="majorHAnsi" w:cstheme="majorHAnsi"/>
          <w:sz w:val="24"/>
          <w:szCs w:val="24"/>
        </w:rPr>
        <w:t>SFS</w:t>
      </w:r>
      <w:r w:rsidR="00867065">
        <w:rPr>
          <w:rFonts w:asciiTheme="majorHAnsi" w:hAnsiTheme="majorHAnsi" w:cstheme="majorHAnsi"/>
          <w:sz w:val="24"/>
          <w:szCs w:val="24"/>
        </w:rPr>
        <w:t>,</w:t>
      </w:r>
      <w:r w:rsidRPr="00223AA5">
        <w:rPr>
          <w:rFonts w:asciiTheme="majorHAnsi" w:hAnsiTheme="majorHAnsi" w:cstheme="majorHAnsi"/>
          <w:sz w:val="24"/>
          <w:szCs w:val="24"/>
        </w:rPr>
        <w:t xml:space="preserve"> în calitate de furnizor al ajutorului de stat,  avea responsabilitatea să </w:t>
      </w:r>
      <w:r w:rsidRPr="007B162D">
        <w:rPr>
          <w:rFonts w:asciiTheme="majorHAnsi" w:hAnsiTheme="majorHAnsi" w:cstheme="majorHAnsi"/>
          <w:sz w:val="24"/>
          <w:szCs w:val="24"/>
        </w:rPr>
        <w:t>prezinte CC toată</w:t>
      </w:r>
      <w:r w:rsidRPr="00223AA5">
        <w:rPr>
          <w:rFonts w:asciiTheme="majorHAnsi" w:hAnsiTheme="majorHAnsi" w:cstheme="majorHAnsi"/>
          <w:sz w:val="24"/>
          <w:szCs w:val="24"/>
        </w:rPr>
        <w:t xml:space="preserve"> informația necesară pentru elaborarea Registrului ajutoarelor de stat. Conform datelor prezentate de SFS</w:t>
      </w:r>
      <w:r w:rsidR="00867065">
        <w:rPr>
          <w:rFonts w:asciiTheme="majorHAnsi" w:hAnsiTheme="majorHAnsi" w:cstheme="majorHAnsi"/>
          <w:sz w:val="24"/>
          <w:szCs w:val="24"/>
        </w:rPr>
        <w:t>,</w:t>
      </w:r>
      <w:r w:rsidRPr="00223AA5">
        <w:rPr>
          <w:rFonts w:asciiTheme="majorHAnsi" w:hAnsiTheme="majorHAnsi" w:cstheme="majorHAnsi"/>
          <w:sz w:val="24"/>
          <w:szCs w:val="24"/>
        </w:rPr>
        <w:t xml:space="preserve"> în anul 2020 au fost raportate ca ajutor de stat doar 12 tipuri de facilități fiscale</w:t>
      </w:r>
      <w:r w:rsidR="00867065">
        <w:rPr>
          <w:rFonts w:asciiTheme="majorHAnsi" w:hAnsiTheme="majorHAnsi" w:cstheme="majorHAnsi"/>
          <w:sz w:val="24"/>
          <w:szCs w:val="24"/>
        </w:rPr>
        <w:t>,</w:t>
      </w:r>
      <w:r w:rsidRPr="00223AA5">
        <w:rPr>
          <w:rFonts w:asciiTheme="majorHAnsi" w:hAnsiTheme="majorHAnsi" w:cstheme="majorHAnsi"/>
          <w:sz w:val="24"/>
          <w:szCs w:val="24"/>
        </w:rPr>
        <w:t xml:space="preserve"> în valoare totală de 338,2 mil. lei</w:t>
      </w:r>
      <w:r w:rsidR="00867065">
        <w:rPr>
          <w:rFonts w:asciiTheme="majorHAnsi" w:hAnsiTheme="majorHAnsi" w:cstheme="majorHAnsi"/>
          <w:sz w:val="24"/>
          <w:szCs w:val="24"/>
        </w:rPr>
        <w:t>. D</w:t>
      </w:r>
      <w:r w:rsidRPr="00223AA5">
        <w:rPr>
          <w:rFonts w:asciiTheme="majorHAnsi" w:hAnsiTheme="majorHAnsi" w:cstheme="majorHAnsi"/>
          <w:sz w:val="24"/>
          <w:szCs w:val="24"/>
        </w:rPr>
        <w:t xml:space="preserve">atele </w:t>
      </w:r>
      <w:r w:rsidR="00867065">
        <w:rPr>
          <w:rFonts w:asciiTheme="majorHAnsi" w:hAnsiTheme="majorHAnsi" w:cstheme="majorHAnsi"/>
          <w:sz w:val="24"/>
          <w:szCs w:val="24"/>
        </w:rPr>
        <w:t>în acest sens sunt</w:t>
      </w:r>
      <w:r w:rsidRPr="00223AA5">
        <w:rPr>
          <w:rFonts w:asciiTheme="majorHAnsi" w:hAnsiTheme="majorHAnsi" w:cstheme="majorHAnsi"/>
          <w:sz w:val="24"/>
          <w:szCs w:val="24"/>
        </w:rPr>
        <w:t xml:space="preserve"> </w:t>
      </w:r>
      <w:r w:rsidR="00867065" w:rsidRPr="00223AA5">
        <w:rPr>
          <w:rFonts w:asciiTheme="majorHAnsi" w:hAnsiTheme="majorHAnsi" w:cstheme="majorHAnsi"/>
          <w:sz w:val="24"/>
          <w:szCs w:val="24"/>
        </w:rPr>
        <w:t xml:space="preserve">expuse </w:t>
      </w:r>
      <w:r w:rsidRPr="00223AA5">
        <w:rPr>
          <w:rFonts w:asciiTheme="majorHAnsi" w:hAnsiTheme="majorHAnsi" w:cstheme="majorHAnsi"/>
          <w:sz w:val="24"/>
          <w:szCs w:val="24"/>
        </w:rPr>
        <w:t xml:space="preserve">detaliat în Anexa nr.5. </w:t>
      </w:r>
    </w:p>
    <w:p w:rsidR="00405D63" w:rsidRDefault="00545DBE" w:rsidP="00913A30">
      <w:pPr>
        <w:pStyle w:val="ListParagraph"/>
        <w:tabs>
          <w:tab w:val="left" w:pos="360"/>
        </w:tabs>
        <w:spacing w:after="160" w:line="259" w:lineRule="auto"/>
        <w:ind w:left="0"/>
        <w:jc w:val="both"/>
        <w:rPr>
          <w:rFonts w:asciiTheme="majorHAnsi" w:hAnsiTheme="majorHAnsi" w:cstheme="majorHAnsi"/>
          <w:sz w:val="24"/>
          <w:szCs w:val="24"/>
        </w:rPr>
      </w:pPr>
      <w:r w:rsidRPr="00223AA5">
        <w:rPr>
          <w:rFonts w:asciiTheme="majorHAnsi" w:hAnsiTheme="majorHAnsi" w:cstheme="majorHAnsi"/>
          <w:sz w:val="24"/>
          <w:szCs w:val="24"/>
        </w:rPr>
        <w:t>Potrivit observațiilor de audit</w:t>
      </w:r>
      <w:r w:rsidR="00867065">
        <w:rPr>
          <w:rFonts w:asciiTheme="majorHAnsi" w:hAnsiTheme="majorHAnsi" w:cstheme="majorHAnsi"/>
          <w:sz w:val="24"/>
          <w:szCs w:val="24"/>
        </w:rPr>
        <w:t>,</w:t>
      </w:r>
      <w:r w:rsidRPr="00223AA5">
        <w:rPr>
          <w:rFonts w:asciiTheme="majorHAnsi" w:hAnsiTheme="majorHAnsi" w:cstheme="majorHAnsi"/>
          <w:sz w:val="24"/>
          <w:szCs w:val="24"/>
        </w:rPr>
        <w:t xml:space="preserve"> s-au identificat aspecte problematice privind monitorizarea de către CC a unor facilități fiscale. În contextul expus</w:t>
      </w:r>
      <w:r w:rsidR="00867065">
        <w:rPr>
          <w:rFonts w:asciiTheme="majorHAnsi" w:hAnsiTheme="majorHAnsi" w:cstheme="majorHAnsi"/>
          <w:sz w:val="24"/>
          <w:szCs w:val="24"/>
        </w:rPr>
        <w:t>,</w:t>
      </w:r>
      <w:r w:rsidRPr="00223AA5">
        <w:rPr>
          <w:rFonts w:asciiTheme="majorHAnsi" w:hAnsiTheme="majorHAnsi" w:cstheme="majorHAnsi"/>
          <w:sz w:val="24"/>
          <w:szCs w:val="24"/>
        </w:rPr>
        <w:t xml:space="preserve"> se constatată că</w:t>
      </w:r>
      <w:r w:rsidR="00867065">
        <w:rPr>
          <w:rFonts w:asciiTheme="majorHAnsi" w:hAnsiTheme="majorHAnsi" w:cstheme="majorHAnsi"/>
          <w:sz w:val="24"/>
          <w:szCs w:val="24"/>
        </w:rPr>
        <w:t>,</w:t>
      </w:r>
      <w:r w:rsidRPr="00223AA5">
        <w:rPr>
          <w:rFonts w:asciiTheme="majorHAnsi" w:hAnsiTheme="majorHAnsi" w:cstheme="majorHAnsi"/>
          <w:sz w:val="24"/>
          <w:szCs w:val="24"/>
        </w:rPr>
        <w:t xml:space="preserve"> până la finalizarea auditului, din cele 12 facilități fiscale raportate ca ajutor de stat de </w:t>
      </w:r>
      <w:r w:rsidR="00405D63">
        <w:rPr>
          <w:rFonts w:asciiTheme="majorHAnsi" w:hAnsiTheme="majorHAnsi" w:cstheme="majorHAnsi"/>
          <w:sz w:val="24"/>
          <w:szCs w:val="24"/>
        </w:rPr>
        <w:t xml:space="preserve">către </w:t>
      </w:r>
      <w:r w:rsidRPr="00223AA5">
        <w:rPr>
          <w:rFonts w:asciiTheme="majorHAnsi" w:hAnsiTheme="majorHAnsi" w:cstheme="majorHAnsi"/>
          <w:sz w:val="24"/>
          <w:szCs w:val="24"/>
        </w:rPr>
        <w:t>SFS, CC  nu a analizat și nu s-a expus  asupra a două tipuri de facilități fiscale</w:t>
      </w:r>
      <w:r>
        <w:rPr>
          <w:rStyle w:val="FootnoteReference"/>
          <w:rFonts w:asciiTheme="majorHAnsi" w:hAnsiTheme="majorHAnsi" w:cstheme="majorHAnsi"/>
          <w:sz w:val="24"/>
          <w:szCs w:val="24"/>
        </w:rPr>
        <w:footnoteReference w:id="64"/>
      </w:r>
      <w:r w:rsidR="00867065">
        <w:rPr>
          <w:rFonts w:asciiTheme="majorHAnsi" w:hAnsiTheme="majorHAnsi" w:cstheme="majorHAnsi"/>
          <w:sz w:val="24"/>
          <w:szCs w:val="24"/>
        </w:rPr>
        <w:t xml:space="preserve">, </w:t>
      </w:r>
      <w:r w:rsidRPr="00223AA5">
        <w:rPr>
          <w:rFonts w:asciiTheme="majorHAnsi" w:hAnsiTheme="majorHAnsi" w:cstheme="majorHAnsi"/>
          <w:sz w:val="24"/>
          <w:szCs w:val="24"/>
        </w:rPr>
        <w:t>prin prisma corespunderii acestora schemelor ajutoarelor de stat.  De asemenea</w:t>
      </w:r>
      <w:r w:rsidR="00867065">
        <w:rPr>
          <w:rFonts w:asciiTheme="majorHAnsi" w:hAnsiTheme="majorHAnsi" w:cstheme="majorHAnsi"/>
          <w:sz w:val="24"/>
          <w:szCs w:val="24"/>
        </w:rPr>
        <w:t>,</w:t>
      </w:r>
      <w:r w:rsidRPr="00223AA5">
        <w:rPr>
          <w:rFonts w:asciiTheme="majorHAnsi" w:hAnsiTheme="majorHAnsi" w:cstheme="majorHAnsi"/>
          <w:sz w:val="24"/>
          <w:szCs w:val="24"/>
        </w:rPr>
        <w:t xml:space="preserve"> se relevă</w:t>
      </w:r>
      <w:r w:rsidR="00867065">
        <w:rPr>
          <w:rFonts w:asciiTheme="majorHAnsi" w:hAnsiTheme="majorHAnsi" w:cstheme="majorHAnsi"/>
          <w:sz w:val="24"/>
          <w:szCs w:val="24"/>
        </w:rPr>
        <w:t xml:space="preserve"> </w:t>
      </w:r>
      <w:r w:rsidRPr="00223AA5">
        <w:rPr>
          <w:rFonts w:asciiTheme="majorHAnsi" w:hAnsiTheme="majorHAnsi" w:cstheme="majorHAnsi"/>
          <w:sz w:val="24"/>
          <w:szCs w:val="24"/>
        </w:rPr>
        <w:t>necesitatea examinării și adoptării unei decizii a Plenului CC asupra respectării legislației aferent</w:t>
      </w:r>
      <w:r w:rsidR="00867065">
        <w:rPr>
          <w:rFonts w:asciiTheme="majorHAnsi" w:hAnsiTheme="majorHAnsi" w:cstheme="majorHAnsi"/>
          <w:sz w:val="24"/>
          <w:szCs w:val="24"/>
        </w:rPr>
        <w:t>e</w:t>
      </w:r>
      <w:r w:rsidRPr="00223AA5">
        <w:rPr>
          <w:rFonts w:asciiTheme="majorHAnsi" w:hAnsiTheme="majorHAnsi" w:cstheme="majorHAnsi"/>
          <w:sz w:val="24"/>
          <w:szCs w:val="24"/>
        </w:rPr>
        <w:t xml:space="preserve"> ajutorului de stat la scutirea de plata acciz</w:t>
      </w:r>
      <w:r w:rsidR="00867065">
        <w:rPr>
          <w:rFonts w:asciiTheme="majorHAnsi" w:hAnsiTheme="majorHAnsi" w:cstheme="majorHAnsi"/>
          <w:sz w:val="24"/>
          <w:szCs w:val="24"/>
        </w:rPr>
        <w:t>elor</w:t>
      </w:r>
      <w:r w:rsidRPr="00223AA5">
        <w:rPr>
          <w:rFonts w:asciiTheme="majorHAnsi" w:hAnsiTheme="majorHAnsi" w:cstheme="majorHAnsi"/>
          <w:sz w:val="24"/>
          <w:szCs w:val="24"/>
        </w:rPr>
        <w:t xml:space="preserve"> </w:t>
      </w:r>
      <w:r w:rsidR="001469A4">
        <w:rPr>
          <w:rFonts w:asciiTheme="majorHAnsi" w:hAnsiTheme="majorHAnsi" w:cstheme="majorHAnsi"/>
          <w:sz w:val="24"/>
          <w:szCs w:val="24"/>
        </w:rPr>
        <w:t xml:space="preserve">la </w:t>
      </w:r>
      <w:r w:rsidRPr="00223AA5">
        <w:rPr>
          <w:rFonts w:asciiTheme="majorHAnsi" w:hAnsiTheme="majorHAnsi" w:cstheme="majorHAnsi"/>
          <w:sz w:val="24"/>
          <w:szCs w:val="24"/>
        </w:rPr>
        <w:t xml:space="preserve"> azotul și oxigenu</w:t>
      </w:r>
      <w:r w:rsidR="001469A4">
        <w:rPr>
          <w:rFonts w:asciiTheme="majorHAnsi" w:hAnsiTheme="majorHAnsi" w:cstheme="majorHAnsi"/>
          <w:sz w:val="24"/>
          <w:szCs w:val="24"/>
        </w:rPr>
        <w:t>l</w:t>
      </w:r>
      <w:r w:rsidRPr="00223AA5">
        <w:rPr>
          <w:rFonts w:asciiTheme="majorHAnsi" w:hAnsiTheme="majorHAnsi" w:cstheme="majorHAnsi"/>
          <w:sz w:val="24"/>
          <w:szCs w:val="24"/>
        </w:rPr>
        <w:t xml:space="preserve"> produ</w:t>
      </w:r>
      <w:r w:rsidR="0088356E">
        <w:rPr>
          <w:rFonts w:asciiTheme="majorHAnsi" w:hAnsiTheme="majorHAnsi" w:cstheme="majorHAnsi"/>
          <w:sz w:val="24"/>
          <w:szCs w:val="24"/>
        </w:rPr>
        <w:t>și</w:t>
      </w:r>
      <w:r w:rsidRPr="00223AA5">
        <w:rPr>
          <w:rFonts w:asciiTheme="majorHAnsi" w:hAnsiTheme="majorHAnsi" w:cstheme="majorHAnsi"/>
          <w:sz w:val="24"/>
          <w:szCs w:val="24"/>
        </w:rPr>
        <w:t xml:space="preserve"> pe teritoriul țării, reieșind din faptul atestării unor aspecte problematice</w:t>
      </w:r>
      <w:r w:rsidR="00405D63">
        <w:rPr>
          <w:rFonts w:asciiTheme="majorHAnsi" w:hAnsiTheme="majorHAnsi" w:cstheme="majorHAnsi"/>
          <w:sz w:val="24"/>
          <w:szCs w:val="24"/>
        </w:rPr>
        <w:t xml:space="preserve">  la acordarea acestei facilități</w:t>
      </w:r>
      <w:r w:rsidRPr="00223AA5">
        <w:rPr>
          <w:rFonts w:asciiTheme="majorHAnsi" w:hAnsiTheme="majorHAnsi" w:cstheme="majorHAnsi"/>
          <w:sz w:val="24"/>
          <w:szCs w:val="24"/>
        </w:rPr>
        <w:t xml:space="preserve">, expuse în subcapitolul 4.2.2. </w:t>
      </w:r>
      <w:r w:rsidR="005A4BC6">
        <w:rPr>
          <w:rFonts w:asciiTheme="majorHAnsi" w:hAnsiTheme="majorHAnsi" w:cstheme="majorHAnsi"/>
          <w:sz w:val="24"/>
          <w:szCs w:val="24"/>
        </w:rPr>
        <w:t>Prin urmare</w:t>
      </w:r>
      <w:r w:rsidR="00867065">
        <w:rPr>
          <w:rFonts w:asciiTheme="majorHAnsi" w:hAnsiTheme="majorHAnsi" w:cstheme="majorHAnsi"/>
          <w:sz w:val="24"/>
          <w:szCs w:val="24"/>
        </w:rPr>
        <w:t>,</w:t>
      </w:r>
      <w:r w:rsidR="005A4BC6">
        <w:rPr>
          <w:rFonts w:asciiTheme="majorHAnsi" w:hAnsiTheme="majorHAnsi" w:cstheme="majorHAnsi"/>
          <w:sz w:val="24"/>
          <w:szCs w:val="24"/>
        </w:rPr>
        <w:t xml:space="preserve"> se conchide că neexaminarea tuturor facilităților fiscale  în vederea</w:t>
      </w:r>
      <w:r w:rsidR="00E655B5">
        <w:rPr>
          <w:rFonts w:asciiTheme="majorHAnsi" w:hAnsiTheme="majorHAnsi" w:cstheme="majorHAnsi"/>
          <w:sz w:val="24"/>
          <w:szCs w:val="24"/>
        </w:rPr>
        <w:t xml:space="preserve"> respectării regulilor ajutorului de stat și aprobarea ulterioară a unor scheme de ajutor de stat  (condițiile de acordare, criteriile clare pentru potențialii beneficiari etc</w:t>
      </w:r>
      <w:r w:rsidR="00867065">
        <w:rPr>
          <w:rFonts w:asciiTheme="majorHAnsi" w:hAnsiTheme="majorHAnsi" w:cstheme="majorHAnsi"/>
          <w:sz w:val="24"/>
          <w:szCs w:val="24"/>
        </w:rPr>
        <w:t>.</w:t>
      </w:r>
      <w:r w:rsidR="00E655B5">
        <w:rPr>
          <w:rFonts w:asciiTheme="majorHAnsi" w:hAnsiTheme="majorHAnsi" w:cstheme="majorHAnsi"/>
          <w:sz w:val="24"/>
          <w:szCs w:val="24"/>
        </w:rPr>
        <w:t>) conturează primise pentru neîncadrarea</w:t>
      </w:r>
      <w:r w:rsidR="00913A30">
        <w:rPr>
          <w:rFonts w:asciiTheme="majorHAnsi" w:hAnsiTheme="majorHAnsi" w:cstheme="majorHAnsi"/>
          <w:sz w:val="24"/>
          <w:szCs w:val="24"/>
        </w:rPr>
        <w:t xml:space="preserve"> autorităților statului în </w:t>
      </w:r>
      <w:r w:rsidR="00913A30">
        <w:rPr>
          <w:rFonts w:asciiTheme="majorHAnsi" w:hAnsiTheme="majorHAnsi" w:cstheme="majorHAnsi"/>
          <w:sz w:val="24"/>
          <w:szCs w:val="24"/>
        </w:rPr>
        <w:lastRenderedPageBreak/>
        <w:t xml:space="preserve">termenul stabilit (01.09.2022)  privind alinierea acestora la </w:t>
      </w:r>
      <w:r w:rsidR="00E655B5" w:rsidRPr="00223AA5">
        <w:rPr>
          <w:rFonts w:asciiTheme="majorHAnsi" w:hAnsiTheme="majorHAnsi" w:cstheme="majorHAnsi"/>
          <w:sz w:val="24"/>
          <w:szCs w:val="24"/>
        </w:rPr>
        <w:t>prevederile acquis-ului  comunitar,</w:t>
      </w:r>
      <w:r w:rsidR="00E655B5" w:rsidRPr="00E655B5">
        <w:rPr>
          <w:rFonts w:asciiTheme="majorHAnsi" w:hAnsiTheme="majorHAnsi" w:cstheme="majorHAnsi"/>
          <w:sz w:val="24"/>
          <w:szCs w:val="24"/>
        </w:rPr>
        <w:t xml:space="preserve"> </w:t>
      </w:r>
      <w:r w:rsidR="00E655B5">
        <w:rPr>
          <w:rFonts w:asciiTheme="majorHAnsi" w:hAnsiTheme="majorHAnsi" w:cstheme="majorHAnsi"/>
          <w:sz w:val="24"/>
          <w:szCs w:val="24"/>
        </w:rPr>
        <w:t>p</w:t>
      </w:r>
      <w:r w:rsidR="00E655B5" w:rsidRPr="00223AA5">
        <w:rPr>
          <w:rFonts w:asciiTheme="majorHAnsi" w:hAnsiTheme="majorHAnsi" w:cstheme="majorHAnsi"/>
          <w:sz w:val="24"/>
          <w:szCs w:val="24"/>
        </w:rPr>
        <w:t>otrivit angajamentelor asumate</w:t>
      </w:r>
      <w:r w:rsidR="00E655B5">
        <w:rPr>
          <w:rFonts w:asciiTheme="majorHAnsi" w:hAnsiTheme="majorHAnsi" w:cstheme="majorHAnsi"/>
          <w:sz w:val="24"/>
          <w:szCs w:val="24"/>
        </w:rPr>
        <w:t xml:space="preserve"> conform </w:t>
      </w:r>
      <w:r w:rsidR="00E655B5" w:rsidRPr="00E655B5">
        <w:rPr>
          <w:rFonts w:asciiTheme="majorHAnsi" w:hAnsiTheme="majorHAnsi" w:cstheme="majorHAnsi"/>
          <w:sz w:val="24"/>
          <w:szCs w:val="24"/>
        </w:rPr>
        <w:t>art.341 din Acordul de asociere încheiat</w:t>
      </w:r>
      <w:r w:rsidR="00E655B5">
        <w:rPr>
          <w:rFonts w:asciiTheme="majorHAnsi" w:hAnsiTheme="majorHAnsi" w:cstheme="majorHAnsi"/>
          <w:sz w:val="24"/>
          <w:szCs w:val="24"/>
        </w:rPr>
        <w:t xml:space="preserve"> între Republica Moldova și U</w:t>
      </w:r>
      <w:r w:rsidR="00867065">
        <w:rPr>
          <w:rFonts w:asciiTheme="majorHAnsi" w:hAnsiTheme="majorHAnsi" w:cstheme="majorHAnsi"/>
          <w:sz w:val="24"/>
          <w:szCs w:val="24"/>
        </w:rPr>
        <w:t xml:space="preserve">niunea </w:t>
      </w:r>
      <w:r w:rsidR="00E655B5">
        <w:rPr>
          <w:rFonts w:asciiTheme="majorHAnsi" w:hAnsiTheme="majorHAnsi" w:cstheme="majorHAnsi"/>
          <w:sz w:val="24"/>
          <w:szCs w:val="24"/>
        </w:rPr>
        <w:t>E</w:t>
      </w:r>
      <w:r w:rsidR="00867065">
        <w:rPr>
          <w:rFonts w:asciiTheme="majorHAnsi" w:hAnsiTheme="majorHAnsi" w:cstheme="majorHAnsi"/>
          <w:sz w:val="24"/>
          <w:szCs w:val="24"/>
        </w:rPr>
        <w:t>uropeană</w:t>
      </w:r>
      <w:r w:rsidR="00913A30">
        <w:rPr>
          <w:rFonts w:asciiTheme="majorHAnsi" w:hAnsiTheme="majorHAnsi" w:cstheme="majorHAnsi"/>
          <w:sz w:val="24"/>
          <w:szCs w:val="24"/>
        </w:rPr>
        <w:t xml:space="preserve">. </w:t>
      </w:r>
      <w:r w:rsidR="00867065">
        <w:rPr>
          <w:rFonts w:asciiTheme="majorHAnsi" w:hAnsiTheme="majorHAnsi" w:cstheme="majorHAnsi"/>
          <w:sz w:val="24"/>
          <w:szCs w:val="24"/>
        </w:rPr>
        <w:t xml:space="preserve">Urmare </w:t>
      </w:r>
      <w:r>
        <w:rPr>
          <w:rFonts w:asciiTheme="majorHAnsi" w:hAnsiTheme="majorHAnsi" w:cstheme="majorHAnsi"/>
          <w:sz w:val="24"/>
          <w:szCs w:val="24"/>
        </w:rPr>
        <w:t>celor menționate mai sus</w:t>
      </w:r>
      <w:r w:rsidR="00867065">
        <w:rPr>
          <w:rFonts w:asciiTheme="majorHAnsi" w:hAnsiTheme="majorHAnsi" w:cstheme="majorHAnsi"/>
          <w:sz w:val="24"/>
          <w:szCs w:val="24"/>
        </w:rPr>
        <w:t>,</w:t>
      </w:r>
      <w:r>
        <w:rPr>
          <w:rFonts w:asciiTheme="majorHAnsi" w:hAnsiTheme="majorHAnsi" w:cstheme="majorHAnsi"/>
          <w:sz w:val="24"/>
          <w:szCs w:val="24"/>
        </w:rPr>
        <w:t xml:space="preserve"> auditul </w:t>
      </w:r>
      <w:r w:rsidR="00867065">
        <w:rPr>
          <w:rFonts w:asciiTheme="majorHAnsi" w:hAnsiTheme="majorHAnsi" w:cstheme="majorHAnsi"/>
          <w:sz w:val="24"/>
          <w:szCs w:val="24"/>
        </w:rPr>
        <w:t>constată</w:t>
      </w:r>
      <w:r>
        <w:rPr>
          <w:rFonts w:asciiTheme="majorHAnsi" w:hAnsiTheme="majorHAnsi" w:cstheme="majorHAnsi"/>
          <w:sz w:val="24"/>
          <w:szCs w:val="24"/>
        </w:rPr>
        <w:t xml:space="preserve">  că acest proces  </w:t>
      </w:r>
      <w:r w:rsidRPr="00223AA5">
        <w:rPr>
          <w:rFonts w:asciiTheme="majorHAnsi" w:hAnsiTheme="majorHAnsi" w:cstheme="majorHAnsi"/>
          <w:sz w:val="24"/>
          <w:szCs w:val="24"/>
        </w:rPr>
        <w:t>este unul tardiv și permite menține</w:t>
      </w:r>
      <w:r>
        <w:rPr>
          <w:rFonts w:asciiTheme="majorHAnsi" w:hAnsiTheme="majorHAnsi" w:cstheme="majorHAnsi"/>
          <w:sz w:val="24"/>
          <w:szCs w:val="24"/>
        </w:rPr>
        <w:t xml:space="preserve">rea </w:t>
      </w:r>
      <w:r w:rsidRPr="00223AA5">
        <w:rPr>
          <w:rFonts w:asciiTheme="majorHAnsi" w:hAnsiTheme="majorHAnsi" w:cstheme="majorHAnsi"/>
          <w:sz w:val="24"/>
          <w:szCs w:val="24"/>
        </w:rPr>
        <w:t>în continuare a unor facilități depășite în timp și care</w:t>
      </w:r>
      <w:r>
        <w:rPr>
          <w:rFonts w:asciiTheme="majorHAnsi" w:hAnsiTheme="majorHAnsi" w:cstheme="majorHAnsi"/>
          <w:sz w:val="24"/>
          <w:szCs w:val="24"/>
        </w:rPr>
        <w:t xml:space="preserve"> nu asigură beneficii statului</w:t>
      </w:r>
      <w:r w:rsidR="00405D63">
        <w:rPr>
          <w:rFonts w:asciiTheme="majorHAnsi" w:hAnsiTheme="majorHAnsi" w:cstheme="majorHAnsi"/>
          <w:sz w:val="24"/>
          <w:szCs w:val="24"/>
        </w:rPr>
        <w:t>.</w:t>
      </w:r>
    </w:p>
    <w:p w:rsidR="00191B20" w:rsidRPr="00545DBE" w:rsidRDefault="00A732F0" w:rsidP="00405D63">
      <w:pPr>
        <w:pStyle w:val="ListParagraph"/>
        <w:tabs>
          <w:tab w:val="left" w:pos="360"/>
        </w:tabs>
        <w:ind w:left="0"/>
        <w:jc w:val="both"/>
        <w:rPr>
          <w:rFonts w:eastAsia="Times New Roman" w:cstheme="majorHAnsi"/>
          <w:b/>
          <w:color w:val="2E74B5" w:themeColor="accent1" w:themeShade="BF"/>
        </w:rPr>
      </w:pPr>
      <w:r w:rsidRPr="00545DBE">
        <w:rPr>
          <w:rFonts w:eastAsia="Times New Roman" w:cstheme="majorHAnsi"/>
          <w:b/>
          <w:color w:val="2E74B5" w:themeColor="accent1" w:themeShade="BF"/>
        </w:rPr>
        <w:t xml:space="preserve"> </w:t>
      </w:r>
    </w:p>
    <w:p w:rsidR="00B77F08" w:rsidRPr="00CB5F81" w:rsidRDefault="000B1C5D" w:rsidP="001A6761">
      <w:pPr>
        <w:pStyle w:val="Heading1"/>
        <w:numPr>
          <w:ilvl w:val="0"/>
          <w:numId w:val="1"/>
        </w:numPr>
        <w:spacing w:before="0" w:after="120" w:line="276" w:lineRule="auto"/>
        <w:ind w:left="360" w:hanging="360"/>
        <w:rPr>
          <w:b/>
          <w:color w:val="1F3864" w:themeColor="accent5" w:themeShade="80"/>
          <w:sz w:val="28"/>
          <w:szCs w:val="28"/>
          <w:lang w:val="ro-MD"/>
        </w:rPr>
      </w:pPr>
      <w:bookmarkStart w:id="36" w:name="_Toc76371149"/>
      <w:bookmarkStart w:id="37" w:name="_Toc111467880"/>
      <w:r>
        <w:rPr>
          <w:b/>
          <w:color w:val="1F4E79" w:themeColor="accent1" w:themeShade="80"/>
          <w:sz w:val="28"/>
          <w:szCs w:val="28"/>
          <w:lang w:val="ro-MD"/>
        </w:rPr>
        <w:t>CONCLUZIA</w:t>
      </w:r>
      <w:r w:rsidR="00B77F08" w:rsidRPr="00CB5F81">
        <w:rPr>
          <w:b/>
          <w:color w:val="1F4E79" w:themeColor="accent1" w:themeShade="80"/>
          <w:sz w:val="28"/>
          <w:szCs w:val="28"/>
          <w:lang w:val="ro-MD"/>
        </w:rPr>
        <w:t xml:space="preserve"> GENERALĂ</w:t>
      </w:r>
      <w:bookmarkEnd w:id="36"/>
      <w:bookmarkEnd w:id="37"/>
    </w:p>
    <w:p w:rsidR="00EA63C7" w:rsidRPr="00CB5F81" w:rsidRDefault="00D14D32" w:rsidP="008D20D5">
      <w:pPr>
        <w:widowControl w:val="0"/>
        <w:tabs>
          <w:tab w:val="left" w:pos="747"/>
        </w:tabs>
        <w:spacing w:after="0" w:line="240" w:lineRule="auto"/>
        <w:jc w:val="both"/>
        <w:rPr>
          <w:rFonts w:asciiTheme="majorHAnsi" w:hAnsiTheme="majorHAnsi" w:cstheme="majorHAnsi"/>
          <w:sz w:val="24"/>
          <w:szCs w:val="24"/>
        </w:rPr>
      </w:pPr>
      <w:r w:rsidRPr="00CB5F81">
        <w:rPr>
          <w:rFonts w:asciiTheme="majorHAnsi" w:hAnsiTheme="majorHAnsi" w:cstheme="majorHAnsi"/>
          <w:sz w:val="24"/>
          <w:szCs w:val="24"/>
        </w:rPr>
        <w:t xml:space="preserve">În baza constatărilor auditului </w:t>
      </w:r>
      <w:r w:rsidR="0006575F" w:rsidRPr="002F158B">
        <w:rPr>
          <w:rFonts w:asciiTheme="majorHAnsi" w:hAnsiTheme="majorHAnsi" w:cstheme="majorHAnsi"/>
          <w:sz w:val="24"/>
          <w:szCs w:val="24"/>
        </w:rPr>
        <w:t xml:space="preserve">public extern </w:t>
      </w:r>
      <w:r w:rsidRPr="002F158B">
        <w:rPr>
          <w:rFonts w:asciiTheme="majorHAnsi" w:hAnsiTheme="majorHAnsi" w:cstheme="majorHAnsi"/>
          <w:sz w:val="24"/>
          <w:szCs w:val="24"/>
        </w:rPr>
        <w:t>privind</w:t>
      </w:r>
      <w:r w:rsidRPr="00CB5F81">
        <w:rPr>
          <w:rFonts w:asciiTheme="majorHAnsi" w:hAnsiTheme="majorHAnsi" w:cstheme="majorHAnsi"/>
          <w:sz w:val="24"/>
          <w:szCs w:val="24"/>
        </w:rPr>
        <w:t xml:space="preserve"> conformitatea </w:t>
      </w:r>
      <w:r w:rsidR="00091713" w:rsidRPr="00CB5F81">
        <w:rPr>
          <w:rFonts w:asciiTheme="majorHAnsi" w:hAnsiTheme="majorHAnsi" w:cstheme="majorHAnsi"/>
          <w:sz w:val="24"/>
          <w:szCs w:val="24"/>
        </w:rPr>
        <w:t>administrării facilităților fiscale în an</w:t>
      </w:r>
      <w:r w:rsidR="00094B6F" w:rsidRPr="00CB5F81">
        <w:rPr>
          <w:rFonts w:asciiTheme="majorHAnsi" w:hAnsiTheme="majorHAnsi" w:cstheme="majorHAnsi"/>
          <w:sz w:val="24"/>
          <w:szCs w:val="24"/>
        </w:rPr>
        <w:t xml:space="preserve">ul </w:t>
      </w:r>
      <w:r w:rsidR="00091713" w:rsidRPr="00CB5F81">
        <w:rPr>
          <w:rFonts w:asciiTheme="majorHAnsi" w:hAnsiTheme="majorHAnsi" w:cstheme="majorHAnsi"/>
          <w:sz w:val="24"/>
          <w:szCs w:val="24"/>
        </w:rPr>
        <w:t>2020</w:t>
      </w:r>
      <w:r w:rsidR="00094B6F" w:rsidRPr="00CB5F81">
        <w:rPr>
          <w:rFonts w:asciiTheme="majorHAnsi" w:hAnsiTheme="majorHAnsi" w:cstheme="majorHAnsi"/>
          <w:sz w:val="24"/>
          <w:szCs w:val="24"/>
        </w:rPr>
        <w:t xml:space="preserve">, </w:t>
      </w:r>
      <w:r w:rsidR="002C6852" w:rsidRPr="00CB5F81">
        <w:rPr>
          <w:rFonts w:asciiTheme="majorHAnsi" w:hAnsiTheme="majorHAnsi" w:cstheme="majorHAnsi"/>
          <w:sz w:val="24"/>
          <w:szCs w:val="24"/>
        </w:rPr>
        <w:t>cu verificarea unor</w:t>
      </w:r>
      <w:r w:rsidR="00094B6F" w:rsidRPr="00CB5F81">
        <w:rPr>
          <w:rFonts w:asciiTheme="majorHAnsi" w:hAnsiTheme="majorHAnsi" w:cstheme="majorHAnsi"/>
          <w:sz w:val="24"/>
          <w:szCs w:val="24"/>
        </w:rPr>
        <w:t xml:space="preserve"> aspecte </w:t>
      </w:r>
      <w:r w:rsidR="002C6852" w:rsidRPr="00CB5F81">
        <w:rPr>
          <w:rFonts w:asciiTheme="majorHAnsi" w:hAnsiTheme="majorHAnsi" w:cstheme="majorHAnsi"/>
          <w:sz w:val="24"/>
          <w:szCs w:val="24"/>
        </w:rPr>
        <w:t xml:space="preserve">aferente anului </w:t>
      </w:r>
      <w:r w:rsidR="00091713" w:rsidRPr="00CB5F81">
        <w:rPr>
          <w:rFonts w:asciiTheme="majorHAnsi" w:hAnsiTheme="majorHAnsi" w:cstheme="majorHAnsi"/>
          <w:sz w:val="24"/>
          <w:szCs w:val="24"/>
        </w:rPr>
        <w:t>2021</w:t>
      </w:r>
      <w:r w:rsidRPr="00CB5F81">
        <w:rPr>
          <w:rFonts w:asciiTheme="majorHAnsi" w:hAnsiTheme="majorHAnsi" w:cstheme="majorHAnsi"/>
          <w:sz w:val="24"/>
          <w:szCs w:val="24"/>
        </w:rPr>
        <w:t>, se conc</w:t>
      </w:r>
      <w:r w:rsidR="001534F5">
        <w:rPr>
          <w:rFonts w:asciiTheme="majorHAnsi" w:hAnsiTheme="majorHAnsi" w:cstheme="majorHAnsi"/>
          <w:sz w:val="24"/>
          <w:szCs w:val="24"/>
        </w:rPr>
        <w:t>luzionează</w:t>
      </w:r>
      <w:r w:rsidRPr="00CB5F81">
        <w:rPr>
          <w:rFonts w:asciiTheme="majorHAnsi" w:hAnsiTheme="majorHAnsi" w:cstheme="majorHAnsi"/>
          <w:sz w:val="24"/>
          <w:szCs w:val="24"/>
        </w:rPr>
        <w:t xml:space="preserve"> că</w:t>
      </w:r>
      <w:r w:rsidR="00525B59" w:rsidRPr="00CB5F81">
        <w:rPr>
          <w:rFonts w:asciiTheme="majorHAnsi" w:hAnsiTheme="majorHAnsi" w:cstheme="majorHAnsi"/>
          <w:sz w:val="24"/>
          <w:szCs w:val="24"/>
        </w:rPr>
        <w:t xml:space="preserve"> autoritățile statului nu s-au concentrat suficient pentru a asigura o bună guvernare a procesului de </w:t>
      </w:r>
      <w:r w:rsidR="00C5013A" w:rsidRPr="00CB5F81">
        <w:rPr>
          <w:rFonts w:asciiTheme="majorHAnsi" w:hAnsiTheme="majorHAnsi" w:cstheme="majorHAnsi"/>
          <w:sz w:val="24"/>
          <w:szCs w:val="24"/>
        </w:rPr>
        <w:t xml:space="preserve">administrare </w:t>
      </w:r>
      <w:r w:rsidR="002B5673" w:rsidRPr="00CB5F81">
        <w:rPr>
          <w:rFonts w:asciiTheme="majorHAnsi" w:hAnsiTheme="majorHAnsi" w:cstheme="majorHAnsi"/>
          <w:sz w:val="24"/>
          <w:szCs w:val="24"/>
        </w:rPr>
        <w:t>a facilitaților fiscale</w:t>
      </w:r>
      <w:r w:rsidR="00EA63C7" w:rsidRPr="00CB5F81">
        <w:rPr>
          <w:rFonts w:asciiTheme="majorHAnsi" w:hAnsiTheme="majorHAnsi" w:cstheme="majorHAnsi"/>
          <w:sz w:val="24"/>
          <w:szCs w:val="24"/>
        </w:rPr>
        <w:t>, acesta fiind nefuncțional pe întregul lanț de organizare</w:t>
      </w:r>
      <w:r w:rsidR="000B1C5D">
        <w:rPr>
          <w:rFonts w:asciiTheme="majorHAnsi" w:hAnsiTheme="majorHAnsi" w:cstheme="majorHAnsi"/>
          <w:sz w:val="24"/>
          <w:szCs w:val="24"/>
        </w:rPr>
        <w:t xml:space="preserve">, aflându-se </w:t>
      </w:r>
      <w:r w:rsidR="00EA63C7" w:rsidRPr="00CB5F81">
        <w:rPr>
          <w:rFonts w:asciiTheme="majorHAnsi" w:hAnsiTheme="majorHAnsi" w:cstheme="majorHAnsi"/>
          <w:sz w:val="24"/>
          <w:szCs w:val="24"/>
        </w:rPr>
        <w:t>într-o fază incipientă</w:t>
      </w:r>
      <w:r w:rsidR="000B1C5D">
        <w:rPr>
          <w:rFonts w:asciiTheme="majorHAnsi" w:hAnsiTheme="majorHAnsi" w:cstheme="majorHAnsi"/>
          <w:sz w:val="24"/>
          <w:szCs w:val="24"/>
        </w:rPr>
        <w:t xml:space="preserve"> de instituire</w:t>
      </w:r>
      <w:r w:rsidR="00C0548E">
        <w:rPr>
          <w:rFonts w:asciiTheme="majorHAnsi" w:hAnsiTheme="majorHAnsi" w:cstheme="majorHAnsi"/>
          <w:sz w:val="24"/>
          <w:szCs w:val="24"/>
        </w:rPr>
        <w:t>. Drept rezultat,</w:t>
      </w:r>
      <w:r w:rsidR="00EC5D47" w:rsidRPr="00CB5F81">
        <w:rPr>
          <w:rFonts w:asciiTheme="majorHAnsi" w:hAnsiTheme="majorHAnsi" w:cstheme="majorHAnsi"/>
          <w:sz w:val="24"/>
          <w:szCs w:val="24"/>
        </w:rPr>
        <w:t xml:space="preserve"> </w:t>
      </w:r>
      <w:r w:rsidR="00C0548E">
        <w:rPr>
          <w:rFonts w:asciiTheme="majorHAnsi" w:hAnsiTheme="majorHAnsi" w:cstheme="majorHAnsi"/>
          <w:sz w:val="24"/>
          <w:szCs w:val="24"/>
        </w:rPr>
        <w:t xml:space="preserve"> nu s-a asigurat pe deplin </w:t>
      </w:r>
      <w:r w:rsidR="00EA63C7" w:rsidRPr="00CB5F81">
        <w:rPr>
          <w:rFonts w:asciiTheme="majorHAnsi" w:hAnsiTheme="majorHAnsi" w:cstheme="majorHAnsi"/>
          <w:sz w:val="24"/>
          <w:szCs w:val="24"/>
        </w:rPr>
        <w:t xml:space="preserve">estimarea și raportarea  costurilor bugetare </w:t>
      </w:r>
      <w:r w:rsidR="00C0548E">
        <w:rPr>
          <w:rFonts w:asciiTheme="majorHAnsi" w:hAnsiTheme="majorHAnsi" w:cstheme="majorHAnsi"/>
          <w:sz w:val="24"/>
          <w:szCs w:val="24"/>
        </w:rPr>
        <w:t>a</w:t>
      </w:r>
      <w:r w:rsidR="001534F5">
        <w:rPr>
          <w:rFonts w:asciiTheme="majorHAnsi" w:hAnsiTheme="majorHAnsi" w:cstheme="majorHAnsi"/>
          <w:sz w:val="24"/>
          <w:szCs w:val="24"/>
        </w:rPr>
        <w:t>le</w:t>
      </w:r>
      <w:r w:rsidR="00C0548E">
        <w:rPr>
          <w:rFonts w:asciiTheme="majorHAnsi" w:hAnsiTheme="majorHAnsi" w:cstheme="majorHAnsi"/>
          <w:sz w:val="24"/>
          <w:szCs w:val="24"/>
        </w:rPr>
        <w:t xml:space="preserve"> </w:t>
      </w:r>
      <w:r w:rsidR="00EA63C7" w:rsidRPr="00CB5F81">
        <w:rPr>
          <w:rFonts w:asciiTheme="majorHAnsi" w:hAnsiTheme="majorHAnsi" w:cstheme="majorHAnsi"/>
          <w:sz w:val="24"/>
          <w:szCs w:val="24"/>
        </w:rPr>
        <w:t xml:space="preserve">facilităților, precum și evaluarea sistemică a </w:t>
      </w:r>
      <w:r w:rsidR="006448B9" w:rsidRPr="00CB5F81">
        <w:rPr>
          <w:rFonts w:asciiTheme="majorHAnsi" w:hAnsiTheme="majorHAnsi" w:cstheme="majorHAnsi"/>
          <w:sz w:val="24"/>
          <w:szCs w:val="24"/>
        </w:rPr>
        <w:t xml:space="preserve">acestora </w:t>
      </w:r>
      <w:r w:rsidR="00EA63C7" w:rsidRPr="00CB5F81">
        <w:rPr>
          <w:rFonts w:asciiTheme="majorHAnsi" w:hAnsiTheme="majorHAnsi" w:cstheme="majorHAnsi"/>
          <w:sz w:val="24"/>
          <w:szCs w:val="24"/>
        </w:rPr>
        <w:t>prin prisma eficienței și plusvalorii generate la buget și societății.</w:t>
      </w:r>
      <w:r w:rsidR="006448B9" w:rsidRPr="00CB5F81">
        <w:rPr>
          <w:rFonts w:asciiTheme="majorHAnsi" w:hAnsiTheme="majorHAnsi" w:cstheme="majorHAnsi"/>
          <w:sz w:val="24"/>
          <w:szCs w:val="24"/>
        </w:rPr>
        <w:t xml:space="preserve"> La fel, MF și SFS nu </w:t>
      </w:r>
      <w:r w:rsidR="00C0548E">
        <w:rPr>
          <w:rFonts w:asciiTheme="majorHAnsi" w:hAnsiTheme="majorHAnsi" w:cstheme="majorHAnsi"/>
          <w:sz w:val="24"/>
          <w:szCs w:val="24"/>
        </w:rPr>
        <w:t>a</w:t>
      </w:r>
      <w:r w:rsidR="001534F5">
        <w:rPr>
          <w:rFonts w:asciiTheme="majorHAnsi" w:hAnsiTheme="majorHAnsi" w:cstheme="majorHAnsi"/>
          <w:sz w:val="24"/>
          <w:szCs w:val="24"/>
        </w:rPr>
        <w:t>u</w:t>
      </w:r>
      <w:r w:rsidR="00C0548E">
        <w:rPr>
          <w:rFonts w:asciiTheme="majorHAnsi" w:hAnsiTheme="majorHAnsi" w:cstheme="majorHAnsi"/>
          <w:sz w:val="24"/>
          <w:szCs w:val="24"/>
        </w:rPr>
        <w:t xml:space="preserve"> identificat instrumente viabile necesare pentru </w:t>
      </w:r>
      <w:r w:rsidR="006448B9" w:rsidRPr="00CB5F81">
        <w:rPr>
          <w:rFonts w:asciiTheme="majorHAnsi" w:hAnsiTheme="majorHAnsi" w:cstheme="majorHAnsi"/>
          <w:sz w:val="24"/>
          <w:szCs w:val="24"/>
        </w:rPr>
        <w:t>o monitorizare sistemică a corectitudinii și legalității scutirilor de care au beneficiat</w:t>
      </w:r>
      <w:r w:rsidR="0067038E" w:rsidRPr="00CB5F81">
        <w:rPr>
          <w:rFonts w:asciiTheme="majorHAnsi" w:hAnsiTheme="majorHAnsi" w:cstheme="majorHAnsi"/>
          <w:sz w:val="24"/>
          <w:szCs w:val="24"/>
        </w:rPr>
        <w:t xml:space="preserve"> unii</w:t>
      </w:r>
      <w:r w:rsidR="006448B9" w:rsidRPr="00CB5F81">
        <w:rPr>
          <w:rFonts w:asciiTheme="majorHAnsi" w:hAnsiTheme="majorHAnsi" w:cstheme="majorHAnsi"/>
          <w:sz w:val="24"/>
          <w:szCs w:val="24"/>
        </w:rPr>
        <w:t xml:space="preserve"> agenți</w:t>
      </w:r>
      <w:r w:rsidR="0067038E" w:rsidRPr="00CB5F81">
        <w:rPr>
          <w:rFonts w:asciiTheme="majorHAnsi" w:hAnsiTheme="majorHAnsi" w:cstheme="majorHAnsi"/>
          <w:sz w:val="24"/>
          <w:szCs w:val="24"/>
        </w:rPr>
        <w:t xml:space="preserve"> ec</w:t>
      </w:r>
      <w:r w:rsidR="006448B9" w:rsidRPr="00CB5F81">
        <w:rPr>
          <w:rFonts w:asciiTheme="majorHAnsi" w:hAnsiTheme="majorHAnsi" w:cstheme="majorHAnsi"/>
          <w:sz w:val="24"/>
          <w:szCs w:val="24"/>
        </w:rPr>
        <w:t>onomici, în speță</w:t>
      </w:r>
      <w:r w:rsidR="001534F5">
        <w:rPr>
          <w:rFonts w:asciiTheme="majorHAnsi" w:hAnsiTheme="majorHAnsi" w:cstheme="majorHAnsi"/>
          <w:sz w:val="24"/>
          <w:szCs w:val="24"/>
        </w:rPr>
        <w:t>,</w:t>
      </w:r>
      <w:r w:rsidR="006448B9" w:rsidRPr="00CB5F81">
        <w:rPr>
          <w:rFonts w:asciiTheme="majorHAnsi" w:hAnsiTheme="majorHAnsi" w:cstheme="majorHAnsi"/>
          <w:sz w:val="24"/>
          <w:szCs w:val="24"/>
        </w:rPr>
        <w:t xml:space="preserve"> </w:t>
      </w:r>
      <w:r w:rsidR="001534F5">
        <w:rPr>
          <w:rFonts w:asciiTheme="majorHAnsi" w:hAnsiTheme="majorHAnsi" w:cstheme="majorHAnsi"/>
          <w:sz w:val="24"/>
          <w:szCs w:val="24"/>
        </w:rPr>
        <w:t>cei</w:t>
      </w:r>
      <w:r w:rsidR="006448B9" w:rsidRPr="00CB5F81">
        <w:rPr>
          <w:rFonts w:asciiTheme="majorHAnsi" w:hAnsiTheme="majorHAnsi" w:cstheme="majorHAnsi"/>
          <w:sz w:val="24"/>
          <w:szCs w:val="24"/>
        </w:rPr>
        <w:t xml:space="preserve"> predispuși riscului de conformare, precum și </w:t>
      </w:r>
      <w:r w:rsidR="001534F5">
        <w:rPr>
          <w:rFonts w:asciiTheme="majorHAnsi" w:hAnsiTheme="majorHAnsi" w:cstheme="majorHAnsi"/>
          <w:sz w:val="24"/>
          <w:szCs w:val="24"/>
        </w:rPr>
        <w:t>nu au</w:t>
      </w:r>
      <w:r w:rsidR="006448B9" w:rsidRPr="00CB5F81">
        <w:rPr>
          <w:rFonts w:asciiTheme="majorHAnsi" w:hAnsiTheme="majorHAnsi" w:cstheme="majorHAnsi"/>
          <w:sz w:val="24"/>
          <w:szCs w:val="24"/>
        </w:rPr>
        <w:t xml:space="preserve"> institui</w:t>
      </w:r>
      <w:r w:rsidR="001534F5">
        <w:rPr>
          <w:rFonts w:asciiTheme="majorHAnsi" w:hAnsiTheme="majorHAnsi" w:cstheme="majorHAnsi"/>
          <w:sz w:val="24"/>
          <w:szCs w:val="24"/>
        </w:rPr>
        <w:t>t</w:t>
      </w:r>
      <w:r w:rsidR="006448B9" w:rsidRPr="00CB5F81">
        <w:rPr>
          <w:rFonts w:asciiTheme="majorHAnsi" w:hAnsiTheme="majorHAnsi" w:cstheme="majorHAnsi"/>
          <w:sz w:val="24"/>
          <w:szCs w:val="24"/>
        </w:rPr>
        <w:t xml:space="preserve"> pârghii de responsabilizare a tuturor beneficiarilor care abuzează și utilizează neconform </w:t>
      </w:r>
      <w:r w:rsidR="00EC5D47" w:rsidRPr="00CB5F81">
        <w:rPr>
          <w:rFonts w:asciiTheme="majorHAnsi" w:hAnsiTheme="majorHAnsi" w:cstheme="majorHAnsi"/>
          <w:sz w:val="24"/>
          <w:szCs w:val="24"/>
        </w:rPr>
        <w:t>înlesnirile oferite de stat.</w:t>
      </w:r>
      <w:r w:rsidR="006448B9" w:rsidRPr="00CB5F81">
        <w:rPr>
          <w:rFonts w:asciiTheme="majorHAnsi" w:hAnsiTheme="majorHAnsi" w:cstheme="majorHAnsi"/>
          <w:sz w:val="24"/>
          <w:szCs w:val="24"/>
        </w:rPr>
        <w:t xml:space="preserve"> </w:t>
      </w:r>
    </w:p>
    <w:p w:rsidR="00737FD7" w:rsidRPr="00CB5F81" w:rsidRDefault="007D3AEE" w:rsidP="008D20D5">
      <w:pPr>
        <w:widowControl w:val="0"/>
        <w:tabs>
          <w:tab w:val="left" w:pos="747"/>
        </w:tabs>
        <w:spacing w:after="0" w:line="240" w:lineRule="auto"/>
        <w:jc w:val="both"/>
        <w:rPr>
          <w:rFonts w:asciiTheme="majorHAnsi" w:hAnsiTheme="majorHAnsi" w:cstheme="majorHAnsi"/>
          <w:sz w:val="24"/>
          <w:szCs w:val="24"/>
        </w:rPr>
      </w:pPr>
      <w:r w:rsidRPr="00CB5F81">
        <w:rPr>
          <w:rFonts w:asciiTheme="majorHAnsi" w:hAnsiTheme="majorHAnsi" w:cstheme="majorHAnsi"/>
          <w:sz w:val="24"/>
          <w:szCs w:val="24"/>
        </w:rPr>
        <w:t>C</w:t>
      </w:r>
      <w:r w:rsidR="00737FD7" w:rsidRPr="00CB5F81">
        <w:rPr>
          <w:rFonts w:asciiTheme="majorHAnsi" w:hAnsiTheme="majorHAnsi" w:cstheme="majorHAnsi"/>
          <w:sz w:val="24"/>
          <w:szCs w:val="24"/>
        </w:rPr>
        <w:t>ele menționate</w:t>
      </w:r>
      <w:r w:rsidRPr="00CB5F81">
        <w:rPr>
          <w:rFonts w:asciiTheme="majorHAnsi" w:hAnsiTheme="majorHAnsi" w:cstheme="majorHAnsi"/>
          <w:sz w:val="24"/>
          <w:szCs w:val="24"/>
        </w:rPr>
        <w:t xml:space="preserve"> se bazează pe</w:t>
      </w:r>
      <w:r w:rsidR="00EC1EAF">
        <w:rPr>
          <w:rFonts w:asciiTheme="majorHAnsi" w:hAnsiTheme="majorHAnsi" w:cstheme="majorHAnsi"/>
          <w:sz w:val="24"/>
          <w:szCs w:val="24"/>
        </w:rPr>
        <w:t xml:space="preserve"> </w:t>
      </w:r>
      <w:r w:rsidR="00737FD7" w:rsidRPr="00CB5F81">
        <w:rPr>
          <w:rFonts w:asciiTheme="majorHAnsi" w:hAnsiTheme="majorHAnsi" w:cstheme="majorHAnsi"/>
          <w:sz w:val="24"/>
          <w:szCs w:val="24"/>
        </w:rPr>
        <w:t>următoarele</w:t>
      </w:r>
      <w:r w:rsidRPr="00CB5F81">
        <w:rPr>
          <w:rFonts w:asciiTheme="majorHAnsi" w:hAnsiTheme="majorHAnsi" w:cstheme="majorHAnsi"/>
          <w:sz w:val="24"/>
          <w:szCs w:val="24"/>
        </w:rPr>
        <w:t xml:space="preserve"> observații de audit</w:t>
      </w:r>
      <w:r w:rsidR="00737FD7" w:rsidRPr="00CB5F81">
        <w:rPr>
          <w:rFonts w:asciiTheme="majorHAnsi" w:hAnsiTheme="majorHAnsi" w:cstheme="majorHAnsi"/>
          <w:sz w:val="24"/>
          <w:szCs w:val="24"/>
        </w:rPr>
        <w:t>:</w:t>
      </w:r>
      <w:r w:rsidR="00EC1EAF">
        <w:rPr>
          <w:rFonts w:asciiTheme="majorHAnsi" w:hAnsiTheme="majorHAnsi" w:cstheme="majorHAnsi"/>
          <w:sz w:val="24"/>
          <w:szCs w:val="24"/>
        </w:rPr>
        <w:t xml:space="preserve"> </w:t>
      </w:r>
    </w:p>
    <w:p w:rsidR="00CE43D6" w:rsidRPr="00CB5F81" w:rsidRDefault="00CE43D6" w:rsidP="001A6761">
      <w:pPr>
        <w:pStyle w:val="ListParagraph"/>
        <w:numPr>
          <w:ilvl w:val="0"/>
          <w:numId w:val="19"/>
        </w:numPr>
        <w:shd w:val="clear" w:color="auto" w:fill="FFFFFF"/>
        <w:spacing w:after="120"/>
        <w:ind w:left="450" w:hanging="27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Instituirea și acordarea facilităților</w:t>
      </w:r>
      <w:r w:rsidR="004E1EF7" w:rsidRPr="00CB5F81">
        <w:rPr>
          <w:rFonts w:asciiTheme="majorHAnsi" w:hAnsiTheme="majorHAnsi" w:cstheme="majorHAnsi"/>
          <w:sz w:val="24"/>
          <w:szCs w:val="24"/>
          <w:lang w:val="ro-MD"/>
        </w:rPr>
        <w:t xml:space="preserve"> se efectuează </w:t>
      </w:r>
      <w:r w:rsidRPr="00CB5F81">
        <w:rPr>
          <w:rFonts w:asciiTheme="majorHAnsi" w:hAnsiTheme="majorHAnsi" w:cstheme="majorHAnsi"/>
          <w:sz w:val="24"/>
          <w:szCs w:val="24"/>
          <w:lang w:val="ro-MD"/>
        </w:rPr>
        <w:t>în lipsa unor programe sau strategii de dezvoltare economică a unor ramuri sau sectoare ale economiei naționale, inclusiv care să conțină indicatori de impact/rezultat</w:t>
      </w:r>
      <w:r w:rsidR="00687AC4">
        <w:rPr>
          <w:rFonts w:asciiTheme="majorHAnsi" w:hAnsiTheme="majorHAnsi" w:cstheme="majorHAnsi"/>
          <w:sz w:val="24"/>
          <w:szCs w:val="24"/>
          <w:lang w:val="ro-MD"/>
        </w:rPr>
        <w:t xml:space="preserve"> ce ar</w:t>
      </w:r>
      <w:r w:rsidRPr="00CB5F81">
        <w:rPr>
          <w:rFonts w:asciiTheme="majorHAnsi" w:hAnsiTheme="majorHAnsi" w:cstheme="majorHAnsi"/>
          <w:sz w:val="24"/>
          <w:szCs w:val="24"/>
          <w:lang w:val="ro-MD"/>
        </w:rPr>
        <w:t xml:space="preserve"> permit</w:t>
      </w:r>
      <w:r w:rsidR="00687AC4">
        <w:rPr>
          <w:rFonts w:asciiTheme="majorHAnsi" w:hAnsiTheme="majorHAnsi" w:cstheme="majorHAnsi"/>
          <w:sz w:val="24"/>
          <w:szCs w:val="24"/>
          <w:lang w:val="ro-MD"/>
        </w:rPr>
        <w:t>e</w:t>
      </w:r>
      <w:r w:rsidRPr="00CB5F81">
        <w:rPr>
          <w:rFonts w:asciiTheme="majorHAnsi" w:hAnsiTheme="majorHAnsi" w:cstheme="majorHAnsi"/>
          <w:sz w:val="24"/>
          <w:szCs w:val="24"/>
          <w:lang w:val="ro-MD"/>
        </w:rPr>
        <w:t xml:space="preserve"> evaluarea beneficiilor rezultate din acordarea acestora;</w:t>
      </w:r>
    </w:p>
    <w:p w:rsidR="00CE43D6" w:rsidRPr="00CB5F81" w:rsidRDefault="00CE43D6" w:rsidP="001A6761">
      <w:pPr>
        <w:pStyle w:val="ListParagraph"/>
        <w:numPr>
          <w:ilvl w:val="0"/>
          <w:numId w:val="19"/>
        </w:numPr>
        <w:shd w:val="clear" w:color="auto" w:fill="FFFFFF"/>
        <w:spacing w:after="120"/>
        <w:ind w:left="450" w:hanging="270"/>
        <w:jc w:val="both"/>
        <w:rPr>
          <w:rFonts w:asciiTheme="majorHAnsi" w:hAnsiTheme="majorHAnsi" w:cstheme="majorHAnsi"/>
          <w:sz w:val="24"/>
          <w:szCs w:val="24"/>
          <w:lang w:val="ro-MD"/>
        </w:rPr>
      </w:pPr>
      <w:r w:rsidRPr="00CB5F81">
        <w:rPr>
          <w:rFonts w:asciiTheme="majorHAnsi" w:hAnsiTheme="majorHAnsi" w:cstheme="majorHAnsi"/>
          <w:iCs/>
          <w:sz w:val="24"/>
          <w:szCs w:val="24"/>
          <w:lang w:val="ro-MD"/>
        </w:rPr>
        <w:t>Neestimarea de către SFS</w:t>
      </w:r>
      <w:r w:rsidR="00EC1EAF">
        <w:rPr>
          <w:rFonts w:asciiTheme="majorHAnsi" w:hAnsiTheme="majorHAnsi" w:cstheme="majorHAnsi"/>
          <w:iCs/>
          <w:sz w:val="24"/>
          <w:szCs w:val="24"/>
          <w:lang w:val="ro-MD"/>
        </w:rPr>
        <w:t xml:space="preserve"> </w:t>
      </w:r>
      <w:r w:rsidRPr="00CB5F81">
        <w:rPr>
          <w:rFonts w:asciiTheme="majorHAnsi" w:hAnsiTheme="majorHAnsi" w:cstheme="majorHAnsi"/>
          <w:iCs/>
          <w:sz w:val="24"/>
          <w:szCs w:val="24"/>
          <w:lang w:val="ro-MD"/>
        </w:rPr>
        <w:t>a costurilor bugetare</w:t>
      </w:r>
      <w:r w:rsidR="00EC1EAF">
        <w:rPr>
          <w:rFonts w:asciiTheme="majorHAnsi" w:hAnsiTheme="majorHAnsi" w:cstheme="majorHAnsi"/>
          <w:iCs/>
          <w:sz w:val="24"/>
          <w:szCs w:val="24"/>
          <w:lang w:val="ro-MD"/>
        </w:rPr>
        <w:t xml:space="preserve"> </w:t>
      </w:r>
      <w:r w:rsidRPr="00CB5F81">
        <w:rPr>
          <w:rFonts w:asciiTheme="majorHAnsi" w:hAnsiTheme="majorHAnsi" w:cstheme="majorHAnsi"/>
          <w:iCs/>
          <w:sz w:val="24"/>
          <w:szCs w:val="24"/>
          <w:lang w:val="ro-MD"/>
        </w:rPr>
        <w:t>la</w:t>
      </w:r>
      <w:r w:rsidR="00EC1EAF">
        <w:rPr>
          <w:rFonts w:asciiTheme="majorHAnsi" w:hAnsiTheme="majorHAnsi" w:cstheme="majorHAnsi"/>
          <w:iCs/>
          <w:sz w:val="24"/>
          <w:szCs w:val="24"/>
          <w:lang w:val="ro-MD"/>
        </w:rPr>
        <w:t xml:space="preserve"> </w:t>
      </w:r>
      <w:r w:rsidR="00CB3EDE" w:rsidRPr="00CB5F81">
        <w:rPr>
          <w:rFonts w:asciiTheme="majorHAnsi" w:hAnsiTheme="majorHAnsi" w:cstheme="majorHAnsi"/>
          <w:iCs/>
          <w:sz w:val="24"/>
          <w:szCs w:val="24"/>
          <w:lang w:val="ro-MD"/>
        </w:rPr>
        <w:t>circa</w:t>
      </w:r>
      <w:r w:rsidR="00EC1EAF">
        <w:rPr>
          <w:rFonts w:asciiTheme="majorHAnsi" w:hAnsiTheme="majorHAnsi" w:cstheme="majorHAnsi"/>
          <w:iCs/>
          <w:sz w:val="24"/>
          <w:szCs w:val="24"/>
          <w:lang w:val="ro-MD"/>
        </w:rPr>
        <w:t xml:space="preserve"> </w:t>
      </w:r>
      <w:r w:rsidR="00CB3EDE" w:rsidRPr="00CB5F81">
        <w:rPr>
          <w:rFonts w:asciiTheme="majorHAnsi" w:hAnsiTheme="majorHAnsi" w:cstheme="majorHAnsi"/>
          <w:iCs/>
          <w:sz w:val="24"/>
          <w:szCs w:val="24"/>
          <w:lang w:val="ro-MD"/>
        </w:rPr>
        <w:t>două treimi di</w:t>
      </w:r>
      <w:r w:rsidRPr="00CB5F81">
        <w:rPr>
          <w:rFonts w:asciiTheme="majorHAnsi" w:hAnsiTheme="majorHAnsi" w:cstheme="majorHAnsi"/>
          <w:iCs/>
          <w:sz w:val="24"/>
          <w:szCs w:val="24"/>
          <w:lang w:val="ro-MD"/>
        </w:rPr>
        <w:t xml:space="preserve">n numărul total al facilităților administrate de organul fiscal, </w:t>
      </w:r>
      <w:r w:rsidR="00CA5DAC" w:rsidRPr="00CB5F81">
        <w:rPr>
          <w:rFonts w:asciiTheme="majorHAnsi" w:hAnsiTheme="majorHAnsi" w:cstheme="majorHAnsi"/>
          <w:iCs/>
          <w:sz w:val="24"/>
          <w:szCs w:val="24"/>
          <w:lang w:val="ro-MD"/>
        </w:rPr>
        <w:t>ceea ce nu</w:t>
      </w:r>
      <w:r w:rsidR="00EC1EAF">
        <w:rPr>
          <w:rFonts w:asciiTheme="majorHAnsi" w:hAnsiTheme="majorHAnsi" w:cstheme="majorHAnsi"/>
          <w:iCs/>
          <w:sz w:val="24"/>
          <w:szCs w:val="24"/>
          <w:lang w:val="ro-MD"/>
        </w:rPr>
        <w:t xml:space="preserve"> </w:t>
      </w:r>
      <w:r w:rsidR="00CA5DAC" w:rsidRPr="00CB5F81">
        <w:rPr>
          <w:rFonts w:asciiTheme="majorHAnsi" w:hAnsiTheme="majorHAnsi" w:cstheme="majorHAnsi"/>
          <w:iCs/>
          <w:sz w:val="24"/>
          <w:szCs w:val="24"/>
          <w:lang w:val="ro-MD"/>
        </w:rPr>
        <w:t xml:space="preserve">asigură transparența în utilizarea resurselor statului, </w:t>
      </w:r>
      <w:r w:rsidR="00B12799" w:rsidRPr="00CB5F81">
        <w:rPr>
          <w:rFonts w:asciiTheme="majorHAnsi" w:hAnsiTheme="majorHAnsi" w:cstheme="majorHAnsi"/>
          <w:iCs/>
          <w:sz w:val="24"/>
          <w:szCs w:val="24"/>
          <w:lang w:val="ro-MD"/>
        </w:rPr>
        <w:t xml:space="preserve">dar și </w:t>
      </w:r>
      <w:r w:rsidR="00C0548E">
        <w:rPr>
          <w:rFonts w:asciiTheme="majorHAnsi" w:hAnsiTheme="majorHAnsi" w:cstheme="majorHAnsi"/>
          <w:iCs/>
          <w:sz w:val="24"/>
          <w:szCs w:val="24"/>
          <w:lang w:val="ro-MD"/>
        </w:rPr>
        <w:t>rămânând</w:t>
      </w:r>
      <w:r w:rsidR="00CB3EDE" w:rsidRPr="002F158B">
        <w:rPr>
          <w:rFonts w:asciiTheme="majorHAnsi" w:hAnsiTheme="majorHAnsi" w:cstheme="majorHAnsi"/>
          <w:iCs/>
          <w:sz w:val="24"/>
          <w:szCs w:val="24"/>
          <w:lang w:val="ro-MD"/>
        </w:rPr>
        <w:t xml:space="preserve"> </w:t>
      </w:r>
      <w:r w:rsidR="00C0548E">
        <w:rPr>
          <w:rFonts w:asciiTheme="majorHAnsi" w:hAnsiTheme="majorHAnsi" w:cstheme="majorHAnsi"/>
          <w:iCs/>
          <w:sz w:val="24"/>
          <w:szCs w:val="24"/>
          <w:lang w:val="ro-MD"/>
        </w:rPr>
        <w:t xml:space="preserve"> parțial realizată sarcina</w:t>
      </w:r>
      <w:r w:rsidR="00EC1EAF">
        <w:rPr>
          <w:rFonts w:asciiTheme="majorHAnsi" w:hAnsiTheme="majorHAnsi" w:cstheme="majorHAnsi"/>
          <w:iCs/>
          <w:sz w:val="24"/>
          <w:szCs w:val="24"/>
          <w:lang w:val="ro-MD"/>
        </w:rPr>
        <w:t xml:space="preserve"> </w:t>
      </w:r>
      <w:r w:rsidR="00C0548E">
        <w:rPr>
          <w:rFonts w:asciiTheme="majorHAnsi" w:hAnsiTheme="majorHAnsi" w:cstheme="majorHAnsi"/>
          <w:iCs/>
          <w:sz w:val="24"/>
          <w:szCs w:val="24"/>
          <w:lang w:val="ro-MD"/>
        </w:rPr>
        <w:t>delegată</w:t>
      </w:r>
      <w:r w:rsidR="00CB3EDE" w:rsidRPr="00CB5F81">
        <w:rPr>
          <w:rFonts w:asciiTheme="majorHAnsi" w:hAnsiTheme="majorHAnsi" w:cstheme="majorHAnsi"/>
          <w:iCs/>
          <w:sz w:val="24"/>
          <w:szCs w:val="24"/>
          <w:lang w:val="ro-MD"/>
        </w:rPr>
        <w:t xml:space="preserve"> de Guvern către MF</w:t>
      </w:r>
      <w:r w:rsidR="00EC1EAF">
        <w:rPr>
          <w:rFonts w:asciiTheme="majorHAnsi" w:hAnsiTheme="majorHAnsi" w:cstheme="majorHAnsi"/>
          <w:iCs/>
          <w:sz w:val="24"/>
          <w:szCs w:val="24"/>
          <w:lang w:val="ro-MD"/>
        </w:rPr>
        <w:t xml:space="preserve"> </w:t>
      </w:r>
      <w:r w:rsidR="00CB3EDE" w:rsidRPr="00CB5F81">
        <w:rPr>
          <w:rFonts w:asciiTheme="majorHAnsi" w:hAnsiTheme="majorHAnsi" w:cstheme="majorHAnsi"/>
          <w:iCs/>
          <w:sz w:val="24"/>
          <w:szCs w:val="24"/>
          <w:lang w:val="ro-MD"/>
        </w:rPr>
        <w:t>și autoritățile din subordine;</w:t>
      </w:r>
      <w:r w:rsidR="00EC1EAF">
        <w:rPr>
          <w:rFonts w:asciiTheme="majorHAnsi" w:hAnsiTheme="majorHAnsi" w:cstheme="majorHAnsi"/>
          <w:iCs/>
          <w:sz w:val="24"/>
          <w:szCs w:val="24"/>
          <w:lang w:val="ro-MD"/>
        </w:rPr>
        <w:t xml:space="preserve"> </w:t>
      </w:r>
    </w:p>
    <w:p w:rsidR="00A37418" w:rsidRPr="00CB5F81" w:rsidRDefault="00A37418" w:rsidP="001A6761">
      <w:pPr>
        <w:pStyle w:val="ListParagraph"/>
        <w:numPr>
          <w:ilvl w:val="0"/>
          <w:numId w:val="19"/>
        </w:numPr>
        <w:shd w:val="clear" w:color="auto" w:fill="FFFFFF"/>
        <w:spacing w:after="120"/>
        <w:ind w:left="450" w:hanging="270"/>
        <w:jc w:val="both"/>
        <w:rPr>
          <w:rFonts w:asciiTheme="majorHAnsi" w:hAnsiTheme="majorHAnsi" w:cstheme="majorHAnsi"/>
          <w:sz w:val="24"/>
          <w:szCs w:val="24"/>
          <w:lang w:val="ro-MD"/>
        </w:rPr>
      </w:pPr>
      <w:r w:rsidRPr="00CB5F81">
        <w:rPr>
          <w:rFonts w:asciiTheme="majorHAnsi" w:hAnsiTheme="majorHAnsi" w:cstheme="majorHAnsi"/>
          <w:iCs/>
          <w:sz w:val="24"/>
          <w:szCs w:val="24"/>
          <w:lang w:val="ro-MD"/>
        </w:rPr>
        <w:t>Existența unor erori semnificative în procesul de estimare</w:t>
      </w:r>
      <w:r w:rsidR="00CA5DAC" w:rsidRPr="00CB5F81">
        <w:rPr>
          <w:rFonts w:asciiTheme="majorHAnsi" w:hAnsiTheme="majorHAnsi" w:cstheme="majorHAnsi"/>
          <w:iCs/>
          <w:sz w:val="24"/>
          <w:szCs w:val="24"/>
          <w:lang w:val="ro-MD"/>
        </w:rPr>
        <w:t xml:space="preserve"> de către SFS a </w:t>
      </w:r>
      <w:r w:rsidR="00AA0B77" w:rsidRPr="00CB5F81">
        <w:rPr>
          <w:rFonts w:asciiTheme="majorHAnsi" w:hAnsiTheme="majorHAnsi" w:cstheme="majorHAnsi"/>
          <w:iCs/>
          <w:sz w:val="24"/>
          <w:szCs w:val="24"/>
          <w:lang w:val="ro-MD"/>
        </w:rPr>
        <w:t>costurilor</w:t>
      </w:r>
      <w:r w:rsidR="00CA5DAC" w:rsidRPr="00CB5F81">
        <w:rPr>
          <w:rFonts w:asciiTheme="majorHAnsi" w:hAnsiTheme="majorHAnsi" w:cstheme="majorHAnsi"/>
          <w:iCs/>
          <w:sz w:val="24"/>
          <w:szCs w:val="24"/>
          <w:lang w:val="ro-MD"/>
        </w:rPr>
        <w:t xml:space="preserve"> bugetare pentru </w:t>
      </w:r>
      <w:r w:rsidR="00D65A48" w:rsidRPr="00CB5F81">
        <w:rPr>
          <w:rFonts w:asciiTheme="majorHAnsi" w:hAnsiTheme="majorHAnsi" w:cstheme="majorHAnsi"/>
          <w:iCs/>
          <w:sz w:val="24"/>
          <w:szCs w:val="24"/>
          <w:lang w:val="ro-MD"/>
        </w:rPr>
        <w:t xml:space="preserve">alte </w:t>
      </w:r>
      <w:r w:rsidR="00B21E63" w:rsidRPr="00CB5F81">
        <w:rPr>
          <w:rFonts w:asciiTheme="majorHAnsi" w:hAnsiTheme="majorHAnsi" w:cstheme="majorHAnsi"/>
          <w:iCs/>
          <w:sz w:val="24"/>
          <w:szCs w:val="24"/>
          <w:lang w:val="ro-MD"/>
        </w:rPr>
        <w:t>76</w:t>
      </w:r>
      <w:r w:rsidR="00CA5DAC" w:rsidRPr="00CB5F81">
        <w:rPr>
          <w:rFonts w:asciiTheme="majorHAnsi" w:hAnsiTheme="majorHAnsi" w:cstheme="majorHAnsi"/>
          <w:iCs/>
          <w:sz w:val="24"/>
          <w:szCs w:val="24"/>
          <w:lang w:val="ro-MD"/>
        </w:rPr>
        <w:t xml:space="preserve"> </w:t>
      </w:r>
      <w:r w:rsidR="00B4467C">
        <w:rPr>
          <w:rFonts w:asciiTheme="majorHAnsi" w:hAnsiTheme="majorHAnsi" w:cstheme="majorHAnsi"/>
          <w:iCs/>
          <w:sz w:val="24"/>
          <w:szCs w:val="24"/>
          <w:lang w:val="ro-MD"/>
        </w:rPr>
        <w:t xml:space="preserve">de </w:t>
      </w:r>
      <w:r w:rsidR="00CA5DAC" w:rsidRPr="00CB5F81">
        <w:rPr>
          <w:rFonts w:asciiTheme="majorHAnsi" w:hAnsiTheme="majorHAnsi" w:cstheme="majorHAnsi"/>
          <w:iCs/>
          <w:sz w:val="24"/>
          <w:szCs w:val="24"/>
          <w:lang w:val="ro-MD"/>
        </w:rPr>
        <w:t>facilități</w:t>
      </w:r>
      <w:r w:rsidR="00AA0B77" w:rsidRPr="00CB5F81">
        <w:rPr>
          <w:rFonts w:asciiTheme="majorHAnsi" w:hAnsiTheme="majorHAnsi" w:cstheme="majorHAnsi"/>
          <w:iCs/>
          <w:sz w:val="24"/>
          <w:szCs w:val="24"/>
          <w:lang w:val="ro-MD"/>
        </w:rPr>
        <w:t xml:space="preserve"> </w:t>
      </w:r>
      <w:r w:rsidR="00D65A48" w:rsidRPr="00CB5F81">
        <w:rPr>
          <w:rFonts w:asciiTheme="majorHAnsi" w:hAnsiTheme="majorHAnsi" w:cstheme="majorHAnsi"/>
          <w:iCs/>
          <w:sz w:val="24"/>
          <w:szCs w:val="24"/>
          <w:lang w:val="ro-MD"/>
        </w:rPr>
        <w:t>administrate</w:t>
      </w:r>
      <w:r w:rsidR="006422E4">
        <w:rPr>
          <w:rFonts w:asciiTheme="majorHAnsi" w:hAnsiTheme="majorHAnsi" w:cstheme="majorHAnsi"/>
          <w:iCs/>
          <w:sz w:val="24"/>
          <w:szCs w:val="24"/>
          <w:lang w:val="ro-MD"/>
        </w:rPr>
        <w:t>;</w:t>
      </w:r>
    </w:p>
    <w:p w:rsidR="00CE43D6" w:rsidRPr="00CB5F81" w:rsidRDefault="00CE43D6" w:rsidP="001A6761">
      <w:pPr>
        <w:pStyle w:val="ListParagraph"/>
        <w:numPr>
          <w:ilvl w:val="0"/>
          <w:numId w:val="19"/>
        </w:numPr>
        <w:shd w:val="clear" w:color="auto" w:fill="FFFFFF"/>
        <w:spacing w:after="120"/>
        <w:ind w:left="450" w:hanging="27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Neevaluarea eficacității și eficienței</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acordării facilităților, prin ce s-a realizat</w:t>
      </w:r>
      <w:r w:rsidR="00C0548E">
        <w:rPr>
          <w:rFonts w:asciiTheme="majorHAnsi" w:hAnsiTheme="majorHAnsi" w:cstheme="majorHAnsi"/>
          <w:sz w:val="24"/>
          <w:szCs w:val="24"/>
          <w:lang w:val="ro-MD"/>
        </w:rPr>
        <w:t xml:space="preserve"> parțial </w:t>
      </w:r>
      <w:r w:rsidRPr="00CB5F81">
        <w:rPr>
          <w:rFonts w:asciiTheme="majorHAnsi" w:hAnsiTheme="majorHAnsi" w:cstheme="majorHAnsi"/>
          <w:sz w:val="24"/>
          <w:szCs w:val="24"/>
          <w:lang w:val="ro-MD"/>
        </w:rPr>
        <w:t xml:space="preserve"> și obiectivul stabilit în Planul de acțiuni al Guvernului pentru anii 2020-2023 privind </w:t>
      </w:r>
      <w:r w:rsidRPr="00CB5F81">
        <w:rPr>
          <w:rFonts w:asciiTheme="majorHAnsi" w:hAnsiTheme="majorHAnsi" w:cstheme="majorHAnsi"/>
          <w:i/>
          <w:sz w:val="24"/>
          <w:szCs w:val="24"/>
          <w:lang w:val="ro-MD"/>
        </w:rPr>
        <w:t>evaluarea eficacității facilităților existente și introducerea noilor tipuri de subvenții pentru stimularea dezvoltării sustenabile a economiei și creșterea veniturilor la buget</w:t>
      </w:r>
      <w:r w:rsidRPr="00CB5F81">
        <w:rPr>
          <w:rFonts w:asciiTheme="majorHAnsi" w:hAnsiTheme="majorHAnsi" w:cstheme="majorHAnsi"/>
          <w:sz w:val="24"/>
          <w:szCs w:val="24"/>
          <w:lang w:val="ro-MD"/>
        </w:rPr>
        <w:t>;</w:t>
      </w:r>
    </w:p>
    <w:p w:rsidR="0067038E" w:rsidRPr="002F158B" w:rsidRDefault="00AA0B77" w:rsidP="001A6761">
      <w:pPr>
        <w:pStyle w:val="ListParagraph"/>
        <w:numPr>
          <w:ilvl w:val="0"/>
          <w:numId w:val="19"/>
        </w:numPr>
        <w:shd w:val="clear" w:color="auto" w:fill="FFFFFF"/>
        <w:spacing w:after="120"/>
        <w:ind w:left="450" w:hanging="27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Lipsa conlucrări</w:t>
      </w:r>
      <w:r w:rsidR="00B4467C">
        <w:rPr>
          <w:rFonts w:asciiTheme="majorHAnsi" w:hAnsiTheme="majorHAnsi" w:cstheme="majorHAnsi"/>
          <w:sz w:val="24"/>
          <w:szCs w:val="24"/>
          <w:lang w:val="ro-MD"/>
        </w:rPr>
        <w:t>i</w:t>
      </w:r>
      <w:r w:rsidRPr="00CB5F81">
        <w:rPr>
          <w:rFonts w:asciiTheme="majorHAnsi" w:hAnsiTheme="majorHAnsi" w:cstheme="majorHAnsi"/>
          <w:sz w:val="24"/>
          <w:szCs w:val="24"/>
          <w:lang w:val="ro-MD"/>
        </w:rPr>
        <w:t xml:space="preserve"> și comunicări</w:t>
      </w:r>
      <w:r w:rsidR="00B4467C">
        <w:rPr>
          <w:rFonts w:asciiTheme="majorHAnsi" w:hAnsiTheme="majorHAnsi" w:cstheme="majorHAnsi"/>
          <w:sz w:val="24"/>
          <w:szCs w:val="24"/>
          <w:lang w:val="ro-MD"/>
        </w:rPr>
        <w:t>i</w:t>
      </w:r>
      <w:r w:rsidRPr="00CB5F81">
        <w:rPr>
          <w:rFonts w:asciiTheme="majorHAnsi" w:hAnsiTheme="majorHAnsi" w:cstheme="majorHAnsi"/>
          <w:sz w:val="24"/>
          <w:szCs w:val="24"/>
          <w:lang w:val="ro-MD"/>
        </w:rPr>
        <w:t xml:space="preserve"> între autoritățile statului, </w:t>
      </w:r>
      <w:r w:rsidR="00B4467C">
        <w:rPr>
          <w:rFonts w:asciiTheme="majorHAnsi" w:hAnsiTheme="majorHAnsi" w:cstheme="majorHAnsi"/>
          <w:sz w:val="24"/>
          <w:szCs w:val="24"/>
          <w:lang w:val="ro-MD"/>
        </w:rPr>
        <w:t>precum</w:t>
      </w:r>
      <w:r w:rsidRPr="00CB5F81">
        <w:rPr>
          <w:rFonts w:asciiTheme="majorHAnsi" w:hAnsiTheme="majorHAnsi" w:cstheme="majorHAnsi"/>
          <w:sz w:val="24"/>
          <w:szCs w:val="24"/>
          <w:lang w:val="ro-MD"/>
        </w:rPr>
        <w:t xml:space="preserve"> și</w:t>
      </w:r>
      <w:r w:rsidR="00EC1EAF">
        <w:rPr>
          <w:rFonts w:asciiTheme="majorHAnsi" w:hAnsiTheme="majorHAnsi" w:cstheme="majorHAnsi"/>
          <w:sz w:val="24"/>
          <w:szCs w:val="24"/>
          <w:lang w:val="ro-MD"/>
        </w:rPr>
        <w:t xml:space="preserve"> </w:t>
      </w:r>
      <w:r w:rsidR="00982F85">
        <w:rPr>
          <w:rFonts w:asciiTheme="majorHAnsi" w:hAnsiTheme="majorHAnsi" w:cstheme="majorHAnsi"/>
          <w:sz w:val="24"/>
          <w:szCs w:val="24"/>
          <w:lang w:val="ro-MD"/>
        </w:rPr>
        <w:t>i</w:t>
      </w:r>
      <w:r w:rsidR="004E1EF7" w:rsidRPr="00CB5F81">
        <w:rPr>
          <w:rFonts w:asciiTheme="majorHAnsi" w:hAnsiTheme="majorHAnsi" w:cstheme="majorHAnsi"/>
          <w:sz w:val="24"/>
          <w:szCs w:val="24"/>
          <w:lang w:val="ro-MD"/>
        </w:rPr>
        <w:t>responsabilit</w:t>
      </w:r>
      <w:r w:rsidR="00982F85">
        <w:rPr>
          <w:rFonts w:asciiTheme="majorHAnsi" w:hAnsiTheme="majorHAnsi" w:cstheme="majorHAnsi"/>
          <w:sz w:val="24"/>
          <w:szCs w:val="24"/>
          <w:lang w:val="ro-MD"/>
        </w:rPr>
        <w:t xml:space="preserve">atea </w:t>
      </w:r>
      <w:r w:rsidR="00B4467C">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 xml:space="preserve"> acestora</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a</w:t>
      </w:r>
      <w:r w:rsidR="00982F85">
        <w:rPr>
          <w:rFonts w:asciiTheme="majorHAnsi" w:hAnsiTheme="majorHAnsi" w:cstheme="majorHAnsi"/>
          <w:sz w:val="24"/>
          <w:szCs w:val="24"/>
          <w:lang w:val="ro-MD"/>
        </w:rPr>
        <w:t>u</w:t>
      </w:r>
      <w:r w:rsidRPr="00CB5F81">
        <w:rPr>
          <w:rFonts w:asciiTheme="majorHAnsi" w:hAnsiTheme="majorHAnsi" w:cstheme="majorHAnsi"/>
          <w:sz w:val="24"/>
          <w:szCs w:val="24"/>
          <w:lang w:val="ro-MD"/>
        </w:rPr>
        <w:t xml:space="preserve"> creat condiții </w:t>
      </w:r>
      <w:r w:rsidR="00B4467C">
        <w:rPr>
          <w:rFonts w:asciiTheme="majorHAnsi" w:hAnsiTheme="majorHAnsi" w:cstheme="majorHAnsi"/>
          <w:sz w:val="24"/>
          <w:szCs w:val="24"/>
          <w:lang w:val="ro-MD"/>
        </w:rPr>
        <w:t>de</w:t>
      </w:r>
      <w:r w:rsidRPr="00CB5F81">
        <w:rPr>
          <w:rFonts w:asciiTheme="majorHAnsi" w:hAnsiTheme="majorHAnsi" w:cstheme="majorHAnsi"/>
          <w:sz w:val="24"/>
          <w:szCs w:val="24"/>
          <w:lang w:val="ro-MD"/>
        </w:rPr>
        <w:t xml:space="preserve"> </w:t>
      </w:r>
      <w:r w:rsidR="00B12799" w:rsidRPr="00CB5F81">
        <w:rPr>
          <w:rFonts w:asciiTheme="majorHAnsi" w:hAnsiTheme="majorHAnsi" w:cstheme="majorHAnsi"/>
          <w:sz w:val="24"/>
          <w:szCs w:val="24"/>
          <w:lang w:val="ro-MD"/>
        </w:rPr>
        <w:t>acordare</w:t>
      </w:r>
      <w:r w:rsidR="00B4467C">
        <w:rPr>
          <w:rFonts w:asciiTheme="majorHAnsi" w:hAnsiTheme="majorHAnsi" w:cstheme="majorHAnsi"/>
          <w:sz w:val="24"/>
          <w:szCs w:val="24"/>
          <w:lang w:val="ro-MD"/>
        </w:rPr>
        <w:t xml:space="preserve"> </w:t>
      </w:r>
      <w:r w:rsidR="00B12799" w:rsidRPr="00CB5F81">
        <w:rPr>
          <w:rFonts w:asciiTheme="majorHAnsi" w:hAnsiTheme="majorHAnsi" w:cstheme="majorHAnsi"/>
          <w:sz w:val="24"/>
          <w:szCs w:val="24"/>
          <w:lang w:val="ro-MD"/>
        </w:rPr>
        <w:t>a</w:t>
      </w:r>
      <w:r w:rsidR="004E1EF7" w:rsidRPr="00CB5F81">
        <w:rPr>
          <w:rFonts w:asciiTheme="majorHAnsi" w:hAnsiTheme="majorHAnsi" w:cstheme="majorHAnsi"/>
          <w:sz w:val="24"/>
          <w:szCs w:val="24"/>
          <w:lang w:val="ro-MD"/>
        </w:rPr>
        <w:t xml:space="preserve"> unor </w:t>
      </w:r>
      <w:r w:rsidR="00B12799" w:rsidRPr="00CB5F81">
        <w:rPr>
          <w:rFonts w:asciiTheme="majorHAnsi" w:hAnsiTheme="majorHAnsi" w:cstheme="majorHAnsi"/>
          <w:sz w:val="24"/>
          <w:szCs w:val="24"/>
          <w:lang w:val="ro-MD"/>
        </w:rPr>
        <w:t>facilități</w:t>
      </w:r>
      <w:r w:rsidR="004E1EF7" w:rsidRPr="00CB5F81">
        <w:rPr>
          <w:rFonts w:asciiTheme="majorHAnsi" w:hAnsiTheme="majorHAnsi" w:cstheme="majorHAnsi"/>
          <w:sz w:val="24"/>
          <w:szCs w:val="24"/>
          <w:lang w:val="ro-MD"/>
        </w:rPr>
        <w:t xml:space="preserve"> ilegale,</w:t>
      </w:r>
      <w:r w:rsidR="007819C8" w:rsidRPr="00CB5F81">
        <w:rPr>
          <w:rFonts w:asciiTheme="majorHAnsi" w:hAnsiTheme="majorHAnsi" w:cstheme="majorHAnsi"/>
          <w:sz w:val="24"/>
          <w:szCs w:val="24"/>
          <w:lang w:val="ro-MD"/>
        </w:rPr>
        <w:t xml:space="preserve"> dar </w:t>
      </w:r>
      <w:r w:rsidR="007819C8" w:rsidRPr="002F158B">
        <w:rPr>
          <w:rFonts w:asciiTheme="majorHAnsi" w:hAnsiTheme="majorHAnsi" w:cstheme="majorHAnsi"/>
          <w:sz w:val="24"/>
          <w:szCs w:val="24"/>
          <w:lang w:val="ro-MD"/>
        </w:rPr>
        <w:t xml:space="preserve">și </w:t>
      </w:r>
      <w:r w:rsidR="0006575F" w:rsidRPr="002F158B">
        <w:rPr>
          <w:rFonts w:asciiTheme="majorHAnsi" w:hAnsiTheme="majorHAnsi" w:cstheme="majorHAnsi"/>
          <w:sz w:val="24"/>
          <w:szCs w:val="24"/>
          <w:lang w:val="ro-MD"/>
        </w:rPr>
        <w:t xml:space="preserve">a </w:t>
      </w:r>
      <w:r w:rsidR="007819C8" w:rsidRPr="002F158B">
        <w:rPr>
          <w:rFonts w:asciiTheme="majorHAnsi" w:hAnsiTheme="majorHAnsi" w:cstheme="majorHAnsi"/>
          <w:sz w:val="24"/>
          <w:szCs w:val="24"/>
          <w:lang w:val="ro-MD"/>
        </w:rPr>
        <w:t>celor</w:t>
      </w:r>
      <w:r w:rsidR="00EC1EAF" w:rsidRPr="002F158B">
        <w:rPr>
          <w:rFonts w:asciiTheme="majorHAnsi" w:hAnsiTheme="majorHAnsi" w:cstheme="majorHAnsi"/>
          <w:sz w:val="24"/>
          <w:szCs w:val="24"/>
          <w:lang w:val="ro-MD"/>
        </w:rPr>
        <w:t xml:space="preserve"> </w:t>
      </w:r>
      <w:r w:rsidR="004E1EF7" w:rsidRPr="002F158B">
        <w:rPr>
          <w:rFonts w:asciiTheme="majorHAnsi" w:hAnsiTheme="majorHAnsi" w:cstheme="majorHAnsi"/>
          <w:sz w:val="24"/>
          <w:szCs w:val="24"/>
          <w:lang w:val="ro-MD"/>
        </w:rPr>
        <w:t>ce nu generează impact, benefi</w:t>
      </w:r>
      <w:r w:rsidR="004E1EF7" w:rsidRPr="002F158B">
        <w:rPr>
          <w:rFonts w:asciiTheme="majorHAnsi" w:hAnsiTheme="majorHAnsi" w:cstheme="majorHAnsi"/>
          <w:sz w:val="24"/>
          <w:szCs w:val="24"/>
          <w:u w:val="single"/>
          <w:lang w:val="ro-MD"/>
        </w:rPr>
        <w:t>c</w:t>
      </w:r>
      <w:r w:rsidR="004E1EF7" w:rsidRPr="002F158B">
        <w:rPr>
          <w:rFonts w:asciiTheme="majorHAnsi" w:hAnsiTheme="majorHAnsi" w:cstheme="majorHAnsi"/>
          <w:sz w:val="24"/>
          <w:szCs w:val="24"/>
          <w:lang w:val="ro-MD"/>
        </w:rPr>
        <w:t xml:space="preserve">iari fiind </w:t>
      </w:r>
      <w:r w:rsidR="00B12799" w:rsidRPr="002F158B">
        <w:rPr>
          <w:rFonts w:asciiTheme="majorHAnsi" w:hAnsiTheme="majorHAnsi" w:cstheme="majorHAnsi"/>
          <w:sz w:val="24"/>
          <w:szCs w:val="24"/>
          <w:lang w:val="ro-MD"/>
        </w:rPr>
        <w:t>agenți</w:t>
      </w:r>
      <w:r w:rsidR="0006575F" w:rsidRPr="002F158B">
        <w:rPr>
          <w:rFonts w:asciiTheme="majorHAnsi" w:hAnsiTheme="majorHAnsi" w:cstheme="majorHAnsi"/>
          <w:sz w:val="24"/>
          <w:szCs w:val="24"/>
          <w:lang w:val="ro-MD"/>
        </w:rPr>
        <w:t>i</w:t>
      </w:r>
      <w:r w:rsidR="00B12799" w:rsidRPr="002F158B">
        <w:rPr>
          <w:rFonts w:asciiTheme="majorHAnsi" w:hAnsiTheme="majorHAnsi" w:cstheme="majorHAnsi"/>
          <w:sz w:val="24"/>
          <w:szCs w:val="24"/>
          <w:lang w:val="ro-MD"/>
        </w:rPr>
        <w:t xml:space="preserve"> economici c</w:t>
      </w:r>
      <w:r w:rsidR="00B4467C">
        <w:rPr>
          <w:rFonts w:asciiTheme="majorHAnsi" w:hAnsiTheme="majorHAnsi" w:cstheme="majorHAnsi"/>
          <w:sz w:val="24"/>
          <w:szCs w:val="24"/>
          <w:lang w:val="ro-MD"/>
        </w:rPr>
        <w:t>ar</w:t>
      </w:r>
      <w:r w:rsidR="00B12799" w:rsidRPr="002F158B">
        <w:rPr>
          <w:rFonts w:asciiTheme="majorHAnsi" w:hAnsiTheme="majorHAnsi" w:cstheme="majorHAnsi"/>
          <w:sz w:val="24"/>
          <w:szCs w:val="24"/>
          <w:lang w:val="ro-MD"/>
        </w:rPr>
        <w:t>e</w:t>
      </w:r>
      <w:r w:rsidR="00EC1EAF" w:rsidRPr="002F158B">
        <w:rPr>
          <w:rFonts w:asciiTheme="majorHAnsi" w:hAnsiTheme="majorHAnsi" w:cstheme="majorHAnsi"/>
          <w:sz w:val="24"/>
          <w:szCs w:val="24"/>
          <w:lang w:val="ro-MD"/>
        </w:rPr>
        <w:t xml:space="preserve"> </w:t>
      </w:r>
      <w:r w:rsidR="00C5013A" w:rsidRPr="002F158B">
        <w:rPr>
          <w:rFonts w:asciiTheme="majorHAnsi" w:hAnsiTheme="majorHAnsi" w:cstheme="majorHAnsi"/>
          <w:sz w:val="24"/>
          <w:szCs w:val="24"/>
          <w:lang w:val="ro-MD"/>
        </w:rPr>
        <w:t xml:space="preserve">nu </w:t>
      </w:r>
      <w:r w:rsidR="004E1EF7" w:rsidRPr="002F158B">
        <w:rPr>
          <w:rFonts w:asciiTheme="majorHAnsi" w:hAnsiTheme="majorHAnsi" w:cstheme="majorHAnsi"/>
          <w:sz w:val="24"/>
          <w:szCs w:val="24"/>
          <w:lang w:val="ro-MD"/>
        </w:rPr>
        <w:t>contribuie la buget</w:t>
      </w:r>
      <w:r w:rsidR="00C5013A" w:rsidRPr="002F158B">
        <w:rPr>
          <w:rFonts w:asciiTheme="majorHAnsi" w:hAnsiTheme="majorHAnsi" w:cstheme="majorHAnsi"/>
          <w:sz w:val="24"/>
          <w:szCs w:val="24"/>
          <w:lang w:val="ro-MD"/>
        </w:rPr>
        <w:t xml:space="preserve"> prin achitarea impozitelor și taxelor</w:t>
      </w:r>
      <w:r w:rsidR="00B4467C">
        <w:rPr>
          <w:rFonts w:asciiTheme="majorHAnsi" w:hAnsiTheme="majorHAnsi" w:cstheme="majorHAnsi"/>
          <w:sz w:val="24"/>
          <w:szCs w:val="24"/>
          <w:lang w:val="ro-MD"/>
        </w:rPr>
        <w:t>;</w:t>
      </w:r>
    </w:p>
    <w:p w:rsidR="0067038E" w:rsidRPr="00CB5F81" w:rsidRDefault="00A37418" w:rsidP="001A6761">
      <w:pPr>
        <w:pStyle w:val="ListParagraph"/>
        <w:numPr>
          <w:ilvl w:val="0"/>
          <w:numId w:val="19"/>
        </w:numPr>
        <w:shd w:val="clear" w:color="auto" w:fill="FFFFFF"/>
        <w:spacing w:after="120"/>
        <w:ind w:left="450" w:hanging="27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Î</w:t>
      </w:r>
      <w:r w:rsidR="00D14D32" w:rsidRPr="00CB5F81">
        <w:rPr>
          <w:rFonts w:asciiTheme="majorHAnsi" w:hAnsiTheme="majorHAnsi" w:cstheme="majorHAnsi"/>
          <w:sz w:val="24"/>
          <w:szCs w:val="24"/>
          <w:lang w:val="ro-MD"/>
        </w:rPr>
        <w:t>n mare par</w:t>
      </w:r>
      <w:r w:rsidR="00CB3EDE" w:rsidRPr="00CB5F81">
        <w:rPr>
          <w:rFonts w:asciiTheme="majorHAnsi" w:hAnsiTheme="majorHAnsi" w:cstheme="majorHAnsi"/>
          <w:sz w:val="24"/>
          <w:szCs w:val="24"/>
          <w:lang w:val="ro-MD"/>
        </w:rPr>
        <w:t>t</w:t>
      </w:r>
      <w:r w:rsidR="00D14D32" w:rsidRPr="00CB5F81">
        <w:rPr>
          <w:rFonts w:asciiTheme="majorHAnsi" w:hAnsiTheme="majorHAnsi" w:cstheme="majorHAnsi"/>
          <w:sz w:val="24"/>
          <w:szCs w:val="24"/>
          <w:lang w:val="ro-MD"/>
        </w:rPr>
        <w:t>e</w:t>
      </w:r>
      <w:r w:rsidR="00B4467C">
        <w:rPr>
          <w:rFonts w:asciiTheme="majorHAnsi" w:hAnsiTheme="majorHAnsi" w:cstheme="majorHAnsi"/>
          <w:sz w:val="24"/>
          <w:szCs w:val="24"/>
          <w:lang w:val="ro-MD"/>
        </w:rPr>
        <w:t>,</w:t>
      </w:r>
      <w:r w:rsidR="00EC1EAF">
        <w:rPr>
          <w:rFonts w:asciiTheme="majorHAnsi" w:hAnsiTheme="majorHAnsi" w:cstheme="majorHAnsi"/>
          <w:sz w:val="24"/>
          <w:szCs w:val="24"/>
          <w:lang w:val="ro-MD"/>
        </w:rPr>
        <w:t xml:space="preserve"> </w:t>
      </w:r>
      <w:r w:rsidR="00D14D32" w:rsidRPr="00CB5F81">
        <w:rPr>
          <w:rFonts w:asciiTheme="majorHAnsi" w:hAnsiTheme="majorHAnsi" w:cstheme="majorHAnsi"/>
          <w:sz w:val="24"/>
          <w:szCs w:val="24"/>
          <w:lang w:val="ro-MD"/>
        </w:rPr>
        <w:t>carențele constatate de audit au fost cauzate de lipsa</w:t>
      </w:r>
      <w:r w:rsidR="004E1EF7" w:rsidRPr="00CB5F81">
        <w:rPr>
          <w:rFonts w:asciiTheme="majorHAnsi" w:hAnsiTheme="majorHAnsi" w:cstheme="majorHAnsi"/>
          <w:sz w:val="24"/>
          <w:szCs w:val="24"/>
          <w:lang w:val="ro-MD"/>
        </w:rPr>
        <w:t>:</w:t>
      </w:r>
    </w:p>
    <w:p w:rsidR="004E1EF7" w:rsidRPr="00CB5F81" w:rsidRDefault="00D14D32" w:rsidP="001A6761">
      <w:pPr>
        <w:pStyle w:val="ListParagraph"/>
        <w:numPr>
          <w:ilvl w:val="0"/>
          <w:numId w:val="10"/>
        </w:numPr>
        <w:shd w:val="clear" w:color="auto" w:fill="FFFFFF"/>
        <w:spacing w:after="120"/>
        <w:ind w:left="99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cadru</w:t>
      </w:r>
      <w:r w:rsidR="0067038E" w:rsidRPr="00CB5F81">
        <w:rPr>
          <w:rFonts w:asciiTheme="majorHAnsi" w:hAnsiTheme="majorHAnsi" w:cstheme="majorHAnsi"/>
          <w:sz w:val="24"/>
          <w:szCs w:val="24"/>
          <w:lang w:val="ro-MD"/>
        </w:rPr>
        <w:t>lui</w:t>
      </w:r>
      <w:r w:rsidRPr="00CB5F81">
        <w:rPr>
          <w:rFonts w:asciiTheme="majorHAnsi" w:hAnsiTheme="majorHAnsi" w:cstheme="majorHAnsi"/>
          <w:sz w:val="24"/>
          <w:szCs w:val="24"/>
          <w:lang w:val="ro-MD"/>
        </w:rPr>
        <w:t xml:space="preserve"> normativ care să reglementeze toate etapele aferente ge</w:t>
      </w:r>
      <w:r w:rsidR="004E1EF7" w:rsidRPr="00CB5F81">
        <w:rPr>
          <w:rFonts w:asciiTheme="majorHAnsi" w:hAnsiTheme="majorHAnsi" w:cstheme="majorHAnsi"/>
          <w:sz w:val="24"/>
          <w:szCs w:val="24"/>
          <w:lang w:val="ro-MD"/>
        </w:rPr>
        <w:t>stionării facilităților fiscale;</w:t>
      </w:r>
    </w:p>
    <w:p w:rsidR="004E1EF7" w:rsidRPr="00CB5F81" w:rsidRDefault="0067038E" w:rsidP="001A6761">
      <w:pPr>
        <w:pStyle w:val="ListParagraph"/>
        <w:numPr>
          <w:ilvl w:val="0"/>
          <w:numId w:val="10"/>
        </w:numPr>
        <w:shd w:val="clear" w:color="auto" w:fill="FFFFFF"/>
        <w:spacing w:after="120"/>
        <w:ind w:left="99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normelor</w:t>
      </w:r>
      <w:r w:rsidR="00544B7B" w:rsidRPr="00CB5F81">
        <w:rPr>
          <w:rFonts w:asciiTheme="majorHAnsi" w:hAnsiTheme="majorHAnsi" w:cstheme="majorHAnsi"/>
          <w:sz w:val="24"/>
          <w:szCs w:val="24"/>
          <w:lang w:val="ro-MD"/>
        </w:rPr>
        <w:t xml:space="preserve"> metodologic</w:t>
      </w:r>
      <w:r w:rsidRPr="00CB5F81">
        <w:rPr>
          <w:rFonts w:asciiTheme="majorHAnsi" w:hAnsiTheme="majorHAnsi" w:cstheme="majorHAnsi"/>
          <w:sz w:val="24"/>
          <w:szCs w:val="24"/>
          <w:lang w:val="ro-MD"/>
        </w:rPr>
        <w:t>e</w:t>
      </w:r>
      <w:r w:rsidR="00544B7B" w:rsidRPr="00CB5F81">
        <w:rPr>
          <w:rFonts w:asciiTheme="majorHAnsi" w:hAnsiTheme="majorHAnsi" w:cstheme="majorHAnsi"/>
          <w:sz w:val="24"/>
          <w:szCs w:val="24"/>
          <w:lang w:val="ro-MD"/>
        </w:rPr>
        <w:t xml:space="preserve"> intern</w:t>
      </w:r>
      <w:r w:rsidRPr="00CB5F81">
        <w:rPr>
          <w:rFonts w:asciiTheme="majorHAnsi" w:hAnsiTheme="majorHAnsi" w:cstheme="majorHAnsi"/>
          <w:sz w:val="24"/>
          <w:szCs w:val="24"/>
          <w:lang w:val="ro-MD"/>
        </w:rPr>
        <w:t>e</w:t>
      </w:r>
      <w:r w:rsidR="00544B7B" w:rsidRPr="00CB5F81">
        <w:rPr>
          <w:rFonts w:asciiTheme="majorHAnsi" w:hAnsiTheme="majorHAnsi" w:cstheme="majorHAnsi"/>
          <w:sz w:val="24"/>
          <w:szCs w:val="24"/>
          <w:lang w:val="ro-MD"/>
        </w:rPr>
        <w:t xml:space="preserve"> care ar reglementa procesele aferen</w:t>
      </w:r>
      <w:r w:rsidR="004E1EF7" w:rsidRPr="00CB5F81">
        <w:rPr>
          <w:rFonts w:asciiTheme="majorHAnsi" w:hAnsiTheme="majorHAnsi" w:cstheme="majorHAnsi"/>
          <w:sz w:val="24"/>
          <w:szCs w:val="24"/>
          <w:lang w:val="ro-MD"/>
        </w:rPr>
        <w:t xml:space="preserve">te </w:t>
      </w:r>
      <w:r w:rsidRPr="00CB5F81">
        <w:rPr>
          <w:rFonts w:asciiTheme="majorHAnsi" w:hAnsiTheme="majorHAnsi" w:cstheme="majorHAnsi"/>
          <w:sz w:val="24"/>
          <w:szCs w:val="24"/>
          <w:lang w:val="ro-MD"/>
        </w:rPr>
        <w:t xml:space="preserve">raportării </w:t>
      </w:r>
      <w:r w:rsidR="004E1EF7" w:rsidRPr="00CB5F81">
        <w:rPr>
          <w:rFonts w:asciiTheme="majorHAnsi" w:hAnsiTheme="majorHAnsi" w:cstheme="majorHAnsi"/>
          <w:sz w:val="24"/>
          <w:szCs w:val="24"/>
          <w:lang w:val="ro-MD"/>
        </w:rPr>
        <w:t>facilit</w:t>
      </w:r>
      <w:r w:rsidR="00B4467C">
        <w:rPr>
          <w:rFonts w:asciiTheme="majorHAnsi" w:hAnsiTheme="majorHAnsi" w:cstheme="majorHAnsi"/>
          <w:sz w:val="24"/>
          <w:szCs w:val="24"/>
          <w:lang w:val="ro-MD"/>
        </w:rPr>
        <w:t>ă</w:t>
      </w:r>
      <w:r w:rsidR="004E1EF7" w:rsidRPr="00CB5F81">
        <w:rPr>
          <w:rFonts w:asciiTheme="majorHAnsi" w:hAnsiTheme="majorHAnsi" w:cstheme="majorHAnsi"/>
          <w:sz w:val="24"/>
          <w:szCs w:val="24"/>
          <w:lang w:val="ro-MD"/>
        </w:rPr>
        <w:t>ților;</w:t>
      </w:r>
    </w:p>
    <w:p w:rsidR="004E1EF7" w:rsidRPr="00CB5F81" w:rsidRDefault="00544B7B" w:rsidP="001A6761">
      <w:pPr>
        <w:pStyle w:val="ListParagraph"/>
        <w:numPr>
          <w:ilvl w:val="0"/>
          <w:numId w:val="10"/>
        </w:numPr>
        <w:shd w:val="clear" w:color="auto" w:fill="FFFFFF"/>
        <w:spacing w:after="120"/>
        <w:ind w:left="99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responsabilit</w:t>
      </w:r>
      <w:r w:rsidR="00974837" w:rsidRPr="00CB5F81">
        <w:rPr>
          <w:rFonts w:asciiTheme="majorHAnsi" w:hAnsiTheme="majorHAnsi" w:cstheme="majorHAnsi"/>
          <w:sz w:val="24"/>
          <w:szCs w:val="24"/>
          <w:lang w:val="ro-MD"/>
        </w:rPr>
        <w:t>ăți</w:t>
      </w:r>
      <w:r w:rsidR="00B4467C">
        <w:rPr>
          <w:rFonts w:asciiTheme="majorHAnsi" w:hAnsiTheme="majorHAnsi" w:cstheme="majorHAnsi"/>
          <w:sz w:val="24"/>
          <w:szCs w:val="24"/>
          <w:lang w:val="ro-MD"/>
        </w:rPr>
        <w:t>i</w:t>
      </w:r>
      <w:r w:rsidRPr="00CB5F81">
        <w:rPr>
          <w:rFonts w:asciiTheme="majorHAnsi" w:hAnsiTheme="majorHAnsi" w:cstheme="majorHAnsi"/>
          <w:sz w:val="24"/>
          <w:szCs w:val="24"/>
          <w:lang w:val="ro-MD"/>
        </w:rPr>
        <w:t xml:space="preserve"> din partea autorităților statului la acordarea </w:t>
      </w:r>
      <w:r w:rsidR="004E1EF7" w:rsidRPr="00CB5F81">
        <w:rPr>
          <w:rFonts w:asciiTheme="majorHAnsi" w:hAnsiTheme="majorHAnsi" w:cstheme="majorHAnsi"/>
          <w:sz w:val="24"/>
          <w:szCs w:val="24"/>
          <w:lang w:val="ro-MD"/>
        </w:rPr>
        <w:t>facilităților</w:t>
      </w:r>
      <w:r w:rsidRPr="00CB5F81">
        <w:rPr>
          <w:rFonts w:asciiTheme="majorHAnsi" w:hAnsiTheme="majorHAnsi" w:cstheme="majorHAnsi"/>
          <w:sz w:val="24"/>
          <w:szCs w:val="24"/>
          <w:lang w:val="ro-MD"/>
        </w:rPr>
        <w:t xml:space="preserve">, precum și </w:t>
      </w:r>
      <w:r w:rsidR="00912C77">
        <w:rPr>
          <w:rFonts w:asciiTheme="majorHAnsi" w:hAnsiTheme="majorHAnsi" w:cstheme="majorHAnsi"/>
          <w:sz w:val="24"/>
          <w:szCs w:val="24"/>
          <w:lang w:val="ro-MD"/>
        </w:rPr>
        <w:t>de ne</w:t>
      </w:r>
      <w:r w:rsidRPr="00CB5F81">
        <w:rPr>
          <w:rFonts w:asciiTheme="majorHAnsi" w:hAnsiTheme="majorHAnsi" w:cstheme="majorHAnsi"/>
          <w:sz w:val="24"/>
          <w:szCs w:val="24"/>
          <w:lang w:val="ro-MD"/>
        </w:rPr>
        <w:t>întreprinder</w:t>
      </w:r>
      <w:r w:rsidR="00912C77">
        <w:rPr>
          <w:rFonts w:asciiTheme="majorHAnsi" w:hAnsiTheme="majorHAnsi" w:cstheme="majorHAnsi"/>
          <w:sz w:val="24"/>
          <w:szCs w:val="24"/>
          <w:lang w:val="ro-MD"/>
        </w:rPr>
        <w:t>ea</w:t>
      </w:r>
      <w:r w:rsidRPr="00CB5F81">
        <w:rPr>
          <w:rFonts w:asciiTheme="majorHAnsi" w:hAnsiTheme="majorHAnsi" w:cstheme="majorHAnsi"/>
          <w:sz w:val="24"/>
          <w:szCs w:val="24"/>
          <w:lang w:val="ro-MD"/>
        </w:rPr>
        <w:t xml:space="preserve"> unor acțiuni prompte privind</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anularea</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facilităților care gene</w:t>
      </w:r>
      <w:r w:rsidR="0067038E" w:rsidRPr="00CB5F81">
        <w:rPr>
          <w:rFonts w:asciiTheme="majorHAnsi" w:hAnsiTheme="majorHAnsi" w:cstheme="majorHAnsi"/>
          <w:sz w:val="24"/>
          <w:szCs w:val="24"/>
          <w:lang w:val="ro-MD"/>
        </w:rPr>
        <w:t>rează</w:t>
      </w:r>
      <w:r w:rsidRPr="00CB5F81">
        <w:rPr>
          <w:rFonts w:asciiTheme="majorHAnsi" w:hAnsiTheme="majorHAnsi" w:cstheme="majorHAnsi"/>
          <w:sz w:val="24"/>
          <w:szCs w:val="24"/>
          <w:lang w:val="ro-MD"/>
        </w:rPr>
        <w:t xml:space="preserve"> doar</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cheltuieli</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la BPN, fără a aduce</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plusvaloare</w:t>
      </w:r>
      <w:r w:rsidR="00EC1EAF">
        <w:rPr>
          <w:rFonts w:asciiTheme="majorHAnsi" w:hAnsiTheme="majorHAnsi" w:cstheme="majorHAnsi"/>
          <w:sz w:val="24"/>
          <w:szCs w:val="24"/>
          <w:lang w:val="ro-MD"/>
        </w:rPr>
        <w:t xml:space="preserve"> </w:t>
      </w:r>
      <w:r w:rsidR="00D14D32" w:rsidRPr="00CB5F81">
        <w:rPr>
          <w:rFonts w:asciiTheme="majorHAnsi" w:hAnsiTheme="majorHAnsi" w:cstheme="majorHAnsi"/>
          <w:sz w:val="24"/>
          <w:szCs w:val="24"/>
          <w:lang w:val="ro-MD"/>
        </w:rPr>
        <w:t>buget</w:t>
      </w:r>
      <w:r w:rsidRPr="00CB5F81">
        <w:rPr>
          <w:rFonts w:asciiTheme="majorHAnsi" w:hAnsiTheme="majorHAnsi" w:cstheme="majorHAnsi"/>
          <w:sz w:val="24"/>
          <w:szCs w:val="24"/>
          <w:lang w:val="ro-MD"/>
        </w:rPr>
        <w:t>ului și societății</w:t>
      </w:r>
      <w:r w:rsidR="00051424" w:rsidRPr="00CB5F81">
        <w:rPr>
          <w:rFonts w:asciiTheme="majorHAnsi" w:hAnsiTheme="majorHAnsi" w:cstheme="majorHAnsi"/>
          <w:sz w:val="24"/>
          <w:szCs w:val="24"/>
          <w:lang w:val="ro-MD"/>
        </w:rPr>
        <w:t>;</w:t>
      </w:r>
    </w:p>
    <w:p w:rsidR="00051424" w:rsidRPr="00CB5F81" w:rsidRDefault="00051424" w:rsidP="001A6761">
      <w:pPr>
        <w:pStyle w:val="ListParagraph"/>
        <w:numPr>
          <w:ilvl w:val="0"/>
          <w:numId w:val="10"/>
        </w:numPr>
        <w:shd w:val="clear" w:color="auto" w:fill="FFFFFF"/>
        <w:spacing w:after="120"/>
        <w:ind w:left="99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în cadrul SFS a unei structuri analitice care ar asigura monitorizarea corectitudinii datelor</w:t>
      </w:r>
      <w:r w:rsidR="002D6B1F" w:rsidRPr="00CB5F81">
        <w:rPr>
          <w:rFonts w:asciiTheme="majorHAnsi" w:hAnsiTheme="majorHAnsi" w:cstheme="majorHAnsi"/>
          <w:sz w:val="24"/>
          <w:szCs w:val="24"/>
          <w:lang w:val="ro-MD"/>
        </w:rPr>
        <w:t xml:space="preserve"> raportate de agenții economici</w:t>
      </w:r>
      <w:r w:rsidR="00906715" w:rsidRPr="00CB5F81">
        <w:rPr>
          <w:rFonts w:asciiTheme="majorHAnsi" w:hAnsiTheme="majorHAnsi" w:cstheme="majorHAnsi"/>
          <w:sz w:val="24"/>
          <w:szCs w:val="24"/>
          <w:lang w:val="ro-MD"/>
        </w:rPr>
        <w:t xml:space="preserve"> privind valoarea facilităților</w:t>
      </w:r>
      <w:r w:rsidR="002D6B1F" w:rsidRPr="00CB5F81">
        <w:rPr>
          <w:rFonts w:asciiTheme="majorHAnsi" w:hAnsiTheme="majorHAnsi" w:cstheme="majorHAnsi"/>
          <w:sz w:val="24"/>
          <w:szCs w:val="24"/>
          <w:lang w:val="ro-MD"/>
        </w:rPr>
        <w:t>.</w:t>
      </w:r>
    </w:p>
    <w:p w:rsidR="00E90A1B" w:rsidRDefault="004E1EF7" w:rsidP="008D20D5">
      <w:pPr>
        <w:shd w:val="clear" w:color="auto" w:fill="FFFFFF"/>
        <w:spacing w:after="120" w:line="240" w:lineRule="auto"/>
        <w:jc w:val="both"/>
        <w:rPr>
          <w:rFonts w:asciiTheme="majorHAnsi" w:hAnsiTheme="majorHAnsi" w:cstheme="majorHAnsi"/>
          <w:sz w:val="24"/>
          <w:szCs w:val="24"/>
        </w:rPr>
      </w:pPr>
      <w:r w:rsidRPr="00CB5F81">
        <w:rPr>
          <w:rFonts w:asciiTheme="majorHAnsi" w:hAnsiTheme="majorHAnsi" w:cstheme="majorHAnsi"/>
          <w:sz w:val="24"/>
          <w:szCs w:val="24"/>
        </w:rPr>
        <w:lastRenderedPageBreak/>
        <w:t xml:space="preserve">Există și motive obiective </w:t>
      </w:r>
      <w:r w:rsidR="007819C8" w:rsidRPr="00CB5F81">
        <w:rPr>
          <w:rFonts w:asciiTheme="majorHAnsi" w:hAnsiTheme="majorHAnsi" w:cstheme="majorHAnsi"/>
          <w:sz w:val="24"/>
          <w:szCs w:val="24"/>
        </w:rPr>
        <w:t xml:space="preserve">care </w:t>
      </w:r>
      <w:r w:rsidR="00E90A1B" w:rsidRPr="00CB5F81">
        <w:rPr>
          <w:rFonts w:asciiTheme="majorHAnsi" w:hAnsiTheme="majorHAnsi" w:cstheme="majorHAnsi"/>
          <w:sz w:val="24"/>
          <w:szCs w:val="24"/>
        </w:rPr>
        <w:t>afectează procesul de estimare a costurilor bug</w:t>
      </w:r>
      <w:r w:rsidR="00051424" w:rsidRPr="00CB5F81">
        <w:rPr>
          <w:rFonts w:asciiTheme="majorHAnsi" w:hAnsiTheme="majorHAnsi" w:cstheme="majorHAnsi"/>
          <w:sz w:val="24"/>
          <w:szCs w:val="24"/>
        </w:rPr>
        <w:t>etare a</w:t>
      </w:r>
      <w:r w:rsidR="00912C77">
        <w:rPr>
          <w:rFonts w:asciiTheme="majorHAnsi" w:hAnsiTheme="majorHAnsi" w:cstheme="majorHAnsi"/>
          <w:sz w:val="24"/>
          <w:szCs w:val="24"/>
        </w:rPr>
        <w:t>le</w:t>
      </w:r>
      <w:r w:rsidR="00051424" w:rsidRPr="00CB5F81">
        <w:rPr>
          <w:rFonts w:asciiTheme="majorHAnsi" w:hAnsiTheme="majorHAnsi" w:cstheme="majorHAnsi"/>
          <w:sz w:val="24"/>
          <w:szCs w:val="24"/>
        </w:rPr>
        <w:t xml:space="preserve"> facilităților, în speță</w:t>
      </w:r>
      <w:r w:rsidR="00912C77">
        <w:rPr>
          <w:rFonts w:asciiTheme="majorHAnsi" w:hAnsiTheme="majorHAnsi" w:cstheme="majorHAnsi"/>
          <w:sz w:val="24"/>
          <w:szCs w:val="24"/>
        </w:rPr>
        <w:t>,</w:t>
      </w:r>
      <w:r w:rsidR="00051424" w:rsidRPr="00CB5F81">
        <w:rPr>
          <w:rFonts w:asciiTheme="majorHAnsi" w:hAnsiTheme="majorHAnsi" w:cstheme="majorHAnsi"/>
          <w:sz w:val="24"/>
          <w:szCs w:val="24"/>
        </w:rPr>
        <w:t xml:space="preserve"> legate de</w:t>
      </w:r>
      <w:r w:rsidR="00E90A1B" w:rsidRPr="00CB5F81">
        <w:rPr>
          <w:rFonts w:asciiTheme="majorHAnsi" w:hAnsiTheme="majorHAnsi" w:cstheme="majorHAnsi"/>
          <w:sz w:val="24"/>
          <w:szCs w:val="24"/>
        </w:rPr>
        <w:t xml:space="preserve"> complexitatea și aspectele deficitare în implementarea unor instrumente și mecani</w:t>
      </w:r>
      <w:r w:rsidR="00051424" w:rsidRPr="00CB5F81">
        <w:rPr>
          <w:rFonts w:asciiTheme="majorHAnsi" w:hAnsiTheme="majorHAnsi" w:cstheme="majorHAnsi"/>
          <w:sz w:val="24"/>
          <w:szCs w:val="24"/>
        </w:rPr>
        <w:t>sme de estimare a facilităților.</w:t>
      </w:r>
    </w:p>
    <w:p w:rsidR="00D14D32" w:rsidRPr="00CB5F81" w:rsidRDefault="00051424" w:rsidP="00495A5C">
      <w:pPr>
        <w:shd w:val="clear" w:color="auto" w:fill="FFFFFF"/>
        <w:spacing w:after="120" w:line="240" w:lineRule="auto"/>
        <w:jc w:val="both"/>
        <w:rPr>
          <w:rFonts w:asciiTheme="majorHAnsi" w:eastAsia="Times New Roman" w:hAnsiTheme="majorHAnsi" w:cstheme="majorHAnsi"/>
          <w:bCs/>
          <w:sz w:val="24"/>
          <w:szCs w:val="24"/>
        </w:rPr>
      </w:pPr>
      <w:r w:rsidRPr="00CB5F81">
        <w:rPr>
          <w:rFonts w:asciiTheme="majorHAnsi" w:eastAsia="Times New Roman" w:hAnsiTheme="majorHAnsi" w:cstheme="majorHAnsi"/>
          <w:bCs/>
          <w:sz w:val="24"/>
          <w:szCs w:val="24"/>
        </w:rPr>
        <w:t>C</w:t>
      </w:r>
      <w:r w:rsidR="00D14D32" w:rsidRPr="00CB5F81">
        <w:rPr>
          <w:rFonts w:asciiTheme="majorHAnsi" w:eastAsia="Times New Roman" w:hAnsiTheme="majorHAnsi" w:cstheme="majorHAnsi"/>
          <w:bCs/>
          <w:sz w:val="24"/>
          <w:szCs w:val="24"/>
        </w:rPr>
        <w:t xml:space="preserve">onstatările auditului </w:t>
      </w:r>
      <w:r w:rsidR="001227C7" w:rsidRPr="002F158B">
        <w:rPr>
          <w:rFonts w:asciiTheme="majorHAnsi" w:eastAsia="Times New Roman" w:hAnsiTheme="majorHAnsi" w:cstheme="majorHAnsi"/>
          <w:bCs/>
          <w:sz w:val="24"/>
          <w:szCs w:val="24"/>
        </w:rPr>
        <w:t>public extern</w:t>
      </w:r>
      <w:r w:rsidR="001227C7">
        <w:rPr>
          <w:rFonts w:asciiTheme="majorHAnsi" w:eastAsia="Times New Roman" w:hAnsiTheme="majorHAnsi" w:cstheme="majorHAnsi"/>
          <w:bCs/>
          <w:sz w:val="24"/>
          <w:szCs w:val="24"/>
        </w:rPr>
        <w:t xml:space="preserve"> </w:t>
      </w:r>
      <w:r w:rsidR="00920DF8">
        <w:rPr>
          <w:rFonts w:asciiTheme="majorHAnsi" w:eastAsia="Times New Roman" w:hAnsiTheme="majorHAnsi" w:cstheme="majorHAnsi"/>
          <w:bCs/>
          <w:sz w:val="24"/>
          <w:szCs w:val="24"/>
        </w:rPr>
        <w:t xml:space="preserve">și recomandările înaintate </w:t>
      </w:r>
      <w:r w:rsidR="00D14D32" w:rsidRPr="00CB5F81">
        <w:rPr>
          <w:rFonts w:asciiTheme="majorHAnsi" w:hAnsiTheme="majorHAnsi" w:cstheme="majorHAnsi"/>
          <w:sz w:val="24"/>
          <w:szCs w:val="24"/>
        </w:rPr>
        <w:t>au fost aduse la cunoștința autorităților</w:t>
      </w:r>
      <w:r w:rsidR="00912C77">
        <w:rPr>
          <w:rFonts w:asciiTheme="majorHAnsi" w:hAnsiTheme="majorHAnsi" w:cstheme="majorHAnsi"/>
          <w:sz w:val="24"/>
          <w:szCs w:val="24"/>
        </w:rPr>
        <w:t>,</w:t>
      </w:r>
      <w:r w:rsidR="00D14D32" w:rsidRPr="00CB5F81">
        <w:rPr>
          <w:rFonts w:asciiTheme="majorHAnsi" w:hAnsiTheme="majorHAnsi" w:cstheme="majorHAnsi"/>
          <w:sz w:val="24"/>
          <w:szCs w:val="24"/>
        </w:rPr>
        <w:t xml:space="preserve"> vizate </w:t>
      </w:r>
      <w:r w:rsidR="00D14D32" w:rsidRPr="00C0548E">
        <w:rPr>
          <w:rFonts w:asciiTheme="majorHAnsi" w:hAnsiTheme="majorHAnsi" w:cstheme="majorHAnsi"/>
          <w:sz w:val="24"/>
          <w:szCs w:val="24"/>
        </w:rPr>
        <w:t>și acceptate</w:t>
      </w:r>
      <w:r w:rsidR="00D14D32" w:rsidRPr="00CB5F81">
        <w:rPr>
          <w:rFonts w:asciiTheme="majorHAnsi" w:hAnsiTheme="majorHAnsi" w:cstheme="majorHAnsi"/>
          <w:sz w:val="24"/>
          <w:szCs w:val="24"/>
        </w:rPr>
        <w:t xml:space="preserve"> de către acestea, </w:t>
      </w:r>
      <w:r w:rsidR="00912C77">
        <w:rPr>
          <w:rFonts w:asciiTheme="majorHAnsi" w:hAnsiTheme="majorHAnsi" w:cstheme="majorHAnsi"/>
          <w:sz w:val="24"/>
          <w:szCs w:val="24"/>
        </w:rPr>
        <w:t>întrucât</w:t>
      </w:r>
      <w:r w:rsidR="00D14D32" w:rsidRPr="00CB5F81">
        <w:rPr>
          <w:rFonts w:asciiTheme="majorHAnsi" w:hAnsiTheme="majorHAnsi" w:cstheme="majorHAnsi"/>
          <w:sz w:val="24"/>
          <w:szCs w:val="24"/>
        </w:rPr>
        <w:t xml:space="preserve"> </w:t>
      </w:r>
      <w:r w:rsidR="00D14D32" w:rsidRPr="00CB5F81">
        <w:rPr>
          <w:rFonts w:asciiTheme="majorHAnsi" w:eastAsia="Times New Roman" w:hAnsiTheme="majorHAnsi" w:cstheme="majorHAnsi"/>
          <w:bCs/>
          <w:sz w:val="24"/>
          <w:szCs w:val="24"/>
        </w:rPr>
        <w:t>determină necesitatea asigurării sustenabilității procesului inițiat de MF, cu participarea altor autorități ale statului, în vederea</w:t>
      </w:r>
      <w:r w:rsidR="00EC1EAF">
        <w:rPr>
          <w:rFonts w:asciiTheme="majorHAnsi" w:eastAsia="Times New Roman" w:hAnsiTheme="majorHAnsi" w:cstheme="majorHAnsi"/>
          <w:bCs/>
          <w:sz w:val="24"/>
          <w:szCs w:val="24"/>
        </w:rPr>
        <w:t xml:space="preserve"> </w:t>
      </w:r>
      <w:r w:rsidR="00D14D32" w:rsidRPr="00CB5F81">
        <w:rPr>
          <w:rFonts w:asciiTheme="majorHAnsi" w:eastAsia="Times New Roman" w:hAnsiTheme="majorHAnsi" w:cstheme="majorHAnsi"/>
          <w:bCs/>
          <w:sz w:val="24"/>
          <w:szCs w:val="24"/>
        </w:rPr>
        <w:t>cuantificării costurilor bugetare a</w:t>
      </w:r>
      <w:r w:rsidR="00912C77">
        <w:rPr>
          <w:rFonts w:asciiTheme="majorHAnsi" w:eastAsia="Times New Roman" w:hAnsiTheme="majorHAnsi" w:cstheme="majorHAnsi"/>
          <w:bCs/>
          <w:sz w:val="24"/>
          <w:szCs w:val="24"/>
        </w:rPr>
        <w:t>le</w:t>
      </w:r>
      <w:r w:rsidR="00D14D32" w:rsidRPr="00CB5F81">
        <w:rPr>
          <w:rFonts w:asciiTheme="majorHAnsi" w:eastAsia="Times New Roman" w:hAnsiTheme="majorHAnsi" w:cstheme="majorHAnsi"/>
          <w:bCs/>
          <w:sz w:val="24"/>
          <w:szCs w:val="24"/>
        </w:rPr>
        <w:t xml:space="preserve"> facilităților fiscale, evidenț</w:t>
      </w:r>
      <w:r w:rsidR="00912C77">
        <w:rPr>
          <w:rFonts w:asciiTheme="majorHAnsi" w:eastAsia="Times New Roman" w:hAnsiTheme="majorHAnsi" w:cstheme="majorHAnsi"/>
          <w:bCs/>
          <w:sz w:val="24"/>
          <w:szCs w:val="24"/>
        </w:rPr>
        <w:t>ei</w:t>
      </w:r>
      <w:r w:rsidR="00D14D32" w:rsidRPr="00CB5F81">
        <w:rPr>
          <w:rFonts w:asciiTheme="majorHAnsi" w:eastAsia="Times New Roman" w:hAnsiTheme="majorHAnsi" w:cstheme="majorHAnsi"/>
          <w:bCs/>
          <w:sz w:val="24"/>
          <w:szCs w:val="24"/>
        </w:rPr>
        <w:t xml:space="preserve"> și raport</w:t>
      </w:r>
      <w:r w:rsidR="00912C77">
        <w:rPr>
          <w:rFonts w:asciiTheme="majorHAnsi" w:eastAsia="Times New Roman" w:hAnsiTheme="majorHAnsi" w:cstheme="majorHAnsi"/>
          <w:bCs/>
          <w:sz w:val="24"/>
          <w:szCs w:val="24"/>
        </w:rPr>
        <w:t>ării</w:t>
      </w:r>
      <w:r w:rsidR="00D14D32" w:rsidRPr="00CB5F81">
        <w:rPr>
          <w:rFonts w:asciiTheme="majorHAnsi" w:eastAsia="Times New Roman" w:hAnsiTheme="majorHAnsi" w:cstheme="majorHAnsi"/>
          <w:bCs/>
          <w:sz w:val="24"/>
          <w:szCs w:val="24"/>
        </w:rPr>
        <w:t xml:space="preserve"> acestora, dar și asigur</w:t>
      </w:r>
      <w:r w:rsidR="00912C77">
        <w:rPr>
          <w:rFonts w:asciiTheme="majorHAnsi" w:eastAsia="Times New Roman" w:hAnsiTheme="majorHAnsi" w:cstheme="majorHAnsi"/>
          <w:bCs/>
          <w:sz w:val="24"/>
          <w:szCs w:val="24"/>
        </w:rPr>
        <w:t>ării</w:t>
      </w:r>
      <w:r w:rsidR="00D14D32" w:rsidRPr="00CB5F81">
        <w:rPr>
          <w:rFonts w:asciiTheme="majorHAnsi" w:eastAsia="Times New Roman" w:hAnsiTheme="majorHAnsi" w:cstheme="majorHAnsi"/>
          <w:bCs/>
          <w:sz w:val="24"/>
          <w:szCs w:val="24"/>
        </w:rPr>
        <w:t xml:space="preserve"> unui proces de evaluare sistemică a impactului rezultat din acordarea facilităților, cu revizuire</w:t>
      </w:r>
      <w:r w:rsidR="00912C77">
        <w:rPr>
          <w:rFonts w:asciiTheme="majorHAnsi" w:eastAsia="Times New Roman" w:hAnsiTheme="majorHAnsi" w:cstheme="majorHAnsi"/>
          <w:bCs/>
          <w:sz w:val="24"/>
          <w:szCs w:val="24"/>
        </w:rPr>
        <w:t>a</w:t>
      </w:r>
      <w:r w:rsidR="00D14D32" w:rsidRPr="00CB5F81">
        <w:rPr>
          <w:rFonts w:asciiTheme="majorHAnsi" w:eastAsia="Times New Roman" w:hAnsiTheme="majorHAnsi" w:cstheme="majorHAnsi"/>
          <w:bCs/>
          <w:sz w:val="24"/>
          <w:szCs w:val="24"/>
        </w:rPr>
        <w:t xml:space="preserve"> și excluderea acelor facilită</w:t>
      </w:r>
      <w:r w:rsidR="00C0548E">
        <w:rPr>
          <w:rFonts w:asciiTheme="majorHAnsi" w:eastAsia="Times New Roman" w:hAnsiTheme="majorHAnsi" w:cstheme="majorHAnsi"/>
          <w:bCs/>
          <w:sz w:val="24"/>
          <w:szCs w:val="24"/>
        </w:rPr>
        <w:t xml:space="preserve">ți care </w:t>
      </w:r>
      <w:r w:rsidR="00912C77">
        <w:rPr>
          <w:rFonts w:asciiTheme="majorHAnsi" w:eastAsia="Times New Roman" w:hAnsiTheme="majorHAnsi" w:cstheme="majorHAnsi"/>
          <w:bCs/>
          <w:sz w:val="24"/>
          <w:szCs w:val="24"/>
        </w:rPr>
        <w:t>nu-</w:t>
      </w:r>
      <w:r w:rsidR="00C0548E">
        <w:rPr>
          <w:rFonts w:asciiTheme="majorHAnsi" w:eastAsia="Times New Roman" w:hAnsiTheme="majorHAnsi" w:cstheme="majorHAnsi"/>
          <w:bCs/>
          <w:sz w:val="24"/>
          <w:szCs w:val="24"/>
        </w:rPr>
        <w:t>și dovedesc eficienț</w:t>
      </w:r>
      <w:r w:rsidR="00D14D32" w:rsidRPr="00CB5F81">
        <w:rPr>
          <w:rFonts w:asciiTheme="majorHAnsi" w:eastAsia="Times New Roman" w:hAnsiTheme="majorHAnsi" w:cstheme="majorHAnsi"/>
          <w:bCs/>
          <w:sz w:val="24"/>
          <w:szCs w:val="24"/>
        </w:rPr>
        <w:t>a.</w:t>
      </w:r>
    </w:p>
    <w:p w:rsidR="0052348F" w:rsidRDefault="00912C77" w:rsidP="0052348F">
      <w:pPr>
        <w:shd w:val="clear" w:color="auto" w:fill="FFFFFF"/>
        <w:spacing w:after="240" w:line="240" w:lineRule="auto"/>
        <w:jc w:val="both"/>
        <w:rPr>
          <w:rFonts w:asciiTheme="majorHAnsi" w:hAnsiTheme="majorHAnsi" w:cstheme="majorHAnsi"/>
          <w:sz w:val="24"/>
          <w:szCs w:val="24"/>
        </w:rPr>
      </w:pPr>
      <w:r>
        <w:rPr>
          <w:rFonts w:asciiTheme="majorHAnsi" w:hAnsiTheme="majorHAnsi" w:cstheme="majorHAnsi"/>
          <w:sz w:val="24"/>
          <w:szCs w:val="24"/>
        </w:rPr>
        <w:t>Dat fiind faptul</w:t>
      </w:r>
      <w:r w:rsidR="003D46BF" w:rsidRPr="00DC66D0">
        <w:rPr>
          <w:rFonts w:asciiTheme="majorHAnsi" w:hAnsiTheme="majorHAnsi" w:cstheme="majorHAnsi"/>
          <w:sz w:val="24"/>
          <w:szCs w:val="24"/>
        </w:rPr>
        <w:t xml:space="preserve"> că în cadrul prezentei misiuni de audit au fost analizate și atestate deficiențe care se perpetu</w:t>
      </w:r>
      <w:r w:rsidR="00936ECF">
        <w:rPr>
          <w:rFonts w:asciiTheme="majorHAnsi" w:hAnsiTheme="majorHAnsi" w:cstheme="majorHAnsi"/>
          <w:sz w:val="24"/>
          <w:szCs w:val="24"/>
        </w:rPr>
        <w:t>ează</w:t>
      </w:r>
      <w:r w:rsidR="003D46BF" w:rsidRPr="00DC66D0">
        <w:rPr>
          <w:rFonts w:asciiTheme="majorHAnsi" w:hAnsiTheme="majorHAnsi" w:cstheme="majorHAnsi"/>
          <w:sz w:val="24"/>
          <w:szCs w:val="24"/>
        </w:rPr>
        <w:t xml:space="preserve">  și  nu </w:t>
      </w:r>
      <w:r w:rsidR="00936ECF">
        <w:rPr>
          <w:rFonts w:asciiTheme="majorHAnsi" w:hAnsiTheme="majorHAnsi" w:cstheme="majorHAnsi"/>
          <w:sz w:val="24"/>
          <w:szCs w:val="24"/>
        </w:rPr>
        <w:t>s-</w:t>
      </w:r>
      <w:r w:rsidR="003D46BF" w:rsidRPr="00DC66D0">
        <w:rPr>
          <w:rFonts w:asciiTheme="majorHAnsi" w:hAnsiTheme="majorHAnsi" w:cstheme="majorHAnsi"/>
          <w:sz w:val="24"/>
          <w:szCs w:val="24"/>
        </w:rPr>
        <w:t xml:space="preserve">au remediat </w:t>
      </w:r>
      <w:r w:rsidR="00936ECF">
        <w:rPr>
          <w:rFonts w:asciiTheme="majorHAnsi" w:hAnsiTheme="majorHAnsi" w:cstheme="majorHAnsi"/>
          <w:sz w:val="24"/>
          <w:szCs w:val="24"/>
        </w:rPr>
        <w:t xml:space="preserve">ca </w:t>
      </w:r>
      <w:r w:rsidR="003D46BF" w:rsidRPr="00DC66D0">
        <w:rPr>
          <w:rFonts w:asciiTheme="majorHAnsi" w:hAnsiTheme="majorHAnsi" w:cstheme="majorHAnsi"/>
          <w:sz w:val="24"/>
          <w:szCs w:val="24"/>
        </w:rPr>
        <w:t xml:space="preserve">urmare </w:t>
      </w:r>
      <w:r w:rsidR="00936ECF">
        <w:rPr>
          <w:rFonts w:asciiTheme="majorHAnsi" w:hAnsiTheme="majorHAnsi" w:cstheme="majorHAnsi"/>
          <w:sz w:val="24"/>
          <w:szCs w:val="24"/>
        </w:rPr>
        <w:t xml:space="preserve">a </w:t>
      </w:r>
      <w:r w:rsidR="003D46BF" w:rsidRPr="00DC66D0">
        <w:rPr>
          <w:rFonts w:asciiTheme="majorHAnsi" w:hAnsiTheme="majorHAnsi" w:cstheme="majorHAnsi"/>
          <w:sz w:val="24"/>
          <w:szCs w:val="24"/>
        </w:rPr>
        <w:t>recomandărilor înaintate  în Raportul  auditului de conformitate asociat auditului de performanță  al sistemului facilităților fiscale și vamale</w:t>
      </w:r>
      <w:r w:rsidR="003D46BF" w:rsidRPr="00DC66D0">
        <w:rPr>
          <w:rStyle w:val="FootnoteReference"/>
          <w:rFonts w:asciiTheme="majorHAnsi" w:hAnsiTheme="majorHAnsi" w:cstheme="majorHAnsi"/>
          <w:sz w:val="24"/>
          <w:szCs w:val="24"/>
        </w:rPr>
        <w:footnoteReference w:id="65"/>
      </w:r>
      <w:r w:rsidR="003D46BF" w:rsidRPr="00DC66D0">
        <w:rPr>
          <w:rFonts w:asciiTheme="majorHAnsi" w:hAnsiTheme="majorHAnsi" w:cstheme="majorHAnsi"/>
          <w:sz w:val="24"/>
          <w:szCs w:val="24"/>
        </w:rPr>
        <w:t>, fiind  înaintate entităților</w:t>
      </w:r>
      <w:r w:rsidR="000E45DC" w:rsidRPr="00DC66D0">
        <w:rPr>
          <w:rFonts w:asciiTheme="majorHAnsi" w:hAnsiTheme="majorHAnsi" w:cstheme="majorHAnsi"/>
          <w:sz w:val="24"/>
          <w:szCs w:val="24"/>
        </w:rPr>
        <w:t xml:space="preserve"> noi </w:t>
      </w:r>
      <w:r w:rsidR="003D46BF" w:rsidRPr="00DC66D0">
        <w:rPr>
          <w:rFonts w:asciiTheme="majorHAnsi" w:hAnsiTheme="majorHAnsi" w:cstheme="majorHAnsi"/>
          <w:sz w:val="24"/>
          <w:szCs w:val="24"/>
        </w:rPr>
        <w:t>recomandări de audit</w:t>
      </w:r>
      <w:r w:rsidR="000E45DC" w:rsidRPr="00DC66D0">
        <w:rPr>
          <w:rFonts w:asciiTheme="majorHAnsi" w:hAnsiTheme="majorHAnsi" w:cstheme="majorHAnsi"/>
          <w:sz w:val="24"/>
          <w:szCs w:val="24"/>
        </w:rPr>
        <w:t xml:space="preserve"> orientate spre remedierea acestor aspecte deficitare, </w:t>
      </w:r>
      <w:r w:rsidR="003D46BF" w:rsidRPr="00DC66D0">
        <w:rPr>
          <w:rFonts w:asciiTheme="majorHAnsi" w:hAnsiTheme="majorHAnsi" w:cstheme="majorHAnsi"/>
          <w:sz w:val="24"/>
          <w:szCs w:val="24"/>
        </w:rPr>
        <w:t>se exc</w:t>
      </w:r>
      <w:r w:rsidR="00BA654B">
        <w:rPr>
          <w:rFonts w:asciiTheme="majorHAnsi" w:hAnsiTheme="majorHAnsi" w:cstheme="majorHAnsi"/>
          <w:sz w:val="24"/>
          <w:szCs w:val="24"/>
        </w:rPr>
        <w:t>lud din regim de monitorizare 11</w:t>
      </w:r>
      <w:r w:rsidR="003D46BF" w:rsidRPr="00DC66D0">
        <w:rPr>
          <w:rFonts w:asciiTheme="majorHAnsi" w:hAnsiTheme="majorHAnsi" w:cstheme="majorHAnsi"/>
          <w:sz w:val="24"/>
          <w:szCs w:val="24"/>
        </w:rPr>
        <w:t xml:space="preserve"> recomandări înaintate</w:t>
      </w:r>
      <w:r w:rsidR="000E45DC" w:rsidRPr="00DC66D0">
        <w:rPr>
          <w:rFonts w:asciiTheme="majorHAnsi" w:hAnsiTheme="majorHAnsi" w:cstheme="majorHAnsi"/>
          <w:sz w:val="24"/>
          <w:szCs w:val="24"/>
        </w:rPr>
        <w:t xml:space="preserve"> entităților în cadrul misiunii </w:t>
      </w:r>
      <w:r w:rsidR="00936ECF">
        <w:rPr>
          <w:rFonts w:asciiTheme="majorHAnsi" w:hAnsiTheme="majorHAnsi" w:cstheme="majorHAnsi"/>
          <w:sz w:val="24"/>
          <w:szCs w:val="24"/>
        </w:rPr>
        <w:t xml:space="preserve">de audit </w:t>
      </w:r>
      <w:r w:rsidR="000E45DC" w:rsidRPr="00DC66D0">
        <w:rPr>
          <w:rFonts w:asciiTheme="majorHAnsi" w:hAnsiTheme="majorHAnsi" w:cstheme="majorHAnsi"/>
          <w:sz w:val="24"/>
          <w:szCs w:val="24"/>
        </w:rPr>
        <w:t>anterioare</w:t>
      </w:r>
      <w:r w:rsidR="00936ECF">
        <w:rPr>
          <w:rFonts w:asciiTheme="majorHAnsi" w:hAnsiTheme="majorHAnsi" w:cstheme="majorHAnsi"/>
          <w:sz w:val="24"/>
          <w:szCs w:val="24"/>
        </w:rPr>
        <w:t>,</w:t>
      </w:r>
      <w:r w:rsidR="000E45DC" w:rsidRPr="00DC66D0">
        <w:rPr>
          <w:rFonts w:asciiTheme="majorHAnsi" w:hAnsiTheme="majorHAnsi" w:cstheme="majorHAnsi"/>
          <w:sz w:val="24"/>
          <w:szCs w:val="24"/>
        </w:rPr>
        <w:t xml:space="preserve"> </w:t>
      </w:r>
      <w:r w:rsidR="003D46BF" w:rsidRPr="00DC66D0">
        <w:rPr>
          <w:rFonts w:asciiTheme="majorHAnsi" w:hAnsiTheme="majorHAnsi" w:cstheme="majorHAnsi"/>
          <w:sz w:val="24"/>
          <w:szCs w:val="24"/>
        </w:rPr>
        <w:t>conform Anexei nr.</w:t>
      </w:r>
      <w:r w:rsidR="000E45DC" w:rsidRPr="00DC66D0">
        <w:rPr>
          <w:rFonts w:asciiTheme="majorHAnsi" w:hAnsiTheme="majorHAnsi" w:cstheme="majorHAnsi"/>
          <w:sz w:val="24"/>
          <w:szCs w:val="24"/>
        </w:rPr>
        <w:t>6.</w:t>
      </w:r>
      <w:bookmarkStart w:id="38" w:name="_Toc76371150"/>
    </w:p>
    <w:p w:rsidR="00B77F08" w:rsidRPr="00CB5F81" w:rsidRDefault="00B77F08" w:rsidP="0052348F">
      <w:pPr>
        <w:shd w:val="clear" w:color="auto" w:fill="FFFFFF"/>
        <w:spacing w:after="120" w:line="240" w:lineRule="auto"/>
        <w:jc w:val="both"/>
        <w:rPr>
          <w:rFonts w:cstheme="majorHAnsi"/>
          <w:b/>
          <w:color w:val="1F4E79" w:themeColor="accent1" w:themeShade="80"/>
          <w:sz w:val="28"/>
          <w:szCs w:val="28"/>
        </w:rPr>
      </w:pPr>
      <w:r w:rsidRPr="00CB5F81">
        <w:rPr>
          <w:rFonts w:cstheme="majorHAnsi"/>
          <w:b/>
          <w:color w:val="1F4E79" w:themeColor="accent1" w:themeShade="80"/>
          <w:sz w:val="28"/>
          <w:szCs w:val="28"/>
        </w:rPr>
        <w:t>RECOMANDĂRI</w:t>
      </w:r>
      <w:bookmarkEnd w:id="38"/>
    </w:p>
    <w:p w:rsidR="00B5683B" w:rsidRPr="00CB5F81" w:rsidRDefault="00E47688" w:rsidP="00B5683B">
      <w:pPr>
        <w:ind w:left="360"/>
        <w:jc w:val="both"/>
        <w:rPr>
          <w:b/>
          <w:sz w:val="24"/>
          <w:szCs w:val="24"/>
          <w:u w:val="single"/>
        </w:rPr>
      </w:pPr>
      <w:r w:rsidRPr="00CB5F81">
        <w:rPr>
          <w:b/>
          <w:sz w:val="24"/>
          <w:szCs w:val="24"/>
          <w:u w:val="single"/>
        </w:rPr>
        <w:t xml:space="preserve">Ministerului </w:t>
      </w:r>
      <w:r w:rsidR="00B5683B" w:rsidRPr="00CB5F81">
        <w:rPr>
          <w:b/>
          <w:sz w:val="24"/>
          <w:szCs w:val="24"/>
          <w:u w:val="single"/>
        </w:rPr>
        <w:t>F</w:t>
      </w:r>
      <w:r w:rsidRPr="00CB5F81">
        <w:rPr>
          <w:b/>
          <w:sz w:val="24"/>
          <w:szCs w:val="24"/>
          <w:u w:val="single"/>
        </w:rPr>
        <w:t>inanțelor</w:t>
      </w:r>
      <w:r w:rsidR="00B5683B" w:rsidRPr="00CB5F81">
        <w:rPr>
          <w:b/>
          <w:sz w:val="24"/>
          <w:szCs w:val="24"/>
          <w:u w:val="single"/>
        </w:rPr>
        <w:t>:</w:t>
      </w:r>
    </w:p>
    <w:p w:rsidR="00B5683B" w:rsidRPr="00CB5F81" w:rsidRDefault="00982F85" w:rsidP="00D04386">
      <w:pPr>
        <w:pStyle w:val="ListParagraph"/>
        <w:numPr>
          <w:ilvl w:val="0"/>
          <w:numId w:val="17"/>
        </w:numPr>
        <w:spacing w:after="160" w:line="259" w:lineRule="auto"/>
        <w:ind w:left="270" w:hanging="270"/>
        <w:jc w:val="both"/>
        <w:rPr>
          <w:rFonts w:asciiTheme="majorHAnsi" w:hAnsiTheme="majorHAnsi" w:cstheme="majorHAnsi"/>
          <w:sz w:val="24"/>
          <w:szCs w:val="24"/>
          <w:lang w:val="ro-MD"/>
        </w:rPr>
      </w:pPr>
      <w:r>
        <w:rPr>
          <w:rFonts w:asciiTheme="majorHAnsi" w:hAnsiTheme="majorHAnsi" w:cstheme="majorHAnsi"/>
          <w:sz w:val="24"/>
          <w:szCs w:val="24"/>
          <w:lang w:val="ro-MD"/>
        </w:rPr>
        <w:t>Să r</w:t>
      </w:r>
      <w:r w:rsidR="00B5683B" w:rsidRPr="00CB5F81">
        <w:rPr>
          <w:rFonts w:asciiTheme="majorHAnsi" w:hAnsiTheme="majorHAnsi" w:cstheme="majorHAnsi"/>
          <w:sz w:val="24"/>
          <w:szCs w:val="24"/>
          <w:lang w:val="ro-MD"/>
        </w:rPr>
        <w:t>evizui</w:t>
      </w:r>
      <w:r>
        <w:rPr>
          <w:rFonts w:asciiTheme="majorHAnsi" w:hAnsiTheme="majorHAnsi" w:cstheme="majorHAnsi"/>
          <w:sz w:val="24"/>
          <w:szCs w:val="24"/>
          <w:lang w:val="ro-MD"/>
        </w:rPr>
        <w:t>ască</w:t>
      </w:r>
      <w:r w:rsidR="004C7F73" w:rsidRPr="00CB5F81">
        <w:rPr>
          <w:rFonts w:asciiTheme="majorHAnsi" w:hAnsiTheme="majorHAnsi" w:cstheme="majorHAnsi"/>
          <w:sz w:val="24"/>
          <w:szCs w:val="24"/>
          <w:lang w:val="ro-MD"/>
        </w:rPr>
        <w:t xml:space="preserve"> cadrul normativ de reglementare a </w:t>
      </w:r>
      <w:r w:rsidR="00B33754" w:rsidRPr="00CB5F81">
        <w:rPr>
          <w:rFonts w:asciiTheme="majorHAnsi" w:hAnsiTheme="majorHAnsi" w:cstheme="majorHAnsi"/>
          <w:sz w:val="24"/>
          <w:szCs w:val="24"/>
          <w:lang w:val="ro-MD"/>
        </w:rPr>
        <w:t>facilităților</w:t>
      </w:r>
      <w:r w:rsidR="004C7F73" w:rsidRPr="00CB5F81">
        <w:rPr>
          <w:rFonts w:asciiTheme="majorHAnsi" w:hAnsiTheme="majorHAnsi" w:cstheme="majorHAnsi"/>
          <w:sz w:val="24"/>
          <w:szCs w:val="24"/>
          <w:lang w:val="ro-MD"/>
        </w:rPr>
        <w:t xml:space="preserve"> fiscale</w:t>
      </w:r>
      <w:r w:rsidR="00B5683B" w:rsidRPr="00CB5F81">
        <w:rPr>
          <w:rFonts w:asciiTheme="majorHAnsi" w:hAnsiTheme="majorHAnsi" w:cstheme="majorHAnsi"/>
          <w:sz w:val="24"/>
          <w:szCs w:val="24"/>
          <w:lang w:val="ro-MD"/>
        </w:rPr>
        <w:t xml:space="preserve">, </w:t>
      </w:r>
      <w:r w:rsidR="004C7F73" w:rsidRPr="00CB5F81">
        <w:rPr>
          <w:rFonts w:asciiTheme="majorHAnsi" w:hAnsiTheme="majorHAnsi" w:cstheme="majorHAnsi"/>
          <w:sz w:val="24"/>
          <w:szCs w:val="24"/>
          <w:lang w:val="ro-MD"/>
        </w:rPr>
        <w:t>cu actualizarea</w:t>
      </w:r>
      <w:r w:rsidR="00EC1EAF">
        <w:rPr>
          <w:rFonts w:asciiTheme="majorHAnsi" w:hAnsiTheme="majorHAnsi" w:cstheme="majorHAnsi"/>
          <w:sz w:val="24"/>
          <w:szCs w:val="24"/>
          <w:lang w:val="ro-MD"/>
        </w:rPr>
        <w:t xml:space="preserve"> </w:t>
      </w:r>
      <w:r w:rsidR="004C7F73" w:rsidRPr="00CB5F81">
        <w:rPr>
          <w:rFonts w:asciiTheme="majorHAnsi" w:hAnsiTheme="majorHAnsi" w:cstheme="majorHAnsi"/>
          <w:sz w:val="24"/>
          <w:szCs w:val="24"/>
          <w:lang w:val="ro-MD"/>
        </w:rPr>
        <w:t>și modernizarea acestuia,</w:t>
      </w:r>
      <w:r w:rsidR="00B5683B" w:rsidRPr="00CB5F81">
        <w:rPr>
          <w:rFonts w:asciiTheme="majorHAnsi" w:hAnsiTheme="majorHAnsi" w:cstheme="majorHAnsi"/>
          <w:sz w:val="24"/>
          <w:szCs w:val="24"/>
          <w:lang w:val="ro-MD"/>
        </w:rPr>
        <w:t xml:space="preserve"> în vederea consolidării guvernanței bugetar-fiscale, inclusiv statuându-se: </w:t>
      </w:r>
    </w:p>
    <w:p w:rsidR="00D14F7F" w:rsidRDefault="00B5683B" w:rsidP="00D14F7F">
      <w:pPr>
        <w:pStyle w:val="ListParagraph"/>
        <w:numPr>
          <w:ilvl w:val="0"/>
          <w:numId w:val="18"/>
        </w:numPr>
        <w:tabs>
          <w:tab w:val="left" w:pos="540"/>
        </w:tabs>
        <w:spacing w:after="160" w:line="259" w:lineRule="auto"/>
        <w:ind w:left="360" w:hanging="9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estimarea anuală a costurilor bugetare a</w:t>
      </w:r>
      <w:r w:rsidR="00982F85">
        <w:rPr>
          <w:rFonts w:asciiTheme="majorHAnsi" w:hAnsiTheme="majorHAnsi" w:cstheme="majorHAnsi"/>
          <w:sz w:val="24"/>
          <w:szCs w:val="24"/>
          <w:lang w:val="ro-MD"/>
        </w:rPr>
        <w:t>le</w:t>
      </w:r>
      <w:r w:rsidRPr="00CB5F81">
        <w:rPr>
          <w:rFonts w:asciiTheme="majorHAnsi" w:hAnsiTheme="majorHAnsi" w:cstheme="majorHAnsi"/>
          <w:sz w:val="24"/>
          <w:szCs w:val="24"/>
          <w:lang w:val="ro-MD"/>
        </w:rPr>
        <w:t xml:space="preserve"> facilităților;</w:t>
      </w:r>
    </w:p>
    <w:p w:rsidR="007C705E" w:rsidRDefault="00B5683B" w:rsidP="007C705E">
      <w:pPr>
        <w:pStyle w:val="ListParagraph"/>
        <w:numPr>
          <w:ilvl w:val="0"/>
          <w:numId w:val="18"/>
        </w:numPr>
        <w:tabs>
          <w:tab w:val="left" w:pos="540"/>
        </w:tabs>
        <w:spacing w:after="160" w:line="259" w:lineRule="auto"/>
        <w:ind w:left="360" w:hanging="90"/>
        <w:jc w:val="both"/>
        <w:rPr>
          <w:rFonts w:asciiTheme="majorHAnsi" w:hAnsiTheme="majorHAnsi" w:cstheme="majorHAnsi"/>
          <w:sz w:val="24"/>
          <w:szCs w:val="24"/>
          <w:lang w:val="ro-MD"/>
        </w:rPr>
      </w:pPr>
      <w:r w:rsidRPr="00D14F7F">
        <w:rPr>
          <w:rFonts w:asciiTheme="majorHAnsi" w:hAnsiTheme="majorHAnsi" w:cstheme="majorHAnsi"/>
          <w:sz w:val="24"/>
          <w:szCs w:val="24"/>
          <w:lang w:val="ro-MD"/>
        </w:rPr>
        <w:t>organizarea evidenței și raportării</w:t>
      </w:r>
      <w:r w:rsidR="00EC1EAF" w:rsidRPr="00D14F7F">
        <w:rPr>
          <w:rFonts w:asciiTheme="majorHAnsi" w:hAnsiTheme="majorHAnsi" w:cstheme="majorHAnsi"/>
          <w:sz w:val="24"/>
          <w:szCs w:val="24"/>
          <w:lang w:val="ro-MD"/>
        </w:rPr>
        <w:t xml:space="preserve"> </w:t>
      </w:r>
      <w:r w:rsidRPr="00D14F7F">
        <w:rPr>
          <w:rFonts w:asciiTheme="majorHAnsi" w:hAnsiTheme="majorHAnsi" w:cstheme="majorHAnsi"/>
          <w:sz w:val="24"/>
          <w:szCs w:val="24"/>
          <w:lang w:val="ro-MD"/>
        </w:rPr>
        <w:t>facilităților, cu stabilirea termen</w:t>
      </w:r>
      <w:r w:rsidR="00982F85">
        <w:rPr>
          <w:rFonts w:asciiTheme="majorHAnsi" w:hAnsiTheme="majorHAnsi" w:cstheme="majorHAnsi"/>
          <w:sz w:val="24"/>
          <w:szCs w:val="24"/>
          <w:lang w:val="ro-MD"/>
        </w:rPr>
        <w:t>e</w:t>
      </w:r>
      <w:r w:rsidRPr="00D14F7F">
        <w:rPr>
          <w:rFonts w:asciiTheme="majorHAnsi" w:hAnsiTheme="majorHAnsi" w:cstheme="majorHAnsi"/>
          <w:sz w:val="24"/>
          <w:szCs w:val="24"/>
          <w:lang w:val="ro-MD"/>
        </w:rPr>
        <w:t>lor de raportare;</w:t>
      </w:r>
    </w:p>
    <w:p w:rsidR="00B5683B" w:rsidRPr="007C705E" w:rsidRDefault="00B5683B" w:rsidP="0074343C">
      <w:pPr>
        <w:pStyle w:val="ListParagraph"/>
        <w:numPr>
          <w:ilvl w:val="0"/>
          <w:numId w:val="18"/>
        </w:numPr>
        <w:tabs>
          <w:tab w:val="left" w:pos="540"/>
        </w:tabs>
        <w:spacing w:after="120" w:line="259" w:lineRule="auto"/>
        <w:ind w:left="360" w:hanging="86"/>
        <w:contextualSpacing w:val="0"/>
        <w:jc w:val="both"/>
        <w:rPr>
          <w:rFonts w:asciiTheme="majorHAnsi" w:hAnsiTheme="majorHAnsi" w:cstheme="majorHAnsi"/>
          <w:sz w:val="24"/>
          <w:szCs w:val="24"/>
          <w:lang w:val="ro-MD"/>
        </w:rPr>
      </w:pPr>
      <w:r w:rsidRPr="007C705E">
        <w:rPr>
          <w:rFonts w:asciiTheme="majorHAnsi" w:hAnsiTheme="majorHAnsi" w:cstheme="majorHAnsi"/>
          <w:sz w:val="24"/>
          <w:szCs w:val="24"/>
          <w:lang w:val="ro-MD"/>
        </w:rPr>
        <w:t>examinarea</w:t>
      </w:r>
      <w:r w:rsidR="00A002BA">
        <w:rPr>
          <w:rFonts w:asciiTheme="majorHAnsi" w:hAnsiTheme="majorHAnsi" w:cstheme="majorHAnsi"/>
          <w:sz w:val="24"/>
          <w:szCs w:val="24"/>
          <w:lang w:val="ro-MD"/>
        </w:rPr>
        <w:t xml:space="preserve"> </w:t>
      </w:r>
      <w:r w:rsidR="00A002BA">
        <w:rPr>
          <w:rFonts w:asciiTheme="majorHAnsi" w:hAnsiTheme="majorHAnsi" w:cstheme="majorHAnsi"/>
          <w:sz w:val="24"/>
          <w:szCs w:val="24"/>
        </w:rPr>
        <w:t xml:space="preserve">și analiza </w:t>
      </w:r>
      <w:r w:rsidRPr="007C705E">
        <w:rPr>
          <w:rFonts w:asciiTheme="majorHAnsi" w:hAnsiTheme="majorHAnsi" w:cstheme="majorHAnsi"/>
          <w:sz w:val="24"/>
          <w:szCs w:val="24"/>
          <w:lang w:val="ro-MD"/>
        </w:rPr>
        <w:t xml:space="preserve">periodică a </w:t>
      </w:r>
      <w:r w:rsidR="00C0548E">
        <w:rPr>
          <w:rFonts w:asciiTheme="majorHAnsi" w:hAnsiTheme="majorHAnsi" w:cstheme="majorHAnsi"/>
          <w:sz w:val="24"/>
          <w:szCs w:val="24"/>
          <w:lang w:val="ro-MD"/>
        </w:rPr>
        <w:t>spectrului de facilități fiscale acordate</w:t>
      </w:r>
      <w:r w:rsidRPr="007C705E">
        <w:rPr>
          <w:rFonts w:asciiTheme="majorHAnsi" w:hAnsiTheme="majorHAnsi" w:cstheme="majorHAnsi"/>
          <w:sz w:val="24"/>
          <w:szCs w:val="24"/>
          <w:lang w:val="ro-MD"/>
        </w:rPr>
        <w:t>, cu</w:t>
      </w:r>
      <w:r w:rsidR="00B03E78">
        <w:rPr>
          <w:rFonts w:asciiTheme="majorHAnsi" w:hAnsiTheme="majorHAnsi" w:cstheme="majorHAnsi"/>
          <w:sz w:val="24"/>
          <w:szCs w:val="24"/>
          <w:lang w:val="ro-MD"/>
        </w:rPr>
        <w:t xml:space="preserve"> înaintarea </w:t>
      </w:r>
      <w:r w:rsidRPr="007C705E">
        <w:rPr>
          <w:rFonts w:asciiTheme="majorHAnsi" w:hAnsiTheme="majorHAnsi" w:cstheme="majorHAnsi"/>
          <w:sz w:val="24"/>
          <w:szCs w:val="24"/>
          <w:lang w:val="ro-MD"/>
        </w:rPr>
        <w:t xml:space="preserve"> </w:t>
      </w:r>
      <w:r w:rsidR="00B03E78">
        <w:rPr>
          <w:rFonts w:asciiTheme="majorHAnsi" w:hAnsiTheme="majorHAnsi" w:cstheme="majorHAnsi"/>
          <w:sz w:val="24"/>
          <w:szCs w:val="24"/>
          <w:lang w:val="ro-MD"/>
        </w:rPr>
        <w:t>propunerilor de anulare a</w:t>
      </w:r>
      <w:r w:rsidRPr="007C705E">
        <w:rPr>
          <w:rFonts w:asciiTheme="majorHAnsi" w:hAnsiTheme="majorHAnsi" w:cstheme="majorHAnsi"/>
          <w:sz w:val="24"/>
          <w:szCs w:val="24"/>
          <w:lang w:val="ro-MD"/>
        </w:rPr>
        <w:t xml:space="preserve"> celor inoportune sau care nu și-au demonstrat eficiența</w:t>
      </w:r>
      <w:r w:rsidR="00982F85">
        <w:rPr>
          <w:rFonts w:asciiTheme="majorHAnsi" w:hAnsiTheme="majorHAnsi" w:cstheme="majorHAnsi"/>
          <w:sz w:val="24"/>
          <w:szCs w:val="24"/>
          <w:lang w:val="ro-MD"/>
        </w:rPr>
        <w:t xml:space="preserve"> </w:t>
      </w:r>
      <w:r w:rsidR="009305E0">
        <w:rPr>
          <w:rFonts w:asciiTheme="majorHAnsi" w:hAnsiTheme="majorHAnsi" w:cstheme="majorHAnsi"/>
          <w:sz w:val="24"/>
          <w:szCs w:val="24"/>
          <w:lang w:val="ro-MD"/>
        </w:rPr>
        <w:t xml:space="preserve"> </w:t>
      </w:r>
      <w:r w:rsidR="009011CA" w:rsidRPr="0057782A">
        <w:rPr>
          <w:rFonts w:asciiTheme="majorHAnsi" w:hAnsiTheme="majorHAnsi" w:cstheme="majorHAnsi"/>
          <w:sz w:val="24"/>
          <w:szCs w:val="24"/>
          <w:lang w:val="ro-MD"/>
        </w:rPr>
        <w:t>(</w:t>
      </w:r>
      <w:r w:rsidR="009011CA" w:rsidRPr="0057782A">
        <w:rPr>
          <w:rFonts w:asciiTheme="majorHAnsi" w:eastAsia="Calibri" w:hAnsiTheme="majorHAnsi" w:cstheme="majorHAnsi"/>
          <w:bCs/>
          <w:sz w:val="24"/>
          <w:szCs w:val="24"/>
          <w:lang w:val="ro-MD"/>
        </w:rPr>
        <w:t>subcapitol</w:t>
      </w:r>
      <w:r w:rsidR="00982F85">
        <w:rPr>
          <w:rFonts w:asciiTheme="majorHAnsi" w:eastAsia="Calibri" w:hAnsiTheme="majorHAnsi" w:cstheme="majorHAnsi"/>
          <w:bCs/>
          <w:sz w:val="24"/>
          <w:szCs w:val="24"/>
          <w:lang w:val="ro-MD"/>
        </w:rPr>
        <w:t>ele</w:t>
      </w:r>
      <w:r w:rsidR="009011CA" w:rsidRPr="0057782A">
        <w:rPr>
          <w:rFonts w:asciiTheme="majorHAnsi" w:eastAsia="Calibri" w:hAnsiTheme="majorHAnsi" w:cstheme="majorHAnsi"/>
          <w:bCs/>
          <w:sz w:val="24"/>
          <w:szCs w:val="24"/>
          <w:lang w:val="ro-MD"/>
        </w:rPr>
        <w:t xml:space="preserve"> </w:t>
      </w:r>
      <w:r w:rsidR="009011CA">
        <w:rPr>
          <w:rFonts w:asciiTheme="majorHAnsi" w:eastAsia="Calibri" w:hAnsiTheme="majorHAnsi" w:cstheme="majorHAnsi"/>
          <w:bCs/>
          <w:sz w:val="24"/>
          <w:szCs w:val="24"/>
          <w:lang w:val="ro-MD"/>
        </w:rPr>
        <w:t>4.1</w:t>
      </w:r>
      <w:r w:rsidR="009011CA" w:rsidRPr="0057782A">
        <w:rPr>
          <w:rFonts w:asciiTheme="majorHAnsi" w:eastAsia="Calibri" w:hAnsiTheme="majorHAnsi" w:cstheme="majorHAnsi"/>
          <w:bCs/>
          <w:sz w:val="24"/>
          <w:szCs w:val="24"/>
          <w:lang w:val="ro-MD"/>
        </w:rPr>
        <w:t>.1.</w:t>
      </w:r>
      <w:r w:rsidR="009011CA">
        <w:rPr>
          <w:rFonts w:asciiTheme="majorHAnsi" w:eastAsia="Calibri" w:hAnsiTheme="majorHAnsi" w:cstheme="majorHAnsi"/>
          <w:bCs/>
          <w:sz w:val="24"/>
          <w:szCs w:val="24"/>
          <w:lang w:val="ro-MD"/>
        </w:rPr>
        <w:t xml:space="preserve"> și 4.1.2.</w:t>
      </w:r>
      <w:r w:rsidR="009011CA" w:rsidRPr="0057782A">
        <w:rPr>
          <w:rFonts w:asciiTheme="majorHAnsi" w:eastAsia="Calibri" w:hAnsiTheme="majorHAnsi" w:cstheme="majorHAnsi"/>
          <w:bCs/>
          <w:sz w:val="24"/>
          <w:szCs w:val="24"/>
          <w:lang w:val="ro-MD"/>
        </w:rPr>
        <w:t>)</w:t>
      </w:r>
      <w:r w:rsidRPr="007C705E">
        <w:rPr>
          <w:rFonts w:asciiTheme="majorHAnsi" w:hAnsiTheme="majorHAnsi" w:cstheme="majorHAnsi"/>
          <w:sz w:val="24"/>
          <w:szCs w:val="24"/>
          <w:lang w:val="ro-MD"/>
        </w:rPr>
        <w:t>.</w:t>
      </w:r>
    </w:p>
    <w:p w:rsidR="00B5683B" w:rsidRPr="00CB5F81" w:rsidRDefault="00982F85" w:rsidP="009F25E6">
      <w:pPr>
        <w:pStyle w:val="ListParagraph"/>
        <w:numPr>
          <w:ilvl w:val="0"/>
          <w:numId w:val="17"/>
        </w:numPr>
        <w:spacing w:after="120" w:line="259" w:lineRule="auto"/>
        <w:ind w:left="274" w:hanging="274"/>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Să e</w:t>
      </w:r>
      <w:r w:rsidR="002A6AFE" w:rsidRPr="00CB5F81">
        <w:rPr>
          <w:rFonts w:asciiTheme="majorHAnsi" w:hAnsiTheme="majorHAnsi" w:cstheme="majorHAnsi"/>
          <w:sz w:val="24"/>
          <w:szCs w:val="24"/>
          <w:lang w:val="ro-MD"/>
        </w:rPr>
        <w:t>labor</w:t>
      </w:r>
      <w:r>
        <w:rPr>
          <w:rFonts w:asciiTheme="majorHAnsi" w:hAnsiTheme="majorHAnsi" w:cstheme="majorHAnsi"/>
          <w:sz w:val="24"/>
          <w:szCs w:val="24"/>
          <w:lang w:val="ro-MD"/>
        </w:rPr>
        <w:t>eze,</w:t>
      </w:r>
      <w:r w:rsidR="002A6AFE" w:rsidRPr="00CB5F81">
        <w:rPr>
          <w:rFonts w:asciiTheme="majorHAnsi" w:hAnsiTheme="majorHAnsi" w:cstheme="majorHAnsi"/>
          <w:sz w:val="24"/>
          <w:szCs w:val="24"/>
          <w:lang w:val="ro-MD"/>
        </w:rPr>
        <w:t xml:space="preserve"> în </w:t>
      </w:r>
      <w:r w:rsidR="00B5683B" w:rsidRPr="00CB5F81">
        <w:rPr>
          <w:rFonts w:asciiTheme="majorHAnsi" w:hAnsiTheme="majorHAnsi" w:cstheme="majorHAnsi"/>
          <w:sz w:val="24"/>
          <w:szCs w:val="24"/>
          <w:lang w:val="ro-MD"/>
        </w:rPr>
        <w:t>comun cu SFS</w:t>
      </w:r>
      <w:r>
        <w:rPr>
          <w:rFonts w:asciiTheme="majorHAnsi" w:hAnsiTheme="majorHAnsi" w:cstheme="majorHAnsi"/>
          <w:sz w:val="24"/>
          <w:szCs w:val="24"/>
          <w:lang w:val="ro-MD"/>
        </w:rPr>
        <w:t>,</w:t>
      </w:r>
      <w:r w:rsidR="00B5683B" w:rsidRPr="00CB5F81">
        <w:rPr>
          <w:rFonts w:asciiTheme="majorHAnsi" w:hAnsiTheme="majorHAnsi" w:cstheme="majorHAnsi"/>
          <w:sz w:val="24"/>
          <w:szCs w:val="24"/>
          <w:lang w:val="ro-MD"/>
        </w:rPr>
        <w:t xml:space="preserve"> norme</w:t>
      </w:r>
      <w:r w:rsidR="002A6AFE" w:rsidRPr="00CB5F81">
        <w:rPr>
          <w:rFonts w:asciiTheme="majorHAnsi" w:hAnsiTheme="majorHAnsi" w:cstheme="majorHAnsi"/>
          <w:sz w:val="24"/>
          <w:szCs w:val="24"/>
          <w:lang w:val="ro-MD"/>
        </w:rPr>
        <w:t>l</w:t>
      </w:r>
      <w:r>
        <w:rPr>
          <w:rFonts w:asciiTheme="majorHAnsi" w:hAnsiTheme="majorHAnsi" w:cstheme="majorHAnsi"/>
          <w:sz w:val="24"/>
          <w:szCs w:val="24"/>
          <w:lang w:val="ro-MD"/>
        </w:rPr>
        <w:t>e</w:t>
      </w:r>
      <w:r w:rsidR="00B5683B" w:rsidRPr="00CB5F81">
        <w:rPr>
          <w:rFonts w:asciiTheme="majorHAnsi" w:hAnsiTheme="majorHAnsi" w:cstheme="majorHAnsi"/>
          <w:sz w:val="24"/>
          <w:szCs w:val="24"/>
          <w:lang w:val="ro-MD"/>
        </w:rPr>
        <w:t xml:space="preserve"> metodologice privind reglementarea estimării, evidenței și raportării</w:t>
      </w:r>
      <w:r w:rsidR="00EC1EAF">
        <w:rPr>
          <w:rFonts w:asciiTheme="majorHAnsi" w:hAnsiTheme="majorHAnsi" w:cstheme="majorHAnsi"/>
          <w:sz w:val="24"/>
          <w:szCs w:val="24"/>
          <w:lang w:val="ro-MD"/>
        </w:rPr>
        <w:t xml:space="preserve"> </w:t>
      </w:r>
      <w:r w:rsidR="00B5683B" w:rsidRPr="00CB5F81">
        <w:rPr>
          <w:rFonts w:asciiTheme="majorHAnsi" w:hAnsiTheme="majorHAnsi" w:cstheme="majorHAnsi"/>
          <w:sz w:val="24"/>
          <w:szCs w:val="24"/>
          <w:lang w:val="ro-MD"/>
        </w:rPr>
        <w:t>facilităților fiscale, pentru asigurarea corectitudinii, plenitudinii și</w:t>
      </w:r>
      <w:r w:rsidR="00EC1EAF">
        <w:rPr>
          <w:rFonts w:asciiTheme="majorHAnsi" w:hAnsiTheme="majorHAnsi" w:cstheme="majorHAnsi"/>
          <w:sz w:val="24"/>
          <w:szCs w:val="24"/>
          <w:lang w:val="ro-MD"/>
        </w:rPr>
        <w:t xml:space="preserve"> </w:t>
      </w:r>
      <w:r w:rsidR="00B5683B" w:rsidRPr="00CB5F81">
        <w:rPr>
          <w:rFonts w:asciiTheme="majorHAnsi" w:hAnsiTheme="majorHAnsi" w:cstheme="majorHAnsi"/>
          <w:sz w:val="24"/>
          <w:szCs w:val="24"/>
          <w:lang w:val="ro-MD"/>
        </w:rPr>
        <w:t>veridicității datelor din Registrul unic al facilităților fiscale</w:t>
      </w:r>
      <w:r w:rsidR="0074343C">
        <w:rPr>
          <w:rFonts w:asciiTheme="majorHAnsi" w:hAnsiTheme="majorHAnsi" w:cstheme="majorHAnsi"/>
          <w:sz w:val="24"/>
          <w:szCs w:val="24"/>
          <w:lang w:val="ro-MD"/>
        </w:rPr>
        <w:t xml:space="preserve"> </w:t>
      </w:r>
      <w:r w:rsidR="0074343C" w:rsidRPr="0057782A">
        <w:rPr>
          <w:rFonts w:asciiTheme="majorHAnsi" w:hAnsiTheme="majorHAnsi" w:cstheme="majorHAnsi"/>
          <w:sz w:val="24"/>
          <w:szCs w:val="24"/>
          <w:lang w:val="ro-MD"/>
        </w:rPr>
        <w:t>(</w:t>
      </w:r>
      <w:r w:rsidR="0074343C" w:rsidRPr="0057782A">
        <w:rPr>
          <w:rFonts w:asciiTheme="majorHAnsi" w:eastAsia="Calibri" w:hAnsiTheme="majorHAnsi" w:cstheme="majorHAnsi"/>
          <w:bCs/>
          <w:sz w:val="24"/>
          <w:szCs w:val="24"/>
          <w:lang w:val="ro-MD"/>
        </w:rPr>
        <w:t xml:space="preserve">subcapitolul </w:t>
      </w:r>
      <w:r w:rsidR="0074343C">
        <w:rPr>
          <w:rFonts w:asciiTheme="majorHAnsi" w:eastAsia="Calibri" w:hAnsiTheme="majorHAnsi" w:cstheme="majorHAnsi"/>
          <w:bCs/>
          <w:sz w:val="24"/>
          <w:szCs w:val="24"/>
          <w:lang w:val="ro-MD"/>
        </w:rPr>
        <w:t>4.1</w:t>
      </w:r>
      <w:r w:rsidR="0074343C" w:rsidRPr="0057782A">
        <w:rPr>
          <w:rFonts w:asciiTheme="majorHAnsi" w:eastAsia="Calibri" w:hAnsiTheme="majorHAnsi" w:cstheme="majorHAnsi"/>
          <w:bCs/>
          <w:sz w:val="24"/>
          <w:szCs w:val="24"/>
          <w:lang w:val="ro-MD"/>
        </w:rPr>
        <w:t>.</w:t>
      </w:r>
      <w:r w:rsidR="0074343C">
        <w:rPr>
          <w:rFonts w:asciiTheme="majorHAnsi" w:eastAsia="Calibri" w:hAnsiTheme="majorHAnsi" w:cstheme="majorHAnsi"/>
          <w:bCs/>
          <w:sz w:val="24"/>
          <w:szCs w:val="24"/>
          <w:lang w:val="ro-MD"/>
        </w:rPr>
        <w:t>3</w:t>
      </w:r>
      <w:r w:rsidR="0074343C" w:rsidRPr="0057782A">
        <w:rPr>
          <w:rFonts w:asciiTheme="majorHAnsi" w:eastAsia="Calibri" w:hAnsiTheme="majorHAnsi" w:cstheme="majorHAnsi"/>
          <w:bCs/>
          <w:sz w:val="24"/>
          <w:szCs w:val="24"/>
          <w:lang w:val="ro-MD"/>
        </w:rPr>
        <w:t>.)</w:t>
      </w:r>
      <w:r w:rsidR="002A6AFE" w:rsidRPr="00CB5F81">
        <w:rPr>
          <w:rFonts w:asciiTheme="majorHAnsi" w:hAnsiTheme="majorHAnsi" w:cstheme="majorHAnsi"/>
          <w:sz w:val="24"/>
          <w:szCs w:val="24"/>
          <w:lang w:val="ro-MD"/>
        </w:rPr>
        <w:t>.</w:t>
      </w:r>
      <w:r w:rsidR="00EC1EAF">
        <w:rPr>
          <w:rFonts w:asciiTheme="majorHAnsi" w:hAnsiTheme="majorHAnsi" w:cstheme="majorHAnsi"/>
          <w:sz w:val="24"/>
          <w:szCs w:val="24"/>
          <w:lang w:val="ro-MD"/>
        </w:rPr>
        <w:t xml:space="preserve"> </w:t>
      </w:r>
    </w:p>
    <w:p w:rsidR="00B5683B" w:rsidRPr="00CB5F81" w:rsidRDefault="005408BF" w:rsidP="00A219B1">
      <w:pPr>
        <w:pStyle w:val="ListParagraph"/>
        <w:numPr>
          <w:ilvl w:val="0"/>
          <w:numId w:val="17"/>
        </w:numPr>
        <w:spacing w:after="120"/>
        <w:ind w:left="274" w:hanging="274"/>
        <w:contextualSpacing w:val="0"/>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Să r</w:t>
      </w:r>
      <w:r w:rsidR="00B5683B" w:rsidRPr="00CB5F81">
        <w:rPr>
          <w:rFonts w:asciiTheme="majorHAnsi" w:eastAsia="Times New Roman" w:hAnsiTheme="majorHAnsi" w:cstheme="majorHAnsi"/>
          <w:sz w:val="24"/>
          <w:szCs w:val="24"/>
          <w:lang w:val="ro-MD" w:eastAsia="ru-RU"/>
        </w:rPr>
        <w:t>eexamin</w:t>
      </w:r>
      <w:r>
        <w:rPr>
          <w:rFonts w:asciiTheme="majorHAnsi" w:eastAsia="Times New Roman" w:hAnsiTheme="majorHAnsi" w:cstheme="majorHAnsi"/>
          <w:sz w:val="24"/>
          <w:szCs w:val="24"/>
          <w:lang w:val="ro-MD" w:eastAsia="ru-RU"/>
        </w:rPr>
        <w:t>eze</w:t>
      </w:r>
      <w:r w:rsidR="00B5683B" w:rsidRPr="00CB5F81">
        <w:rPr>
          <w:rFonts w:asciiTheme="majorHAnsi" w:eastAsia="Times New Roman" w:hAnsiTheme="majorHAnsi" w:cstheme="majorHAnsi"/>
          <w:sz w:val="24"/>
          <w:szCs w:val="24"/>
          <w:lang w:val="ro-MD" w:eastAsia="ru-RU"/>
        </w:rPr>
        <w:t xml:space="preserve"> </w:t>
      </w:r>
      <w:r w:rsidR="009305E0">
        <w:rPr>
          <w:rFonts w:asciiTheme="majorHAnsi" w:eastAsia="Times New Roman" w:hAnsiTheme="majorHAnsi" w:cstheme="majorHAnsi"/>
          <w:sz w:val="24"/>
          <w:szCs w:val="24"/>
          <w:lang w:val="ro-MD" w:eastAsia="ru-RU"/>
        </w:rPr>
        <w:t xml:space="preserve"> </w:t>
      </w:r>
      <w:r w:rsidR="00B5683B" w:rsidRPr="00CB5F81">
        <w:rPr>
          <w:rFonts w:asciiTheme="majorHAnsi" w:eastAsia="Times New Roman" w:hAnsiTheme="majorHAnsi" w:cstheme="majorHAnsi"/>
          <w:sz w:val="24"/>
          <w:szCs w:val="24"/>
          <w:lang w:val="ro-MD" w:eastAsia="ru-RU"/>
        </w:rPr>
        <w:t xml:space="preserve">modul de acordare a scutirilor </w:t>
      </w:r>
      <w:r>
        <w:rPr>
          <w:rFonts w:asciiTheme="majorHAnsi" w:eastAsia="Times New Roman" w:hAnsiTheme="majorHAnsi" w:cstheme="majorHAnsi"/>
          <w:sz w:val="24"/>
          <w:szCs w:val="24"/>
          <w:lang w:val="ro-MD" w:eastAsia="ru-RU"/>
        </w:rPr>
        <w:t>de</w:t>
      </w:r>
      <w:r w:rsidR="00B5683B" w:rsidRPr="00CB5F81">
        <w:rPr>
          <w:rFonts w:asciiTheme="majorHAnsi" w:eastAsia="Times New Roman" w:hAnsiTheme="majorHAnsi" w:cstheme="majorHAnsi"/>
          <w:sz w:val="24"/>
          <w:szCs w:val="24"/>
          <w:lang w:val="ro-MD" w:eastAsia="ru-RU"/>
        </w:rPr>
        <w:t xml:space="preserve"> </w:t>
      </w:r>
      <w:r w:rsidR="00A002BA">
        <w:rPr>
          <w:rFonts w:asciiTheme="majorHAnsi" w:eastAsia="Times New Roman" w:hAnsiTheme="majorHAnsi" w:cstheme="majorHAnsi"/>
          <w:sz w:val="24"/>
          <w:szCs w:val="24"/>
          <w:lang w:val="ro-MD" w:eastAsia="ru-RU"/>
        </w:rPr>
        <w:t>accize</w:t>
      </w:r>
      <w:r w:rsidR="00C5013A" w:rsidRPr="00CB5F81">
        <w:rPr>
          <w:rFonts w:asciiTheme="majorHAnsi" w:eastAsia="Times New Roman" w:hAnsiTheme="majorHAnsi" w:cstheme="majorHAnsi"/>
          <w:sz w:val="24"/>
          <w:szCs w:val="24"/>
          <w:lang w:val="ro-MD" w:eastAsia="ru-RU"/>
        </w:rPr>
        <w:t>,</w:t>
      </w:r>
      <w:r w:rsidR="00B5683B" w:rsidRPr="00CB5F81">
        <w:rPr>
          <w:rFonts w:asciiTheme="majorHAnsi" w:eastAsia="Times New Roman" w:hAnsiTheme="majorHAnsi" w:cstheme="majorHAnsi"/>
          <w:sz w:val="24"/>
          <w:szCs w:val="24"/>
          <w:lang w:val="ro-MD" w:eastAsia="ru-RU"/>
        </w:rPr>
        <w:t xml:space="preserve"> </w:t>
      </w:r>
      <w:r w:rsidR="009305E0">
        <w:rPr>
          <w:rFonts w:asciiTheme="majorHAnsi" w:eastAsia="Times New Roman" w:hAnsiTheme="majorHAnsi" w:cstheme="majorHAnsi"/>
          <w:sz w:val="24"/>
          <w:szCs w:val="24"/>
          <w:lang w:val="ro-MD" w:eastAsia="ru-RU"/>
        </w:rPr>
        <w:t xml:space="preserve">cu excluderea celor ineficiente, precum și </w:t>
      </w:r>
      <w:r>
        <w:rPr>
          <w:rFonts w:asciiTheme="majorHAnsi" w:eastAsia="Times New Roman" w:hAnsiTheme="majorHAnsi" w:cstheme="majorHAnsi"/>
          <w:sz w:val="24"/>
          <w:szCs w:val="24"/>
          <w:lang w:val="ro-MD" w:eastAsia="ru-RU"/>
        </w:rPr>
        <w:t xml:space="preserve">să </w:t>
      </w:r>
      <w:r w:rsidR="0096367B">
        <w:rPr>
          <w:rFonts w:asciiTheme="majorHAnsi" w:eastAsia="Times New Roman" w:hAnsiTheme="majorHAnsi" w:cstheme="majorHAnsi"/>
          <w:sz w:val="24"/>
          <w:szCs w:val="24"/>
          <w:lang w:val="ro-MD" w:eastAsia="ru-RU"/>
        </w:rPr>
        <w:t>examin</w:t>
      </w:r>
      <w:r>
        <w:rPr>
          <w:rFonts w:asciiTheme="majorHAnsi" w:eastAsia="Times New Roman" w:hAnsiTheme="majorHAnsi" w:cstheme="majorHAnsi"/>
          <w:sz w:val="24"/>
          <w:szCs w:val="24"/>
          <w:lang w:val="ro-MD" w:eastAsia="ru-RU"/>
        </w:rPr>
        <w:t>eze</w:t>
      </w:r>
      <w:r w:rsidR="0096367B">
        <w:rPr>
          <w:rFonts w:asciiTheme="majorHAnsi" w:eastAsia="Times New Roman" w:hAnsiTheme="majorHAnsi" w:cstheme="majorHAnsi"/>
          <w:sz w:val="24"/>
          <w:szCs w:val="24"/>
          <w:lang w:val="ro-MD" w:eastAsia="ru-RU"/>
        </w:rPr>
        <w:t xml:space="preserve"> oportunit</w:t>
      </w:r>
      <w:r>
        <w:rPr>
          <w:rFonts w:asciiTheme="majorHAnsi" w:eastAsia="Times New Roman" w:hAnsiTheme="majorHAnsi" w:cstheme="majorHAnsi"/>
          <w:sz w:val="24"/>
          <w:szCs w:val="24"/>
          <w:lang w:val="ro-MD" w:eastAsia="ru-RU"/>
        </w:rPr>
        <w:t>atea</w:t>
      </w:r>
      <w:r w:rsidR="0096367B">
        <w:rPr>
          <w:rFonts w:asciiTheme="majorHAnsi" w:eastAsia="Times New Roman" w:hAnsiTheme="majorHAnsi" w:cstheme="majorHAnsi"/>
          <w:sz w:val="24"/>
          <w:szCs w:val="24"/>
          <w:lang w:val="ro-MD" w:eastAsia="ru-RU"/>
        </w:rPr>
        <w:t xml:space="preserve"> instituirii</w:t>
      </w:r>
      <w:r w:rsidR="00B5683B" w:rsidRPr="00CB5F81">
        <w:rPr>
          <w:rFonts w:asciiTheme="majorHAnsi" w:eastAsia="Times New Roman" w:hAnsiTheme="majorHAnsi" w:cstheme="majorHAnsi"/>
          <w:sz w:val="24"/>
          <w:szCs w:val="24"/>
          <w:lang w:val="ro-MD" w:eastAsia="ru-RU"/>
        </w:rPr>
        <w:t xml:space="preserve"> mecanismului de valorificare a </w:t>
      </w:r>
      <w:r w:rsidR="002A6AFE" w:rsidRPr="00CB5F81">
        <w:rPr>
          <w:rFonts w:asciiTheme="majorHAnsi" w:eastAsia="Times New Roman" w:hAnsiTheme="majorHAnsi" w:cstheme="majorHAnsi"/>
          <w:sz w:val="24"/>
          <w:szCs w:val="24"/>
          <w:lang w:val="ro-MD" w:eastAsia="ru-RU"/>
        </w:rPr>
        <w:t>a</w:t>
      </w:r>
      <w:r w:rsidR="00B5683B" w:rsidRPr="00CB5F81">
        <w:rPr>
          <w:rFonts w:asciiTheme="majorHAnsi" w:eastAsia="Times New Roman" w:hAnsiTheme="majorHAnsi" w:cstheme="majorHAnsi"/>
          <w:sz w:val="24"/>
          <w:szCs w:val="24"/>
          <w:lang w:val="ro-MD" w:eastAsia="ru-RU"/>
        </w:rPr>
        <w:t>cestora</w:t>
      </w:r>
      <w:r w:rsidR="00EC1EAF">
        <w:rPr>
          <w:rFonts w:asciiTheme="majorHAnsi" w:eastAsia="Times New Roman" w:hAnsiTheme="majorHAnsi" w:cstheme="majorHAnsi"/>
          <w:sz w:val="24"/>
          <w:szCs w:val="24"/>
          <w:lang w:val="ro-MD" w:eastAsia="ru-RU"/>
        </w:rPr>
        <w:t xml:space="preserve"> </w:t>
      </w:r>
      <w:r w:rsidR="00B5683B" w:rsidRPr="00CB5F81">
        <w:rPr>
          <w:rFonts w:asciiTheme="majorHAnsi" w:eastAsia="Times New Roman" w:hAnsiTheme="majorHAnsi" w:cstheme="majorHAnsi"/>
          <w:sz w:val="24"/>
          <w:szCs w:val="24"/>
          <w:lang w:val="ro-MD" w:eastAsia="ru-RU"/>
        </w:rPr>
        <w:t>prin metoda de rambursare a plăților</w:t>
      </w:r>
      <w:r w:rsidR="00EC1EAF">
        <w:rPr>
          <w:rFonts w:asciiTheme="majorHAnsi" w:eastAsia="Times New Roman" w:hAnsiTheme="majorHAnsi" w:cstheme="majorHAnsi"/>
          <w:sz w:val="24"/>
          <w:szCs w:val="24"/>
          <w:lang w:val="ro-MD" w:eastAsia="ru-RU"/>
        </w:rPr>
        <w:t xml:space="preserve"> </w:t>
      </w:r>
      <w:r w:rsidR="00B5683B" w:rsidRPr="00CB5F81">
        <w:rPr>
          <w:rFonts w:asciiTheme="majorHAnsi" w:eastAsia="Times New Roman" w:hAnsiTheme="majorHAnsi" w:cstheme="majorHAnsi"/>
          <w:sz w:val="24"/>
          <w:szCs w:val="24"/>
          <w:lang w:val="ro-MD" w:eastAsia="ru-RU"/>
        </w:rPr>
        <w:t xml:space="preserve">efectiv achitate, </w:t>
      </w:r>
      <w:r w:rsidR="009305E0">
        <w:rPr>
          <w:rFonts w:asciiTheme="majorHAnsi" w:eastAsia="Times New Roman" w:hAnsiTheme="majorHAnsi" w:cstheme="majorHAnsi"/>
          <w:sz w:val="24"/>
          <w:szCs w:val="24"/>
          <w:lang w:val="ro-MD" w:eastAsia="ru-RU"/>
        </w:rPr>
        <w:t xml:space="preserve">în conformitate cu </w:t>
      </w:r>
      <w:r w:rsidR="00B5683B" w:rsidRPr="00CB5F81">
        <w:rPr>
          <w:rFonts w:asciiTheme="majorHAnsi" w:eastAsia="Times New Roman" w:hAnsiTheme="majorHAnsi" w:cstheme="majorHAnsi"/>
          <w:sz w:val="24"/>
          <w:szCs w:val="24"/>
          <w:lang w:val="ro-MD" w:eastAsia="ru-RU"/>
        </w:rPr>
        <w:t>bunele practici</w:t>
      </w:r>
      <w:r w:rsidR="002A6AFE" w:rsidRPr="00CB5F81">
        <w:rPr>
          <w:rFonts w:asciiTheme="majorHAnsi" w:eastAsia="Times New Roman" w:hAnsiTheme="majorHAnsi" w:cstheme="majorHAnsi"/>
          <w:sz w:val="24"/>
          <w:szCs w:val="24"/>
          <w:lang w:val="ro-MD" w:eastAsia="ru-RU"/>
        </w:rPr>
        <w:t xml:space="preserve"> din domeniu</w:t>
      </w:r>
      <w:r w:rsidR="00A219B1">
        <w:rPr>
          <w:rFonts w:asciiTheme="majorHAnsi" w:eastAsia="Times New Roman" w:hAnsiTheme="majorHAnsi" w:cstheme="majorHAnsi"/>
          <w:sz w:val="24"/>
          <w:szCs w:val="24"/>
          <w:lang w:val="ro-MD" w:eastAsia="ru-RU"/>
        </w:rPr>
        <w:t xml:space="preserve"> </w:t>
      </w:r>
      <w:r w:rsidR="00A219B1" w:rsidRPr="0057782A">
        <w:rPr>
          <w:rFonts w:asciiTheme="majorHAnsi" w:hAnsiTheme="majorHAnsi" w:cstheme="majorHAnsi"/>
          <w:sz w:val="24"/>
          <w:szCs w:val="24"/>
          <w:lang w:val="ro-MD"/>
        </w:rPr>
        <w:t>(</w:t>
      </w:r>
      <w:r w:rsidR="00A219B1" w:rsidRPr="0057782A">
        <w:rPr>
          <w:rFonts w:asciiTheme="majorHAnsi" w:eastAsia="Calibri" w:hAnsiTheme="majorHAnsi" w:cstheme="majorHAnsi"/>
          <w:bCs/>
          <w:sz w:val="24"/>
          <w:szCs w:val="24"/>
          <w:lang w:val="ro-MD"/>
        </w:rPr>
        <w:t xml:space="preserve">subcapitolul </w:t>
      </w:r>
      <w:r w:rsidR="00A219B1">
        <w:rPr>
          <w:rFonts w:asciiTheme="majorHAnsi" w:eastAsia="Calibri" w:hAnsiTheme="majorHAnsi" w:cstheme="majorHAnsi"/>
          <w:bCs/>
          <w:sz w:val="24"/>
          <w:szCs w:val="24"/>
          <w:lang w:val="ro-MD"/>
        </w:rPr>
        <w:t>4.2.4</w:t>
      </w:r>
      <w:r w:rsidR="00A219B1" w:rsidRPr="0057782A">
        <w:rPr>
          <w:rFonts w:asciiTheme="majorHAnsi" w:eastAsia="Calibri" w:hAnsiTheme="majorHAnsi" w:cstheme="majorHAnsi"/>
          <w:bCs/>
          <w:sz w:val="24"/>
          <w:szCs w:val="24"/>
          <w:lang w:val="ro-MD"/>
        </w:rPr>
        <w:t>.)</w:t>
      </w:r>
      <w:r w:rsidR="00B5683B" w:rsidRPr="00CB5F81">
        <w:rPr>
          <w:rFonts w:asciiTheme="majorHAnsi" w:eastAsia="Times New Roman" w:hAnsiTheme="majorHAnsi" w:cstheme="majorHAnsi"/>
          <w:sz w:val="24"/>
          <w:szCs w:val="24"/>
          <w:lang w:val="ro-MD" w:eastAsia="ru-RU"/>
        </w:rPr>
        <w:t xml:space="preserve">. </w:t>
      </w:r>
      <w:r w:rsidR="0096367B">
        <w:rPr>
          <w:rFonts w:asciiTheme="majorHAnsi" w:eastAsia="Times New Roman" w:hAnsiTheme="majorHAnsi" w:cstheme="majorHAnsi"/>
          <w:sz w:val="24"/>
          <w:szCs w:val="24"/>
          <w:lang w:val="ro-MD" w:eastAsia="ru-RU"/>
        </w:rPr>
        <w:t xml:space="preserve"> </w:t>
      </w:r>
    </w:p>
    <w:p w:rsidR="00940FCA" w:rsidRPr="00CB5F81" w:rsidRDefault="00D51726" w:rsidP="00940FCA">
      <w:pPr>
        <w:pStyle w:val="ListParagraph"/>
        <w:numPr>
          <w:ilvl w:val="0"/>
          <w:numId w:val="17"/>
        </w:numPr>
        <w:ind w:left="270" w:hanging="270"/>
        <w:jc w:val="both"/>
        <w:rPr>
          <w:rFonts w:asciiTheme="majorHAnsi" w:hAnsiTheme="majorHAnsi" w:cstheme="majorHAnsi"/>
          <w:b/>
          <w:sz w:val="24"/>
          <w:szCs w:val="24"/>
          <w:u w:val="single"/>
          <w:lang w:val="ro-MD"/>
        </w:rPr>
      </w:pPr>
      <w:r w:rsidRPr="00CB5F81">
        <w:rPr>
          <w:rFonts w:asciiTheme="majorHAnsi" w:eastAsia="Times New Roman" w:hAnsiTheme="majorHAnsi" w:cstheme="majorHAnsi"/>
          <w:sz w:val="24"/>
          <w:szCs w:val="24"/>
          <w:lang w:val="ro-MD" w:eastAsia="ru-RU"/>
        </w:rPr>
        <w:t xml:space="preserve">Să </w:t>
      </w:r>
      <w:r w:rsidR="00C0548E">
        <w:rPr>
          <w:rFonts w:asciiTheme="majorHAnsi" w:eastAsia="Times New Roman" w:hAnsiTheme="majorHAnsi" w:cstheme="majorHAnsi"/>
          <w:sz w:val="24"/>
          <w:szCs w:val="24"/>
          <w:lang w:val="ro-MD" w:eastAsia="ru-RU"/>
        </w:rPr>
        <w:t xml:space="preserve">continue </w:t>
      </w:r>
      <w:r w:rsidRPr="00CB5F81">
        <w:rPr>
          <w:rFonts w:asciiTheme="majorHAnsi" w:eastAsia="Times New Roman" w:hAnsiTheme="majorHAnsi" w:cstheme="majorHAnsi"/>
          <w:sz w:val="24"/>
          <w:szCs w:val="24"/>
          <w:lang w:val="ro-MD" w:eastAsia="ru-RU"/>
        </w:rPr>
        <w:t xml:space="preserve">o conlucrare </w:t>
      </w:r>
      <w:r w:rsidR="00940FCA" w:rsidRPr="00CB5F81">
        <w:rPr>
          <w:rFonts w:asciiTheme="majorHAnsi" w:eastAsia="Times New Roman" w:hAnsiTheme="majorHAnsi" w:cstheme="majorHAnsi"/>
          <w:sz w:val="24"/>
          <w:szCs w:val="24"/>
          <w:lang w:val="ro-MD" w:eastAsia="ru-RU"/>
        </w:rPr>
        <w:t xml:space="preserve">interinstituțională </w:t>
      </w:r>
      <w:r w:rsidRPr="00CB5F81">
        <w:rPr>
          <w:rFonts w:asciiTheme="majorHAnsi" w:eastAsia="Times New Roman" w:hAnsiTheme="majorHAnsi" w:cstheme="majorHAnsi"/>
          <w:sz w:val="24"/>
          <w:szCs w:val="24"/>
          <w:lang w:val="ro-MD" w:eastAsia="ru-RU"/>
        </w:rPr>
        <w:t>cu Consiliul C</w:t>
      </w:r>
      <w:r w:rsidR="00940FCA" w:rsidRPr="00CB5F81">
        <w:rPr>
          <w:rFonts w:asciiTheme="majorHAnsi" w:eastAsia="Times New Roman" w:hAnsiTheme="majorHAnsi" w:cstheme="majorHAnsi"/>
          <w:sz w:val="24"/>
          <w:szCs w:val="24"/>
          <w:lang w:val="ro-MD" w:eastAsia="ru-RU"/>
        </w:rPr>
        <w:t>oncurenței, SFS și alte autorități privind</w:t>
      </w:r>
      <w:r w:rsidR="00EC1EAF">
        <w:rPr>
          <w:rFonts w:asciiTheme="majorHAnsi" w:eastAsia="Times New Roman" w:hAnsiTheme="majorHAnsi" w:cstheme="majorHAnsi"/>
          <w:sz w:val="24"/>
          <w:szCs w:val="24"/>
          <w:lang w:val="ro-MD" w:eastAsia="ru-RU"/>
        </w:rPr>
        <w:t xml:space="preserve"> </w:t>
      </w:r>
      <w:r w:rsidRPr="00CB5F81">
        <w:rPr>
          <w:rFonts w:asciiTheme="majorHAnsi" w:eastAsia="Times New Roman" w:hAnsiTheme="majorHAnsi" w:cstheme="majorHAnsi"/>
          <w:sz w:val="24"/>
          <w:szCs w:val="24"/>
          <w:lang w:val="ro-MD" w:eastAsia="ru-RU"/>
        </w:rPr>
        <w:t>reexamin</w:t>
      </w:r>
      <w:r w:rsidR="00940FCA" w:rsidRPr="00CB5F81">
        <w:rPr>
          <w:rFonts w:asciiTheme="majorHAnsi" w:eastAsia="Times New Roman" w:hAnsiTheme="majorHAnsi" w:cstheme="majorHAnsi"/>
          <w:sz w:val="24"/>
          <w:szCs w:val="24"/>
          <w:lang w:val="ro-MD" w:eastAsia="ru-RU"/>
        </w:rPr>
        <w:t xml:space="preserve">area prin prisma legislației aferente ajutorului de stat a </w:t>
      </w:r>
      <w:r w:rsidRPr="00CB5F81">
        <w:rPr>
          <w:rFonts w:asciiTheme="majorHAnsi" w:eastAsia="Times New Roman" w:hAnsiTheme="majorHAnsi" w:cstheme="majorHAnsi"/>
          <w:sz w:val="24"/>
          <w:szCs w:val="24"/>
          <w:lang w:val="ro-MD" w:eastAsia="ru-RU"/>
        </w:rPr>
        <w:t>întregului spectru de facilități fiscale</w:t>
      </w:r>
      <w:r w:rsidR="00940FCA" w:rsidRPr="00CB5F81">
        <w:rPr>
          <w:rFonts w:asciiTheme="majorHAnsi" w:eastAsia="Times New Roman" w:hAnsiTheme="majorHAnsi" w:cstheme="majorHAnsi"/>
          <w:sz w:val="24"/>
          <w:szCs w:val="24"/>
          <w:lang w:val="ro-MD" w:eastAsia="ru-RU"/>
        </w:rPr>
        <w:t>, precum și alinierea schemelor de ajutor de stat existente la prevederile acquis-ului comunitar,</w:t>
      </w:r>
      <w:r w:rsidR="00EC1EAF">
        <w:rPr>
          <w:rFonts w:asciiTheme="majorHAnsi" w:eastAsia="Times New Roman" w:hAnsiTheme="majorHAnsi" w:cstheme="majorHAnsi"/>
          <w:sz w:val="24"/>
          <w:szCs w:val="24"/>
          <w:lang w:val="ro-MD" w:eastAsia="ru-RU"/>
        </w:rPr>
        <w:t xml:space="preserve"> </w:t>
      </w:r>
      <w:r w:rsidR="00940FCA" w:rsidRPr="00CB5F81">
        <w:rPr>
          <w:rFonts w:asciiTheme="majorHAnsi" w:eastAsia="Times New Roman" w:hAnsiTheme="majorHAnsi" w:cstheme="majorHAnsi"/>
          <w:sz w:val="24"/>
          <w:szCs w:val="24"/>
          <w:lang w:val="ro-MD" w:eastAsia="ru-RU"/>
        </w:rPr>
        <w:t>în scopul respectării angajamentelor asumate</w:t>
      </w:r>
      <w:r w:rsidR="00A219B1">
        <w:rPr>
          <w:rFonts w:asciiTheme="majorHAnsi" w:eastAsia="Times New Roman" w:hAnsiTheme="majorHAnsi" w:cstheme="majorHAnsi"/>
          <w:sz w:val="24"/>
          <w:szCs w:val="24"/>
          <w:lang w:val="ro-MD" w:eastAsia="ru-RU"/>
        </w:rPr>
        <w:t xml:space="preserve"> </w:t>
      </w:r>
      <w:r w:rsidR="00A219B1" w:rsidRPr="0057782A">
        <w:rPr>
          <w:rFonts w:asciiTheme="majorHAnsi" w:hAnsiTheme="majorHAnsi" w:cstheme="majorHAnsi"/>
          <w:sz w:val="24"/>
          <w:szCs w:val="24"/>
          <w:lang w:val="ro-MD"/>
        </w:rPr>
        <w:t>(</w:t>
      </w:r>
      <w:r w:rsidR="00A219B1" w:rsidRPr="0057782A">
        <w:rPr>
          <w:rFonts w:asciiTheme="majorHAnsi" w:eastAsia="Calibri" w:hAnsiTheme="majorHAnsi" w:cstheme="majorHAnsi"/>
          <w:bCs/>
          <w:sz w:val="24"/>
          <w:szCs w:val="24"/>
          <w:lang w:val="ro-MD"/>
        </w:rPr>
        <w:t xml:space="preserve">subcapitolul </w:t>
      </w:r>
      <w:r w:rsidR="00A219B1">
        <w:rPr>
          <w:rFonts w:asciiTheme="majorHAnsi" w:eastAsia="Calibri" w:hAnsiTheme="majorHAnsi" w:cstheme="majorHAnsi"/>
          <w:bCs/>
          <w:sz w:val="24"/>
          <w:szCs w:val="24"/>
          <w:lang w:val="ro-MD"/>
        </w:rPr>
        <w:t>4.2.6</w:t>
      </w:r>
      <w:r w:rsidR="00A219B1" w:rsidRPr="0057782A">
        <w:rPr>
          <w:rFonts w:asciiTheme="majorHAnsi" w:eastAsia="Calibri" w:hAnsiTheme="majorHAnsi" w:cstheme="majorHAnsi"/>
          <w:bCs/>
          <w:sz w:val="24"/>
          <w:szCs w:val="24"/>
          <w:lang w:val="ro-MD"/>
        </w:rPr>
        <w:t>.)</w:t>
      </w:r>
      <w:r w:rsidR="00940FCA" w:rsidRPr="00CB5F81">
        <w:rPr>
          <w:rFonts w:asciiTheme="majorHAnsi" w:eastAsia="Times New Roman" w:hAnsiTheme="majorHAnsi" w:cstheme="majorHAnsi"/>
          <w:sz w:val="24"/>
          <w:szCs w:val="24"/>
          <w:lang w:val="ro-MD" w:eastAsia="ru-RU"/>
        </w:rPr>
        <w:t>.</w:t>
      </w:r>
    </w:p>
    <w:p w:rsidR="00940FCA" w:rsidRPr="00CB5F81" w:rsidRDefault="00940FCA" w:rsidP="00940FCA">
      <w:pPr>
        <w:pStyle w:val="ListParagraph"/>
        <w:ind w:left="270"/>
        <w:jc w:val="both"/>
        <w:rPr>
          <w:rFonts w:asciiTheme="majorHAnsi" w:eastAsia="Times New Roman" w:hAnsiTheme="majorHAnsi" w:cstheme="majorHAnsi"/>
          <w:sz w:val="24"/>
          <w:szCs w:val="24"/>
          <w:lang w:val="ro-MD" w:eastAsia="ru-RU"/>
        </w:rPr>
      </w:pPr>
    </w:p>
    <w:p w:rsidR="00E47688" w:rsidRPr="001F4A12" w:rsidRDefault="00B5683B" w:rsidP="001F4A12">
      <w:pPr>
        <w:pStyle w:val="ListParagraph"/>
        <w:spacing w:after="120"/>
        <w:ind w:left="274"/>
        <w:contextualSpacing w:val="0"/>
        <w:jc w:val="both"/>
        <w:rPr>
          <w:rFonts w:asciiTheme="majorHAnsi" w:hAnsiTheme="majorHAnsi" w:cstheme="majorHAnsi"/>
          <w:b/>
          <w:sz w:val="24"/>
          <w:szCs w:val="24"/>
          <w:u w:val="single"/>
          <w:lang w:val="ro-MD"/>
        </w:rPr>
      </w:pPr>
      <w:r w:rsidRPr="001F4A12">
        <w:rPr>
          <w:rFonts w:asciiTheme="minorHAnsi" w:hAnsiTheme="minorHAnsi"/>
          <w:b/>
          <w:sz w:val="24"/>
          <w:szCs w:val="24"/>
          <w:u w:val="single"/>
          <w:lang w:val="ro-MD"/>
        </w:rPr>
        <w:t>S</w:t>
      </w:r>
      <w:r w:rsidR="009011CA">
        <w:rPr>
          <w:rFonts w:asciiTheme="minorHAnsi" w:hAnsiTheme="minorHAnsi"/>
          <w:b/>
          <w:sz w:val="24"/>
          <w:szCs w:val="24"/>
          <w:u w:val="single"/>
          <w:lang w:val="ro-MD"/>
        </w:rPr>
        <w:t>erviciului Fiscal de Stat</w:t>
      </w:r>
      <w:r w:rsidR="00940FCA" w:rsidRPr="001F4A12">
        <w:rPr>
          <w:rFonts w:asciiTheme="minorHAnsi" w:hAnsiTheme="minorHAnsi"/>
          <w:b/>
          <w:sz w:val="24"/>
          <w:szCs w:val="24"/>
          <w:u w:val="single"/>
          <w:lang w:val="ro-MD"/>
        </w:rPr>
        <w:t>:</w:t>
      </w:r>
      <w:r w:rsidRPr="001F4A12">
        <w:rPr>
          <w:rFonts w:asciiTheme="minorHAnsi" w:hAnsiTheme="minorHAnsi"/>
          <w:b/>
          <w:sz w:val="24"/>
          <w:szCs w:val="24"/>
          <w:u w:val="single"/>
          <w:lang w:val="ro-MD"/>
        </w:rPr>
        <w:t xml:space="preserve"> </w:t>
      </w:r>
    </w:p>
    <w:p w:rsidR="00D812D0" w:rsidRPr="00CB5F81" w:rsidRDefault="00B5683B" w:rsidP="00561F5D">
      <w:pPr>
        <w:pStyle w:val="ListParagraph"/>
        <w:numPr>
          <w:ilvl w:val="0"/>
          <w:numId w:val="17"/>
        </w:numPr>
        <w:spacing w:after="120" w:line="259" w:lineRule="auto"/>
        <w:ind w:left="274" w:hanging="274"/>
        <w:contextualSpacing w:val="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Să instituie activități analitice și de control</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privind asigurarea funcționalității instrumentelor utilizate la determinarea valorii facilităților fiscale raportare</w:t>
      </w:r>
      <w:r w:rsidR="005408BF">
        <w:rPr>
          <w:rFonts w:asciiTheme="majorHAnsi" w:hAnsiTheme="majorHAnsi" w:cstheme="majorHAnsi"/>
          <w:sz w:val="24"/>
          <w:szCs w:val="24"/>
          <w:lang w:val="ro-MD"/>
        </w:rPr>
        <w:t>,</w:t>
      </w:r>
      <w:r w:rsidRPr="00CB5F81">
        <w:rPr>
          <w:rFonts w:asciiTheme="majorHAnsi" w:hAnsiTheme="majorHAnsi" w:cstheme="majorHAnsi"/>
          <w:sz w:val="24"/>
          <w:szCs w:val="24"/>
          <w:lang w:val="ro-MD"/>
        </w:rPr>
        <w:t xml:space="preserve"> precum și</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 xml:space="preserve">identificarea și înlăturarea cauzelor erorilor </w:t>
      </w:r>
      <w:r w:rsidR="006278AE" w:rsidRPr="00CB5F81">
        <w:rPr>
          <w:rFonts w:asciiTheme="majorHAnsi" w:hAnsiTheme="majorHAnsi" w:cstheme="majorHAnsi"/>
          <w:sz w:val="24"/>
          <w:szCs w:val="24"/>
          <w:lang w:val="ro-MD"/>
        </w:rPr>
        <w:t xml:space="preserve">constatate </w:t>
      </w:r>
      <w:r w:rsidRPr="00CB5F81">
        <w:rPr>
          <w:rFonts w:asciiTheme="majorHAnsi" w:hAnsiTheme="majorHAnsi" w:cstheme="majorHAnsi"/>
          <w:sz w:val="24"/>
          <w:szCs w:val="24"/>
          <w:lang w:val="ro-MD"/>
        </w:rPr>
        <w:t>de audit</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la agregarea d</w:t>
      </w:r>
      <w:r w:rsidR="009B5A20" w:rsidRPr="00CB5F81">
        <w:rPr>
          <w:rFonts w:asciiTheme="majorHAnsi" w:hAnsiTheme="majorHAnsi" w:cstheme="majorHAnsi"/>
          <w:sz w:val="24"/>
          <w:szCs w:val="24"/>
          <w:lang w:val="ro-MD"/>
        </w:rPr>
        <w:t>atelor</w:t>
      </w:r>
      <w:r w:rsidR="00062B4E">
        <w:rPr>
          <w:rFonts w:asciiTheme="majorHAnsi" w:hAnsiTheme="majorHAnsi" w:cstheme="majorHAnsi"/>
          <w:sz w:val="24"/>
          <w:szCs w:val="24"/>
          <w:lang w:val="ro-MD"/>
        </w:rPr>
        <w:t xml:space="preserve"> </w:t>
      </w:r>
      <w:r w:rsidR="00062B4E" w:rsidRPr="0057782A">
        <w:rPr>
          <w:rFonts w:asciiTheme="majorHAnsi" w:hAnsiTheme="majorHAnsi" w:cstheme="majorHAnsi"/>
          <w:sz w:val="24"/>
          <w:szCs w:val="24"/>
          <w:lang w:val="ro-MD"/>
        </w:rPr>
        <w:t>(</w:t>
      </w:r>
      <w:r w:rsidR="00062B4E" w:rsidRPr="0057782A">
        <w:rPr>
          <w:rFonts w:asciiTheme="majorHAnsi" w:eastAsia="Calibri" w:hAnsiTheme="majorHAnsi" w:cstheme="majorHAnsi"/>
          <w:bCs/>
          <w:sz w:val="24"/>
          <w:szCs w:val="24"/>
          <w:lang w:val="ro-MD"/>
        </w:rPr>
        <w:t xml:space="preserve">subcapitolul </w:t>
      </w:r>
      <w:r w:rsidR="00062B4E">
        <w:rPr>
          <w:rFonts w:asciiTheme="majorHAnsi" w:eastAsia="Calibri" w:hAnsiTheme="majorHAnsi" w:cstheme="majorHAnsi"/>
          <w:bCs/>
          <w:sz w:val="24"/>
          <w:szCs w:val="24"/>
          <w:lang w:val="ro-MD"/>
        </w:rPr>
        <w:t>4.1.3</w:t>
      </w:r>
      <w:r w:rsidR="00062B4E" w:rsidRPr="0057782A">
        <w:rPr>
          <w:rFonts w:asciiTheme="majorHAnsi" w:eastAsia="Calibri" w:hAnsiTheme="majorHAnsi" w:cstheme="majorHAnsi"/>
          <w:bCs/>
          <w:sz w:val="24"/>
          <w:szCs w:val="24"/>
          <w:lang w:val="ro-MD"/>
        </w:rPr>
        <w:t>.)</w:t>
      </w:r>
      <w:r w:rsidR="006278AE" w:rsidRPr="00CB5F81">
        <w:rPr>
          <w:rFonts w:asciiTheme="majorHAnsi" w:hAnsiTheme="majorHAnsi" w:cstheme="majorHAnsi"/>
          <w:sz w:val="24"/>
          <w:szCs w:val="24"/>
          <w:lang w:val="ro-MD"/>
        </w:rPr>
        <w:t>.</w:t>
      </w:r>
    </w:p>
    <w:p w:rsidR="00B5683B" w:rsidRPr="00CB5F81" w:rsidRDefault="006278AE" w:rsidP="00561F5D">
      <w:pPr>
        <w:pStyle w:val="ListParagraph"/>
        <w:numPr>
          <w:ilvl w:val="0"/>
          <w:numId w:val="17"/>
        </w:numPr>
        <w:spacing w:after="120" w:line="259" w:lineRule="auto"/>
        <w:ind w:left="274" w:hanging="274"/>
        <w:contextualSpacing w:val="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lastRenderedPageBreak/>
        <w:t>S</w:t>
      </w:r>
      <w:r w:rsidR="00B5683B" w:rsidRPr="00CB5F81">
        <w:rPr>
          <w:rFonts w:asciiTheme="majorHAnsi" w:hAnsiTheme="majorHAnsi" w:cstheme="majorHAnsi"/>
          <w:sz w:val="24"/>
          <w:szCs w:val="24"/>
          <w:lang w:val="ro-MD"/>
        </w:rPr>
        <w:t>ă revizuiască formularele</w:t>
      </w:r>
      <w:r w:rsidR="00EC1EAF">
        <w:rPr>
          <w:rFonts w:asciiTheme="majorHAnsi" w:hAnsiTheme="majorHAnsi" w:cstheme="majorHAnsi"/>
          <w:sz w:val="24"/>
          <w:szCs w:val="24"/>
          <w:lang w:val="ro-MD"/>
        </w:rPr>
        <w:t xml:space="preserve"> </w:t>
      </w:r>
      <w:r w:rsidR="00B5683B" w:rsidRPr="00CB5F81">
        <w:rPr>
          <w:rFonts w:asciiTheme="majorHAnsi" w:hAnsiTheme="majorHAnsi" w:cstheme="majorHAnsi"/>
          <w:sz w:val="24"/>
          <w:szCs w:val="24"/>
          <w:lang w:val="ro-MD"/>
        </w:rPr>
        <w:t xml:space="preserve">și anexele  </w:t>
      </w:r>
      <w:r w:rsidR="001227C7" w:rsidRPr="002F158B">
        <w:rPr>
          <w:rFonts w:asciiTheme="majorHAnsi" w:hAnsiTheme="majorHAnsi" w:cstheme="majorHAnsi"/>
          <w:sz w:val="24"/>
          <w:szCs w:val="24"/>
          <w:lang w:val="ro-MD"/>
        </w:rPr>
        <w:t>la</w:t>
      </w:r>
      <w:r w:rsidR="001227C7">
        <w:rPr>
          <w:rFonts w:asciiTheme="majorHAnsi" w:hAnsiTheme="majorHAnsi" w:cstheme="majorHAnsi"/>
          <w:sz w:val="24"/>
          <w:szCs w:val="24"/>
          <w:lang w:val="ro-MD"/>
        </w:rPr>
        <w:t xml:space="preserve"> </w:t>
      </w:r>
      <w:r w:rsidR="00B5683B" w:rsidRPr="00CB5F81">
        <w:rPr>
          <w:rFonts w:asciiTheme="majorHAnsi" w:hAnsiTheme="majorHAnsi" w:cstheme="majorHAnsi"/>
          <w:sz w:val="24"/>
          <w:szCs w:val="24"/>
          <w:lang w:val="ro-MD"/>
        </w:rPr>
        <w:t>acestea</w:t>
      </w:r>
      <w:r w:rsidR="005408BF">
        <w:rPr>
          <w:rFonts w:asciiTheme="majorHAnsi" w:hAnsiTheme="majorHAnsi" w:cstheme="majorHAnsi"/>
          <w:sz w:val="24"/>
          <w:szCs w:val="24"/>
          <w:lang w:val="ro-MD"/>
        </w:rPr>
        <w:t>,</w:t>
      </w:r>
      <w:r w:rsidR="00B5683B" w:rsidRPr="00CB5F81">
        <w:rPr>
          <w:rFonts w:asciiTheme="majorHAnsi" w:hAnsiTheme="majorHAnsi" w:cstheme="majorHAnsi"/>
          <w:sz w:val="24"/>
          <w:szCs w:val="24"/>
          <w:lang w:val="ro-MD"/>
        </w:rPr>
        <w:t xml:space="preserve"> legate de raportarea facilităților fiscale</w:t>
      </w:r>
      <w:r w:rsidR="005408BF">
        <w:rPr>
          <w:rFonts w:asciiTheme="majorHAnsi" w:hAnsiTheme="majorHAnsi" w:cstheme="majorHAnsi"/>
          <w:sz w:val="24"/>
          <w:szCs w:val="24"/>
          <w:lang w:val="ro-MD"/>
        </w:rPr>
        <w:t>,</w:t>
      </w:r>
      <w:r w:rsidR="00B5683B" w:rsidRPr="00CB5F81">
        <w:rPr>
          <w:rFonts w:asciiTheme="majorHAnsi" w:hAnsiTheme="majorHAnsi" w:cstheme="majorHAnsi"/>
          <w:sz w:val="24"/>
          <w:szCs w:val="24"/>
          <w:lang w:val="ro-MD"/>
        </w:rPr>
        <w:t xml:space="preserve"> pentru a exclude neclaritățile și interpretări</w:t>
      </w:r>
      <w:r w:rsidR="00E60955" w:rsidRPr="00CB5F81">
        <w:rPr>
          <w:rFonts w:asciiTheme="majorHAnsi" w:hAnsiTheme="majorHAnsi" w:cstheme="majorHAnsi"/>
          <w:sz w:val="24"/>
          <w:szCs w:val="24"/>
          <w:lang w:val="ro-MD"/>
        </w:rPr>
        <w:t>le</w:t>
      </w:r>
      <w:r w:rsidR="00B5683B" w:rsidRPr="00CB5F81">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 xml:space="preserve">ambigue </w:t>
      </w:r>
      <w:r w:rsidR="00B5683B" w:rsidRPr="00CB5F81">
        <w:rPr>
          <w:rFonts w:asciiTheme="majorHAnsi" w:hAnsiTheme="majorHAnsi" w:cstheme="majorHAnsi"/>
          <w:sz w:val="24"/>
          <w:szCs w:val="24"/>
          <w:lang w:val="ro-MD"/>
        </w:rPr>
        <w:t xml:space="preserve">ale contribuabililor la raportarea indicatorilor </w:t>
      </w:r>
      <w:r w:rsidR="009B5A20" w:rsidRPr="00CB5F81">
        <w:rPr>
          <w:rFonts w:asciiTheme="majorHAnsi" w:hAnsiTheme="majorHAnsi" w:cstheme="majorHAnsi"/>
          <w:sz w:val="24"/>
          <w:szCs w:val="24"/>
          <w:lang w:val="ro-MD"/>
        </w:rPr>
        <w:t>anuali</w:t>
      </w:r>
      <w:r w:rsidR="00B5683B" w:rsidRPr="00CB5F81">
        <w:rPr>
          <w:rFonts w:asciiTheme="majorHAnsi" w:hAnsiTheme="majorHAnsi" w:cstheme="majorHAnsi"/>
          <w:sz w:val="24"/>
          <w:szCs w:val="24"/>
          <w:lang w:val="ro-MD"/>
        </w:rPr>
        <w:t>, inclusiv Formularul VEN12 privind scutirea de impozitul pe venit</w:t>
      </w:r>
      <w:r w:rsidR="00C2573B">
        <w:rPr>
          <w:rFonts w:asciiTheme="majorHAnsi" w:hAnsiTheme="majorHAnsi" w:cstheme="majorHAnsi"/>
          <w:sz w:val="24"/>
          <w:szCs w:val="24"/>
          <w:lang w:val="ro-MD"/>
        </w:rPr>
        <w:t>ul</w:t>
      </w:r>
      <w:r w:rsidR="00B5683B" w:rsidRPr="00CB5F81">
        <w:rPr>
          <w:rFonts w:asciiTheme="majorHAnsi" w:hAnsiTheme="majorHAnsi" w:cstheme="majorHAnsi"/>
          <w:sz w:val="24"/>
          <w:szCs w:val="24"/>
          <w:lang w:val="ro-MD"/>
        </w:rPr>
        <w:t xml:space="preserve"> obținut de către instituțiile de în</w:t>
      </w:r>
      <w:r w:rsidRPr="00CB5F81">
        <w:rPr>
          <w:rFonts w:asciiTheme="majorHAnsi" w:hAnsiTheme="majorHAnsi" w:cstheme="majorHAnsi"/>
          <w:sz w:val="24"/>
          <w:szCs w:val="24"/>
          <w:lang w:val="ro-MD"/>
        </w:rPr>
        <w:t>vățământ</w:t>
      </w:r>
      <w:r w:rsidR="00062B4E">
        <w:rPr>
          <w:rFonts w:asciiTheme="majorHAnsi" w:hAnsiTheme="majorHAnsi" w:cstheme="majorHAnsi"/>
          <w:sz w:val="24"/>
          <w:szCs w:val="24"/>
          <w:lang w:val="ro-MD"/>
        </w:rPr>
        <w:t xml:space="preserve"> </w:t>
      </w:r>
      <w:r w:rsidR="00062B4E" w:rsidRPr="0057782A">
        <w:rPr>
          <w:rFonts w:asciiTheme="majorHAnsi" w:hAnsiTheme="majorHAnsi" w:cstheme="majorHAnsi"/>
          <w:sz w:val="24"/>
          <w:szCs w:val="24"/>
          <w:lang w:val="ro-MD"/>
        </w:rPr>
        <w:t>(</w:t>
      </w:r>
      <w:r w:rsidR="00062B4E" w:rsidRPr="0057782A">
        <w:rPr>
          <w:rFonts w:asciiTheme="majorHAnsi" w:eastAsia="Calibri" w:hAnsiTheme="majorHAnsi" w:cstheme="majorHAnsi"/>
          <w:bCs/>
          <w:sz w:val="24"/>
          <w:szCs w:val="24"/>
          <w:lang w:val="ro-MD"/>
        </w:rPr>
        <w:t xml:space="preserve">subcapitolul </w:t>
      </w:r>
      <w:r w:rsidR="00062B4E">
        <w:rPr>
          <w:rFonts w:asciiTheme="majorHAnsi" w:eastAsia="Calibri" w:hAnsiTheme="majorHAnsi" w:cstheme="majorHAnsi"/>
          <w:bCs/>
          <w:sz w:val="24"/>
          <w:szCs w:val="24"/>
          <w:lang w:val="ro-MD"/>
        </w:rPr>
        <w:t>4.1.3</w:t>
      </w:r>
      <w:r w:rsidR="00062B4E" w:rsidRPr="0057782A">
        <w:rPr>
          <w:rFonts w:asciiTheme="majorHAnsi" w:eastAsia="Calibri" w:hAnsiTheme="majorHAnsi" w:cstheme="majorHAnsi"/>
          <w:bCs/>
          <w:sz w:val="24"/>
          <w:szCs w:val="24"/>
          <w:lang w:val="ro-MD"/>
        </w:rPr>
        <w:t>.)</w:t>
      </w:r>
      <w:r w:rsidR="00062B4E">
        <w:rPr>
          <w:rFonts w:asciiTheme="majorHAnsi" w:eastAsia="Calibri" w:hAnsiTheme="majorHAnsi" w:cstheme="majorHAnsi"/>
          <w:bCs/>
          <w:sz w:val="24"/>
          <w:szCs w:val="24"/>
          <w:lang w:val="ro-MD"/>
        </w:rPr>
        <w:t>.</w:t>
      </w:r>
      <w:r w:rsidR="00EC1EAF">
        <w:rPr>
          <w:rFonts w:asciiTheme="majorHAnsi" w:hAnsiTheme="majorHAnsi" w:cstheme="majorHAnsi"/>
          <w:sz w:val="24"/>
          <w:szCs w:val="24"/>
          <w:lang w:val="ro-MD"/>
        </w:rPr>
        <w:t xml:space="preserve"> </w:t>
      </w:r>
    </w:p>
    <w:p w:rsidR="00B5683B" w:rsidRPr="00CB5F81" w:rsidRDefault="00B5683B" w:rsidP="00561F5D">
      <w:pPr>
        <w:pStyle w:val="ListParagraph"/>
        <w:numPr>
          <w:ilvl w:val="0"/>
          <w:numId w:val="17"/>
        </w:numPr>
        <w:spacing w:after="120" w:line="259" w:lineRule="auto"/>
        <w:ind w:left="274" w:hanging="274"/>
        <w:contextualSpacing w:val="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Să organizeze instruiri ale personalului responsabil din</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instituțiile de învățământ referitor la modul de raportare a facilităților fiscale</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de care beneficiază aceștia</w:t>
      </w:r>
      <w:r w:rsidR="00062B4E">
        <w:rPr>
          <w:rFonts w:asciiTheme="majorHAnsi" w:hAnsiTheme="majorHAnsi" w:cstheme="majorHAnsi"/>
          <w:sz w:val="24"/>
          <w:szCs w:val="24"/>
          <w:lang w:val="ro-MD"/>
        </w:rPr>
        <w:t xml:space="preserve"> </w:t>
      </w:r>
      <w:r w:rsidR="00062B4E" w:rsidRPr="0057782A">
        <w:rPr>
          <w:rFonts w:asciiTheme="majorHAnsi" w:hAnsiTheme="majorHAnsi" w:cstheme="majorHAnsi"/>
          <w:sz w:val="24"/>
          <w:szCs w:val="24"/>
          <w:lang w:val="ro-MD"/>
        </w:rPr>
        <w:t>(</w:t>
      </w:r>
      <w:r w:rsidR="00062B4E" w:rsidRPr="0057782A">
        <w:rPr>
          <w:rFonts w:asciiTheme="majorHAnsi" w:eastAsia="Calibri" w:hAnsiTheme="majorHAnsi" w:cstheme="majorHAnsi"/>
          <w:bCs/>
          <w:sz w:val="24"/>
          <w:szCs w:val="24"/>
          <w:lang w:val="ro-MD"/>
        </w:rPr>
        <w:t xml:space="preserve">subcapitolul </w:t>
      </w:r>
      <w:r w:rsidR="00062B4E">
        <w:rPr>
          <w:rFonts w:asciiTheme="majorHAnsi" w:eastAsia="Calibri" w:hAnsiTheme="majorHAnsi" w:cstheme="majorHAnsi"/>
          <w:bCs/>
          <w:sz w:val="24"/>
          <w:szCs w:val="24"/>
          <w:lang w:val="ro-MD"/>
        </w:rPr>
        <w:t>4.1.3</w:t>
      </w:r>
      <w:r w:rsidR="00062B4E" w:rsidRPr="0057782A">
        <w:rPr>
          <w:rFonts w:asciiTheme="majorHAnsi" w:eastAsia="Calibri" w:hAnsiTheme="majorHAnsi" w:cstheme="majorHAnsi"/>
          <w:bCs/>
          <w:sz w:val="24"/>
          <w:szCs w:val="24"/>
          <w:lang w:val="ro-MD"/>
        </w:rPr>
        <w:t>.)</w:t>
      </w:r>
      <w:r w:rsidR="006278AE" w:rsidRPr="00CB5F81">
        <w:rPr>
          <w:rFonts w:asciiTheme="majorHAnsi" w:hAnsiTheme="majorHAnsi" w:cstheme="majorHAnsi"/>
          <w:sz w:val="24"/>
          <w:szCs w:val="24"/>
          <w:lang w:val="ro-MD"/>
        </w:rPr>
        <w:t xml:space="preserve">. </w:t>
      </w:r>
    </w:p>
    <w:p w:rsidR="00B5683B" w:rsidRPr="00CB5F81" w:rsidRDefault="00B5683B" w:rsidP="00561F5D">
      <w:pPr>
        <w:pStyle w:val="ListParagraph"/>
        <w:numPr>
          <w:ilvl w:val="0"/>
          <w:numId w:val="17"/>
        </w:numPr>
        <w:spacing w:after="120" w:line="259" w:lineRule="auto"/>
        <w:ind w:left="274" w:hanging="274"/>
        <w:contextualSpacing w:val="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Să</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instituie și să descrie</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procesele</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aferente acordării și raportării facilităților fiscale, inclus</w:t>
      </w:r>
      <w:r w:rsidR="00612C63">
        <w:rPr>
          <w:rFonts w:asciiTheme="majorHAnsi" w:hAnsiTheme="majorHAnsi" w:cstheme="majorHAnsi"/>
          <w:sz w:val="24"/>
          <w:szCs w:val="24"/>
          <w:lang w:val="ro-MD"/>
        </w:rPr>
        <w:t>iv</w:t>
      </w:r>
      <w:r w:rsidRPr="00CB5F81">
        <w:rPr>
          <w:rFonts w:asciiTheme="majorHAnsi" w:hAnsiTheme="majorHAnsi" w:cstheme="majorHAnsi"/>
          <w:sz w:val="24"/>
          <w:szCs w:val="24"/>
          <w:lang w:val="ro-MD"/>
        </w:rPr>
        <w:t xml:space="preserve"> </w:t>
      </w:r>
      <w:r w:rsidR="009B5A20" w:rsidRPr="00CB5F81">
        <w:rPr>
          <w:rFonts w:asciiTheme="majorHAnsi" w:hAnsiTheme="majorHAnsi" w:cstheme="majorHAnsi"/>
          <w:sz w:val="24"/>
          <w:szCs w:val="24"/>
          <w:lang w:val="ro-MD"/>
        </w:rPr>
        <w:t>cele care țin de comunicarea</w:t>
      </w:r>
      <w:r w:rsidR="00EC1EAF">
        <w:rPr>
          <w:rFonts w:asciiTheme="majorHAnsi" w:hAnsiTheme="majorHAnsi" w:cstheme="majorHAnsi"/>
          <w:sz w:val="24"/>
          <w:szCs w:val="24"/>
          <w:lang w:val="ro-MD"/>
        </w:rPr>
        <w:t xml:space="preserve"> </w:t>
      </w:r>
      <w:r w:rsidRPr="00CB5F81">
        <w:rPr>
          <w:rFonts w:asciiTheme="majorHAnsi" w:hAnsiTheme="majorHAnsi" w:cstheme="majorHAnsi"/>
          <w:sz w:val="24"/>
          <w:szCs w:val="24"/>
          <w:lang w:val="ro-MD"/>
        </w:rPr>
        <w:t>cu autoritățile centrale de specialitate implicate în acordarea facilităților fiscale</w:t>
      </w:r>
      <w:r w:rsidR="00062B4E">
        <w:rPr>
          <w:rFonts w:asciiTheme="majorHAnsi" w:hAnsiTheme="majorHAnsi" w:cstheme="majorHAnsi"/>
          <w:sz w:val="24"/>
          <w:szCs w:val="24"/>
          <w:lang w:val="ro-MD"/>
        </w:rPr>
        <w:t xml:space="preserve"> </w:t>
      </w:r>
      <w:r w:rsidR="00062B4E" w:rsidRPr="0057782A">
        <w:rPr>
          <w:rFonts w:asciiTheme="majorHAnsi" w:hAnsiTheme="majorHAnsi" w:cstheme="majorHAnsi"/>
          <w:sz w:val="24"/>
          <w:szCs w:val="24"/>
          <w:lang w:val="ro-MD"/>
        </w:rPr>
        <w:t>(</w:t>
      </w:r>
      <w:r w:rsidR="00062B4E" w:rsidRPr="0057782A">
        <w:rPr>
          <w:rFonts w:asciiTheme="majorHAnsi" w:eastAsia="Calibri" w:hAnsiTheme="majorHAnsi" w:cstheme="majorHAnsi"/>
          <w:bCs/>
          <w:sz w:val="24"/>
          <w:szCs w:val="24"/>
          <w:lang w:val="ro-MD"/>
        </w:rPr>
        <w:t xml:space="preserve">subcapitolul </w:t>
      </w:r>
      <w:r w:rsidR="00062B4E">
        <w:rPr>
          <w:rFonts w:asciiTheme="majorHAnsi" w:eastAsia="Calibri" w:hAnsiTheme="majorHAnsi" w:cstheme="majorHAnsi"/>
          <w:bCs/>
          <w:sz w:val="24"/>
          <w:szCs w:val="24"/>
          <w:lang w:val="ro-MD"/>
        </w:rPr>
        <w:t>4.2.3</w:t>
      </w:r>
      <w:r w:rsidR="00062B4E" w:rsidRPr="0057782A">
        <w:rPr>
          <w:rFonts w:asciiTheme="majorHAnsi" w:eastAsia="Calibri" w:hAnsiTheme="majorHAnsi" w:cstheme="majorHAnsi"/>
          <w:bCs/>
          <w:sz w:val="24"/>
          <w:szCs w:val="24"/>
          <w:lang w:val="ro-MD"/>
        </w:rPr>
        <w:t>.)</w:t>
      </w:r>
      <w:r w:rsidRPr="00CB5F81">
        <w:rPr>
          <w:rFonts w:asciiTheme="majorHAnsi" w:hAnsiTheme="majorHAnsi" w:cstheme="majorHAnsi"/>
          <w:sz w:val="24"/>
          <w:szCs w:val="24"/>
          <w:lang w:val="ro-MD"/>
        </w:rPr>
        <w:t xml:space="preserve">. </w:t>
      </w:r>
    </w:p>
    <w:p w:rsidR="00B5683B" w:rsidRPr="00CB5F81" w:rsidRDefault="00D812D0" w:rsidP="00062B4E">
      <w:pPr>
        <w:pStyle w:val="ListParagraph"/>
        <w:numPr>
          <w:ilvl w:val="0"/>
          <w:numId w:val="17"/>
        </w:numPr>
        <w:tabs>
          <w:tab w:val="left" w:pos="360"/>
        </w:tabs>
        <w:spacing w:after="160" w:line="259" w:lineRule="auto"/>
        <w:ind w:left="270" w:hanging="270"/>
        <w:jc w:val="both"/>
        <w:rPr>
          <w:rFonts w:asciiTheme="majorHAnsi" w:hAnsiTheme="majorHAnsi" w:cstheme="majorHAnsi"/>
          <w:sz w:val="24"/>
          <w:szCs w:val="24"/>
          <w:lang w:val="ro-MD"/>
        </w:rPr>
      </w:pPr>
      <w:r w:rsidRPr="00CB5F81">
        <w:rPr>
          <w:rFonts w:asciiTheme="majorHAnsi" w:hAnsiTheme="majorHAnsi" w:cstheme="majorHAnsi"/>
          <w:sz w:val="24"/>
          <w:szCs w:val="24"/>
          <w:lang w:val="ro-MD"/>
        </w:rPr>
        <w:t xml:space="preserve">Să </w:t>
      </w:r>
      <w:r w:rsidR="00BE6480" w:rsidRPr="00CB5F81">
        <w:rPr>
          <w:rFonts w:asciiTheme="majorHAnsi" w:hAnsiTheme="majorHAnsi" w:cstheme="majorHAnsi"/>
          <w:sz w:val="24"/>
          <w:szCs w:val="24"/>
          <w:lang w:val="ro-MD"/>
        </w:rPr>
        <w:t>elaboreze norme interne care ar reglementa p</w:t>
      </w:r>
      <w:r w:rsidRPr="00CB5F81">
        <w:rPr>
          <w:rFonts w:asciiTheme="majorHAnsi" w:hAnsiTheme="majorHAnsi" w:cstheme="majorHAnsi"/>
          <w:sz w:val="24"/>
          <w:szCs w:val="24"/>
          <w:lang w:val="ro-MD"/>
        </w:rPr>
        <w:t>rocesul</w:t>
      </w:r>
      <w:r w:rsidR="001227C7">
        <w:rPr>
          <w:rFonts w:asciiTheme="majorHAnsi" w:hAnsiTheme="majorHAnsi" w:cstheme="majorHAnsi"/>
          <w:sz w:val="24"/>
          <w:szCs w:val="24"/>
          <w:lang w:val="ro-MD"/>
        </w:rPr>
        <w:t xml:space="preserve"> </w:t>
      </w:r>
      <w:r w:rsidR="001227C7" w:rsidRPr="002F158B">
        <w:rPr>
          <w:rFonts w:asciiTheme="majorHAnsi" w:hAnsiTheme="majorHAnsi" w:cstheme="majorHAnsi"/>
          <w:sz w:val="24"/>
          <w:szCs w:val="24"/>
          <w:lang w:val="ro-MD"/>
        </w:rPr>
        <w:t>de</w:t>
      </w:r>
      <w:r w:rsidRPr="00CB5F81">
        <w:rPr>
          <w:rFonts w:asciiTheme="majorHAnsi" w:hAnsiTheme="majorHAnsi" w:cstheme="majorHAnsi"/>
          <w:sz w:val="24"/>
          <w:szCs w:val="24"/>
          <w:lang w:val="ro-MD"/>
        </w:rPr>
        <w:t xml:space="preserve"> </w:t>
      </w:r>
      <w:r w:rsidR="00BE6480" w:rsidRPr="00CB5F81">
        <w:rPr>
          <w:rFonts w:asciiTheme="majorHAnsi" w:hAnsiTheme="majorHAnsi" w:cstheme="majorHAnsi"/>
          <w:sz w:val="24"/>
          <w:szCs w:val="24"/>
          <w:lang w:val="ro-MD"/>
        </w:rPr>
        <w:t xml:space="preserve">extragere a datelor cu privire la </w:t>
      </w:r>
      <w:r w:rsidR="00D97B47" w:rsidRPr="00CB5F81">
        <w:rPr>
          <w:rFonts w:asciiTheme="majorHAnsi" w:hAnsiTheme="majorHAnsi" w:cstheme="majorHAnsi"/>
          <w:sz w:val="24"/>
          <w:szCs w:val="24"/>
          <w:lang w:val="ro-MD"/>
        </w:rPr>
        <w:t>producerea, consumul </w:t>
      </w:r>
      <w:r w:rsidR="00E113F0" w:rsidRPr="00CB5F81">
        <w:rPr>
          <w:rFonts w:asciiTheme="majorHAnsi" w:hAnsiTheme="majorHAnsi" w:cstheme="majorHAnsi"/>
          <w:sz w:val="24"/>
          <w:szCs w:val="24"/>
          <w:lang w:val="ro-MD"/>
        </w:rPr>
        <w:t>și</w:t>
      </w:r>
      <w:r w:rsidR="00D97B47" w:rsidRPr="00CB5F81">
        <w:rPr>
          <w:rFonts w:asciiTheme="majorHAnsi" w:hAnsiTheme="majorHAnsi" w:cstheme="majorHAnsi"/>
          <w:sz w:val="24"/>
          <w:szCs w:val="24"/>
          <w:lang w:val="ro-MD"/>
        </w:rPr>
        <w:t> comercializarea alcoolului etilic</w:t>
      </w:r>
      <w:r w:rsidR="00BE6480" w:rsidRPr="00CB5F81">
        <w:rPr>
          <w:rFonts w:asciiTheme="majorHAnsi" w:hAnsiTheme="majorHAnsi" w:cstheme="majorHAnsi"/>
          <w:sz w:val="24"/>
          <w:szCs w:val="24"/>
          <w:lang w:val="ro-MD"/>
        </w:rPr>
        <w:t xml:space="preserve">, </w:t>
      </w:r>
      <w:r w:rsidR="00D97B47" w:rsidRPr="00CB5F81">
        <w:rPr>
          <w:rFonts w:asciiTheme="majorHAnsi" w:hAnsiTheme="majorHAnsi" w:cstheme="majorHAnsi"/>
          <w:sz w:val="24"/>
          <w:szCs w:val="24"/>
          <w:lang w:val="ro-MD"/>
        </w:rPr>
        <w:t xml:space="preserve">precum și </w:t>
      </w:r>
      <w:r w:rsidR="00C2573B">
        <w:rPr>
          <w:rFonts w:asciiTheme="majorHAnsi" w:hAnsiTheme="majorHAnsi" w:cstheme="majorHAnsi"/>
          <w:sz w:val="24"/>
          <w:szCs w:val="24"/>
          <w:lang w:val="ro-MD"/>
        </w:rPr>
        <w:t xml:space="preserve">să </w:t>
      </w:r>
      <w:r w:rsidR="00BE6480" w:rsidRPr="00CB5F81">
        <w:rPr>
          <w:rFonts w:asciiTheme="majorHAnsi" w:hAnsiTheme="majorHAnsi" w:cstheme="majorHAnsi"/>
          <w:sz w:val="24"/>
          <w:szCs w:val="24"/>
          <w:lang w:val="ro-MD"/>
        </w:rPr>
        <w:t>identif</w:t>
      </w:r>
      <w:r w:rsidR="00C2573B">
        <w:rPr>
          <w:rFonts w:asciiTheme="majorHAnsi" w:hAnsiTheme="majorHAnsi" w:cstheme="majorHAnsi"/>
          <w:sz w:val="24"/>
          <w:szCs w:val="24"/>
          <w:lang w:val="ro-MD"/>
        </w:rPr>
        <w:t xml:space="preserve">ice </w:t>
      </w:r>
      <w:r w:rsidR="00BE6480" w:rsidRPr="00CB5F81">
        <w:rPr>
          <w:rFonts w:asciiTheme="majorHAnsi" w:hAnsiTheme="majorHAnsi" w:cstheme="majorHAnsi"/>
          <w:sz w:val="24"/>
          <w:szCs w:val="24"/>
          <w:lang w:val="ro-MD"/>
        </w:rPr>
        <w:t xml:space="preserve"> instrumente</w:t>
      </w:r>
      <w:r w:rsidR="00C2573B">
        <w:rPr>
          <w:rFonts w:asciiTheme="majorHAnsi" w:hAnsiTheme="majorHAnsi" w:cstheme="majorHAnsi"/>
          <w:sz w:val="24"/>
          <w:szCs w:val="24"/>
          <w:lang w:val="ro-MD"/>
        </w:rPr>
        <w:t xml:space="preserve"> </w:t>
      </w:r>
      <w:r w:rsidR="00BE6480" w:rsidRPr="00CB5F81">
        <w:rPr>
          <w:rFonts w:asciiTheme="majorHAnsi" w:hAnsiTheme="majorHAnsi" w:cstheme="majorHAnsi"/>
          <w:sz w:val="24"/>
          <w:szCs w:val="24"/>
          <w:lang w:val="ro-MD"/>
        </w:rPr>
        <w:t xml:space="preserve"> ce ar permite</w:t>
      </w:r>
      <w:r w:rsidR="00D97B47" w:rsidRPr="00CB5F81">
        <w:rPr>
          <w:rFonts w:asciiTheme="majorHAnsi" w:hAnsiTheme="majorHAnsi" w:cstheme="majorHAnsi"/>
          <w:sz w:val="24"/>
          <w:szCs w:val="24"/>
          <w:lang w:val="ro-MD"/>
        </w:rPr>
        <w:t xml:space="preserve"> monitorizarea, </w:t>
      </w:r>
      <w:r w:rsidR="00BE6480" w:rsidRPr="00CB5F81">
        <w:rPr>
          <w:rFonts w:asciiTheme="majorHAnsi" w:hAnsiTheme="majorHAnsi" w:cstheme="majorHAnsi"/>
          <w:sz w:val="24"/>
          <w:szCs w:val="24"/>
          <w:lang w:val="ro-MD"/>
        </w:rPr>
        <w:t>evidenț</w:t>
      </w:r>
      <w:r w:rsidR="00C2573B">
        <w:rPr>
          <w:rFonts w:asciiTheme="majorHAnsi" w:hAnsiTheme="majorHAnsi" w:cstheme="majorHAnsi"/>
          <w:sz w:val="24"/>
          <w:szCs w:val="24"/>
          <w:lang w:val="ro-MD"/>
        </w:rPr>
        <w:t>a</w:t>
      </w:r>
      <w:r w:rsidR="00BE6480" w:rsidRPr="00CB5F81">
        <w:rPr>
          <w:rFonts w:asciiTheme="majorHAnsi" w:hAnsiTheme="majorHAnsi" w:cstheme="majorHAnsi"/>
          <w:sz w:val="24"/>
          <w:szCs w:val="24"/>
          <w:lang w:val="ro-MD"/>
        </w:rPr>
        <w:t xml:space="preserve"> efectivă</w:t>
      </w:r>
      <w:r w:rsidR="00D97B47" w:rsidRPr="00CB5F81">
        <w:rPr>
          <w:rFonts w:asciiTheme="majorHAnsi" w:hAnsiTheme="majorHAnsi" w:cstheme="majorHAnsi"/>
          <w:sz w:val="24"/>
          <w:szCs w:val="24"/>
          <w:lang w:val="ro-MD"/>
        </w:rPr>
        <w:t xml:space="preserve"> și raportarea corectă a scutirii de plata acciz</w:t>
      </w:r>
      <w:r w:rsidR="00C2573B">
        <w:rPr>
          <w:rFonts w:asciiTheme="majorHAnsi" w:hAnsiTheme="majorHAnsi" w:cstheme="majorHAnsi"/>
          <w:sz w:val="24"/>
          <w:szCs w:val="24"/>
          <w:lang w:val="ro-MD"/>
        </w:rPr>
        <w:t xml:space="preserve">elor </w:t>
      </w:r>
      <w:r w:rsidR="00BE6480" w:rsidRPr="00CB5F81">
        <w:rPr>
          <w:rFonts w:asciiTheme="majorHAnsi" w:hAnsiTheme="majorHAnsi" w:cstheme="majorHAnsi"/>
          <w:sz w:val="24"/>
          <w:szCs w:val="24"/>
          <w:lang w:val="ro-MD"/>
        </w:rPr>
        <w:t xml:space="preserve"> </w:t>
      </w:r>
      <w:r w:rsidR="00C2573B">
        <w:rPr>
          <w:rFonts w:asciiTheme="majorHAnsi" w:hAnsiTheme="majorHAnsi" w:cstheme="majorHAnsi"/>
          <w:sz w:val="24"/>
          <w:szCs w:val="24"/>
          <w:lang w:val="ro-MD"/>
        </w:rPr>
        <w:t>l</w:t>
      </w:r>
      <w:r w:rsidR="00D97B47" w:rsidRPr="00CB5F81">
        <w:rPr>
          <w:rFonts w:asciiTheme="majorHAnsi" w:hAnsiTheme="majorHAnsi" w:cstheme="majorHAnsi"/>
          <w:sz w:val="24"/>
          <w:szCs w:val="24"/>
          <w:lang w:val="ro-MD"/>
        </w:rPr>
        <w:t xml:space="preserve">a </w:t>
      </w:r>
      <w:r w:rsidR="00BE6480" w:rsidRPr="00CB5F81">
        <w:rPr>
          <w:rFonts w:asciiTheme="majorHAnsi" w:hAnsiTheme="majorHAnsi" w:cstheme="majorHAnsi"/>
          <w:sz w:val="24"/>
          <w:szCs w:val="24"/>
          <w:lang w:val="ro-MD"/>
        </w:rPr>
        <w:t>alcoolul etilic</w:t>
      </w:r>
      <w:r w:rsidR="00D97B47" w:rsidRPr="00CB5F81">
        <w:rPr>
          <w:rFonts w:asciiTheme="majorHAnsi" w:hAnsiTheme="majorHAnsi" w:cstheme="majorHAnsi"/>
          <w:sz w:val="24"/>
          <w:szCs w:val="24"/>
          <w:lang w:val="ro-MD"/>
        </w:rPr>
        <w:t xml:space="preserve"> nedenaturat</w:t>
      </w:r>
      <w:r w:rsidR="00E12EB7">
        <w:rPr>
          <w:rFonts w:asciiTheme="majorHAnsi" w:hAnsiTheme="majorHAnsi" w:cstheme="majorHAnsi"/>
          <w:sz w:val="24"/>
          <w:szCs w:val="24"/>
          <w:lang w:val="ro-MD"/>
        </w:rPr>
        <w:t xml:space="preserve"> </w:t>
      </w:r>
      <w:r w:rsidR="00E12EB7" w:rsidRPr="0057782A">
        <w:rPr>
          <w:rFonts w:asciiTheme="majorHAnsi" w:hAnsiTheme="majorHAnsi" w:cstheme="majorHAnsi"/>
          <w:sz w:val="24"/>
          <w:szCs w:val="24"/>
          <w:lang w:val="ro-MD"/>
        </w:rPr>
        <w:t>(</w:t>
      </w:r>
      <w:r w:rsidR="00E12EB7" w:rsidRPr="0057782A">
        <w:rPr>
          <w:rFonts w:asciiTheme="majorHAnsi" w:eastAsia="Calibri" w:hAnsiTheme="majorHAnsi" w:cstheme="majorHAnsi"/>
          <w:bCs/>
          <w:sz w:val="24"/>
          <w:szCs w:val="24"/>
          <w:lang w:val="ro-MD"/>
        </w:rPr>
        <w:t xml:space="preserve">subcapitolul </w:t>
      </w:r>
      <w:r w:rsidR="00E12EB7">
        <w:rPr>
          <w:rFonts w:asciiTheme="majorHAnsi" w:eastAsia="Calibri" w:hAnsiTheme="majorHAnsi" w:cstheme="majorHAnsi"/>
          <w:bCs/>
          <w:sz w:val="24"/>
          <w:szCs w:val="24"/>
          <w:lang w:val="ro-MD"/>
        </w:rPr>
        <w:t>4.2.3</w:t>
      </w:r>
      <w:r w:rsidR="00E12EB7" w:rsidRPr="0057782A">
        <w:rPr>
          <w:rFonts w:asciiTheme="majorHAnsi" w:eastAsia="Calibri" w:hAnsiTheme="majorHAnsi" w:cstheme="majorHAnsi"/>
          <w:bCs/>
          <w:sz w:val="24"/>
          <w:szCs w:val="24"/>
          <w:lang w:val="ro-MD"/>
        </w:rPr>
        <w:t>.</w:t>
      </w:r>
      <w:r w:rsidR="00C2573B">
        <w:rPr>
          <w:rFonts w:asciiTheme="majorHAnsi" w:eastAsia="Calibri" w:hAnsiTheme="majorHAnsi" w:cstheme="majorHAnsi"/>
          <w:bCs/>
          <w:sz w:val="24"/>
          <w:szCs w:val="24"/>
          <w:lang w:val="ro-MD"/>
        </w:rPr>
        <w:t>,</w:t>
      </w:r>
      <w:r w:rsidR="00E12EB7">
        <w:rPr>
          <w:rFonts w:asciiTheme="majorHAnsi" w:eastAsia="Calibri" w:hAnsiTheme="majorHAnsi" w:cstheme="majorHAnsi"/>
          <w:bCs/>
          <w:sz w:val="24"/>
          <w:szCs w:val="24"/>
          <w:lang w:val="ro-MD"/>
        </w:rPr>
        <w:t xml:space="preserve"> lit</w:t>
      </w:r>
      <w:r w:rsidR="00C706C2">
        <w:rPr>
          <w:rFonts w:asciiTheme="majorHAnsi" w:eastAsia="Calibri" w:hAnsiTheme="majorHAnsi" w:cstheme="majorHAnsi"/>
          <w:bCs/>
          <w:sz w:val="24"/>
          <w:szCs w:val="24"/>
          <w:lang w:val="ro-MD"/>
        </w:rPr>
        <w:t>.</w:t>
      </w:r>
      <w:r w:rsidR="00E12EB7">
        <w:rPr>
          <w:rFonts w:asciiTheme="majorHAnsi" w:eastAsia="Calibri" w:hAnsiTheme="majorHAnsi" w:cstheme="majorHAnsi"/>
          <w:bCs/>
          <w:sz w:val="24"/>
          <w:szCs w:val="24"/>
          <w:lang w:val="ro-MD"/>
        </w:rPr>
        <w:t xml:space="preserve"> d)</w:t>
      </w:r>
      <w:r w:rsidR="00E12EB7" w:rsidRPr="0057782A">
        <w:rPr>
          <w:rFonts w:asciiTheme="majorHAnsi" w:eastAsia="Calibri" w:hAnsiTheme="majorHAnsi" w:cstheme="majorHAnsi"/>
          <w:bCs/>
          <w:sz w:val="24"/>
          <w:szCs w:val="24"/>
          <w:lang w:val="ro-MD"/>
        </w:rPr>
        <w:t>)</w:t>
      </w:r>
      <w:r w:rsidR="00BE6480" w:rsidRPr="00CB5F81">
        <w:rPr>
          <w:rFonts w:asciiTheme="majorHAnsi" w:hAnsiTheme="majorHAnsi" w:cstheme="majorHAnsi"/>
          <w:sz w:val="24"/>
          <w:szCs w:val="24"/>
          <w:lang w:val="ro-MD"/>
        </w:rPr>
        <w:t>.</w:t>
      </w:r>
    </w:p>
    <w:p w:rsidR="00F80C67" w:rsidRPr="0057782A" w:rsidRDefault="00F80C67" w:rsidP="00F80C67">
      <w:pPr>
        <w:spacing w:after="0" w:line="276" w:lineRule="auto"/>
        <w:ind w:firstLine="142"/>
        <w:rPr>
          <w:rFonts w:asciiTheme="majorHAnsi" w:eastAsia="Times New Roman" w:hAnsiTheme="majorHAnsi" w:cstheme="majorHAnsi"/>
          <w:color w:val="002060"/>
          <w:sz w:val="24"/>
          <w:szCs w:val="24"/>
        </w:rPr>
      </w:pPr>
      <w:bookmarkStart w:id="39" w:name="_Toc531868187"/>
      <w:r w:rsidRPr="0057782A">
        <w:rPr>
          <w:rFonts w:asciiTheme="majorHAnsi" w:eastAsia="Times New Roman" w:hAnsiTheme="majorHAnsi" w:cstheme="majorHAnsi"/>
          <w:b/>
          <w:color w:val="1F4E79" w:themeColor="accent1" w:themeShade="80"/>
          <w:sz w:val="24"/>
          <w:szCs w:val="24"/>
          <w:lang w:eastAsia="ro-RO"/>
        </w:rPr>
        <w:t>Semnăturile echipei de audit</w:t>
      </w:r>
      <w:r w:rsidRPr="0057782A">
        <w:rPr>
          <w:rFonts w:asciiTheme="majorHAnsi" w:eastAsia="Times New Roman" w:hAnsiTheme="majorHAnsi" w:cstheme="majorHAnsi"/>
          <w:color w:val="002060"/>
          <w:sz w:val="24"/>
          <w:szCs w:val="24"/>
        </w:rPr>
        <w:t>:</w:t>
      </w:r>
      <w:bookmarkEnd w:id="39"/>
    </w:p>
    <w:p w:rsidR="00F80C67" w:rsidRPr="0057782A" w:rsidRDefault="00F80C67" w:rsidP="00F80C67">
      <w:pPr>
        <w:spacing w:after="0" w:line="276" w:lineRule="auto"/>
        <w:ind w:firstLine="142"/>
        <w:rPr>
          <w:rFonts w:asciiTheme="majorHAnsi" w:eastAsia="Times New Roman" w:hAnsiTheme="majorHAnsi" w:cstheme="majorHAnsi"/>
          <w:color w:val="002060"/>
          <w:sz w:val="24"/>
          <w:szCs w:val="24"/>
        </w:rPr>
      </w:pPr>
    </w:p>
    <w:tbl>
      <w:tblPr>
        <w:tblW w:w="10166" w:type="dxa"/>
        <w:tblLook w:val="04A0" w:firstRow="1" w:lastRow="0" w:firstColumn="1" w:lastColumn="0" w:noHBand="0" w:noVBand="1"/>
      </w:tblPr>
      <w:tblGrid>
        <w:gridCol w:w="3505"/>
        <w:gridCol w:w="3107"/>
        <w:gridCol w:w="2473"/>
        <w:gridCol w:w="1081"/>
      </w:tblGrid>
      <w:tr w:rsidR="00F80C67" w:rsidRPr="0057782A" w:rsidTr="00966130">
        <w:trPr>
          <w:trHeight w:val="1007"/>
        </w:trPr>
        <w:tc>
          <w:tcPr>
            <w:tcW w:w="3505" w:type="dxa"/>
            <w:shd w:val="clear" w:color="auto" w:fill="auto"/>
          </w:tcPr>
          <w:p w:rsidR="00F80C67" w:rsidRPr="0057782A" w:rsidRDefault="00F80C67" w:rsidP="00966130">
            <w:pPr>
              <w:spacing w:after="0" w:line="276" w:lineRule="auto"/>
              <w:rPr>
                <w:rFonts w:asciiTheme="majorHAnsi" w:hAnsiTheme="majorHAnsi" w:cstheme="majorHAnsi"/>
                <w:b/>
                <w:i/>
                <w:sz w:val="24"/>
                <w:szCs w:val="24"/>
              </w:rPr>
            </w:pPr>
            <w:r w:rsidRPr="0057782A">
              <w:rPr>
                <w:rFonts w:asciiTheme="majorHAnsi" w:hAnsiTheme="majorHAnsi" w:cstheme="majorHAnsi"/>
                <w:b/>
                <w:i/>
                <w:sz w:val="24"/>
                <w:szCs w:val="24"/>
              </w:rPr>
              <w:t>Ș</w:t>
            </w:r>
            <w:r w:rsidR="009011CA">
              <w:rPr>
                <w:rFonts w:asciiTheme="majorHAnsi" w:hAnsiTheme="majorHAnsi" w:cstheme="majorHAnsi"/>
                <w:b/>
                <w:i/>
                <w:sz w:val="24"/>
                <w:szCs w:val="24"/>
              </w:rPr>
              <w:t xml:space="preserve">efa </w:t>
            </w:r>
            <w:r w:rsidRPr="0057782A">
              <w:rPr>
                <w:rFonts w:asciiTheme="majorHAnsi" w:hAnsiTheme="majorHAnsi" w:cstheme="majorHAnsi"/>
                <w:b/>
                <w:i/>
                <w:sz w:val="24"/>
                <w:szCs w:val="24"/>
              </w:rPr>
              <w:t xml:space="preserve"> echipei de audit,</w:t>
            </w:r>
          </w:p>
          <w:p w:rsidR="00F80C67" w:rsidRPr="0057782A" w:rsidRDefault="009011CA" w:rsidP="00966130">
            <w:pPr>
              <w:spacing w:after="0" w:line="276" w:lineRule="auto"/>
              <w:rPr>
                <w:rFonts w:asciiTheme="majorHAnsi" w:hAnsiTheme="majorHAnsi" w:cstheme="majorHAnsi"/>
                <w:sz w:val="24"/>
                <w:szCs w:val="24"/>
              </w:rPr>
            </w:pPr>
            <w:r>
              <w:rPr>
                <w:rFonts w:asciiTheme="majorHAnsi" w:eastAsia="Times New Roman" w:hAnsiTheme="majorHAnsi" w:cstheme="majorHAnsi"/>
                <w:sz w:val="24"/>
                <w:szCs w:val="24"/>
                <w:lang w:val="ro-RO" w:eastAsia="ro-MD"/>
              </w:rPr>
              <w:t>ș</w:t>
            </w:r>
            <w:r w:rsidR="00F80C67" w:rsidRPr="0057782A">
              <w:rPr>
                <w:rFonts w:asciiTheme="majorHAnsi" w:eastAsia="Times New Roman" w:hAnsiTheme="majorHAnsi" w:cstheme="majorHAnsi"/>
                <w:sz w:val="24"/>
                <w:szCs w:val="24"/>
                <w:lang w:val="ro-RO" w:eastAsia="ro-MD"/>
              </w:rPr>
              <w:t>efa</w:t>
            </w:r>
            <w:r w:rsidR="00C2573B">
              <w:rPr>
                <w:rFonts w:asciiTheme="majorHAnsi" w:eastAsia="Times New Roman" w:hAnsiTheme="majorHAnsi" w:cstheme="majorHAnsi"/>
                <w:sz w:val="24"/>
                <w:szCs w:val="24"/>
                <w:lang w:val="ro-RO" w:eastAsia="ro-MD"/>
              </w:rPr>
              <w:t xml:space="preserve"> </w:t>
            </w:r>
            <w:r w:rsidR="00F80C67" w:rsidRPr="0057782A">
              <w:rPr>
                <w:rFonts w:asciiTheme="majorHAnsi" w:eastAsia="Times New Roman" w:hAnsiTheme="majorHAnsi" w:cstheme="majorHAnsi"/>
                <w:sz w:val="24"/>
                <w:szCs w:val="24"/>
                <w:lang w:val="ro-RO" w:eastAsia="ro-MD"/>
              </w:rPr>
              <w:t>Direcției audit II din cadrul Direcției generale de audit I</w:t>
            </w:r>
            <w:r w:rsidR="00F80C67" w:rsidRPr="0057782A">
              <w:rPr>
                <w:rFonts w:asciiTheme="majorHAnsi" w:hAnsiTheme="majorHAnsi" w:cstheme="majorHAnsi"/>
                <w:sz w:val="24"/>
                <w:szCs w:val="24"/>
              </w:rPr>
              <w:t xml:space="preserve"> </w:t>
            </w:r>
          </w:p>
        </w:tc>
        <w:tc>
          <w:tcPr>
            <w:tcW w:w="3107" w:type="dxa"/>
          </w:tcPr>
          <w:p w:rsidR="00F80C67" w:rsidRPr="0057782A" w:rsidRDefault="00F80C67" w:rsidP="00966130">
            <w:pPr>
              <w:spacing w:after="0" w:line="276" w:lineRule="auto"/>
              <w:jc w:val="right"/>
              <w:rPr>
                <w:rFonts w:asciiTheme="majorHAnsi" w:hAnsiTheme="majorHAnsi" w:cstheme="majorHAnsi"/>
                <w:b/>
                <w:sz w:val="24"/>
                <w:szCs w:val="24"/>
              </w:rPr>
            </w:pPr>
          </w:p>
        </w:tc>
        <w:tc>
          <w:tcPr>
            <w:tcW w:w="2473" w:type="dxa"/>
            <w:shd w:val="clear" w:color="auto" w:fill="auto"/>
          </w:tcPr>
          <w:p w:rsidR="00F80C67" w:rsidRPr="0057782A" w:rsidRDefault="00F80C67" w:rsidP="00966130">
            <w:pPr>
              <w:spacing w:after="0" w:line="276" w:lineRule="auto"/>
              <w:jc w:val="right"/>
              <w:rPr>
                <w:rFonts w:asciiTheme="majorHAnsi" w:hAnsiTheme="majorHAnsi" w:cstheme="majorHAnsi"/>
                <w:b/>
                <w:sz w:val="24"/>
                <w:szCs w:val="24"/>
              </w:rPr>
            </w:pPr>
            <w:r w:rsidRPr="0057782A">
              <w:rPr>
                <w:rFonts w:asciiTheme="majorHAnsi" w:hAnsiTheme="majorHAnsi" w:cstheme="majorHAnsi"/>
                <w:b/>
                <w:sz w:val="24"/>
                <w:szCs w:val="24"/>
              </w:rPr>
              <w:t>Angela Frunze</w:t>
            </w:r>
          </w:p>
          <w:p w:rsidR="00F80C67" w:rsidRPr="0057782A" w:rsidRDefault="00F80C67" w:rsidP="00966130">
            <w:pPr>
              <w:spacing w:after="0" w:line="276" w:lineRule="auto"/>
              <w:jc w:val="right"/>
              <w:rPr>
                <w:rFonts w:asciiTheme="majorHAnsi" w:hAnsiTheme="majorHAnsi" w:cstheme="majorHAnsi"/>
                <w:b/>
                <w:sz w:val="24"/>
                <w:szCs w:val="24"/>
              </w:rPr>
            </w:pPr>
          </w:p>
          <w:p w:rsidR="00F80C67" w:rsidRPr="0057782A" w:rsidRDefault="00F80C67" w:rsidP="00966130">
            <w:pPr>
              <w:spacing w:after="0" w:line="276" w:lineRule="auto"/>
              <w:jc w:val="right"/>
              <w:rPr>
                <w:rFonts w:asciiTheme="majorHAnsi" w:hAnsiTheme="majorHAnsi" w:cstheme="majorHAnsi"/>
                <w:b/>
                <w:sz w:val="24"/>
                <w:szCs w:val="24"/>
              </w:rPr>
            </w:pPr>
          </w:p>
          <w:p w:rsidR="00F80C67" w:rsidRPr="0057782A" w:rsidRDefault="00F80C67" w:rsidP="00966130">
            <w:pPr>
              <w:spacing w:after="0" w:line="276" w:lineRule="auto"/>
              <w:jc w:val="right"/>
              <w:rPr>
                <w:rFonts w:asciiTheme="majorHAnsi" w:hAnsiTheme="majorHAnsi" w:cstheme="majorHAnsi"/>
                <w:i/>
                <w:sz w:val="18"/>
                <w:szCs w:val="18"/>
              </w:rPr>
            </w:pPr>
          </w:p>
        </w:tc>
        <w:tc>
          <w:tcPr>
            <w:tcW w:w="1081" w:type="dxa"/>
          </w:tcPr>
          <w:p w:rsidR="00F80C67" w:rsidRPr="0057782A" w:rsidRDefault="00F80C67" w:rsidP="00966130">
            <w:pPr>
              <w:spacing w:after="0" w:line="276" w:lineRule="auto"/>
              <w:jc w:val="right"/>
              <w:rPr>
                <w:rFonts w:asciiTheme="majorHAnsi" w:hAnsiTheme="majorHAnsi" w:cstheme="majorHAnsi"/>
                <w:b/>
                <w:sz w:val="24"/>
                <w:szCs w:val="24"/>
              </w:rPr>
            </w:pPr>
          </w:p>
        </w:tc>
      </w:tr>
      <w:tr w:rsidR="00F80C67" w:rsidRPr="0057782A" w:rsidTr="00966130">
        <w:trPr>
          <w:trHeight w:val="282"/>
        </w:trPr>
        <w:tc>
          <w:tcPr>
            <w:tcW w:w="3505" w:type="dxa"/>
            <w:shd w:val="clear" w:color="auto" w:fill="auto"/>
          </w:tcPr>
          <w:p w:rsidR="00F80C67" w:rsidRPr="0057782A" w:rsidRDefault="009011CA" w:rsidP="00966130">
            <w:pPr>
              <w:spacing w:after="0" w:line="276" w:lineRule="auto"/>
              <w:rPr>
                <w:rFonts w:asciiTheme="majorHAnsi" w:hAnsiTheme="majorHAnsi" w:cstheme="majorHAnsi"/>
                <w:b/>
                <w:i/>
                <w:sz w:val="24"/>
                <w:szCs w:val="24"/>
              </w:rPr>
            </w:pPr>
            <w:r>
              <w:rPr>
                <w:rFonts w:asciiTheme="majorHAnsi" w:hAnsiTheme="majorHAnsi" w:cstheme="majorHAnsi"/>
                <w:b/>
                <w:i/>
                <w:sz w:val="24"/>
                <w:szCs w:val="24"/>
              </w:rPr>
              <w:t>Membra</w:t>
            </w:r>
            <w:r w:rsidR="00F80C67" w:rsidRPr="0057782A">
              <w:rPr>
                <w:rFonts w:asciiTheme="majorHAnsi" w:hAnsiTheme="majorHAnsi" w:cstheme="majorHAnsi"/>
                <w:b/>
                <w:i/>
                <w:sz w:val="24"/>
                <w:szCs w:val="24"/>
              </w:rPr>
              <w:t xml:space="preserve"> echipei,</w:t>
            </w:r>
          </w:p>
          <w:p w:rsidR="00F80C67" w:rsidRPr="0057782A" w:rsidRDefault="00F80C67" w:rsidP="00966130">
            <w:pPr>
              <w:spacing w:after="0" w:line="276" w:lineRule="auto"/>
              <w:rPr>
                <w:rFonts w:asciiTheme="majorHAnsi" w:hAnsiTheme="majorHAnsi" w:cstheme="majorHAnsi"/>
                <w:sz w:val="24"/>
                <w:szCs w:val="24"/>
              </w:rPr>
            </w:pPr>
            <w:r w:rsidRPr="0057782A">
              <w:rPr>
                <w:rFonts w:asciiTheme="majorHAnsi" w:hAnsiTheme="majorHAnsi" w:cstheme="majorHAnsi"/>
                <w:sz w:val="24"/>
                <w:szCs w:val="24"/>
              </w:rPr>
              <w:t>audito</w:t>
            </w:r>
            <w:r w:rsidR="009011CA">
              <w:rPr>
                <w:rFonts w:asciiTheme="majorHAnsi" w:hAnsiTheme="majorHAnsi" w:cstheme="majorHAnsi"/>
                <w:sz w:val="24"/>
                <w:szCs w:val="24"/>
              </w:rPr>
              <w:t>a</w:t>
            </w:r>
            <w:r w:rsidRPr="0057782A">
              <w:rPr>
                <w:rFonts w:asciiTheme="majorHAnsi" w:hAnsiTheme="majorHAnsi" w:cstheme="majorHAnsi"/>
                <w:sz w:val="24"/>
                <w:szCs w:val="24"/>
              </w:rPr>
              <w:t>r</w:t>
            </w:r>
            <w:r w:rsidR="009011CA">
              <w:rPr>
                <w:rFonts w:asciiTheme="majorHAnsi" w:hAnsiTheme="majorHAnsi" w:cstheme="majorHAnsi"/>
                <w:sz w:val="24"/>
                <w:szCs w:val="24"/>
              </w:rPr>
              <w:t>e</w:t>
            </w:r>
            <w:r w:rsidRPr="0057782A">
              <w:rPr>
                <w:rFonts w:asciiTheme="majorHAnsi" w:hAnsiTheme="majorHAnsi" w:cstheme="majorHAnsi"/>
                <w:sz w:val="24"/>
                <w:szCs w:val="24"/>
              </w:rPr>
              <w:t xml:space="preserve"> public</w:t>
            </w:r>
            <w:r w:rsidR="009011CA">
              <w:rPr>
                <w:rFonts w:asciiTheme="majorHAnsi" w:hAnsiTheme="majorHAnsi" w:cstheme="majorHAnsi"/>
                <w:sz w:val="24"/>
                <w:szCs w:val="24"/>
              </w:rPr>
              <w:t>ă</w:t>
            </w:r>
            <w:r w:rsidRPr="0057782A">
              <w:rPr>
                <w:rFonts w:asciiTheme="majorHAnsi" w:hAnsiTheme="majorHAnsi" w:cstheme="majorHAnsi"/>
                <w:sz w:val="24"/>
                <w:szCs w:val="24"/>
              </w:rPr>
              <w:t xml:space="preserve"> principal</w:t>
            </w:r>
            <w:r w:rsidR="00C2573B">
              <w:rPr>
                <w:rFonts w:asciiTheme="majorHAnsi" w:hAnsiTheme="majorHAnsi" w:cstheme="majorHAnsi"/>
                <w:sz w:val="24"/>
                <w:szCs w:val="24"/>
              </w:rPr>
              <w:t>ă</w:t>
            </w:r>
          </w:p>
        </w:tc>
        <w:tc>
          <w:tcPr>
            <w:tcW w:w="3107" w:type="dxa"/>
          </w:tcPr>
          <w:p w:rsidR="00F80C67" w:rsidRPr="00936E68" w:rsidRDefault="00F80C67" w:rsidP="00966130">
            <w:pPr>
              <w:spacing w:after="0" w:line="276" w:lineRule="auto"/>
              <w:jc w:val="right"/>
              <w:rPr>
                <w:rFonts w:asciiTheme="majorHAnsi" w:hAnsiTheme="majorHAnsi" w:cstheme="majorHAnsi"/>
                <w:b/>
                <w:sz w:val="24"/>
                <w:szCs w:val="24"/>
                <w:lang w:val="en-US"/>
              </w:rPr>
            </w:pPr>
          </w:p>
        </w:tc>
        <w:tc>
          <w:tcPr>
            <w:tcW w:w="2473" w:type="dxa"/>
            <w:shd w:val="clear" w:color="auto" w:fill="auto"/>
          </w:tcPr>
          <w:p w:rsidR="00F80C67" w:rsidRPr="0057782A" w:rsidRDefault="00F80C67" w:rsidP="00966130">
            <w:pPr>
              <w:spacing w:after="0" w:line="276" w:lineRule="auto"/>
              <w:jc w:val="right"/>
              <w:rPr>
                <w:rFonts w:asciiTheme="majorHAnsi" w:hAnsiTheme="majorHAnsi" w:cstheme="majorHAnsi"/>
                <w:b/>
                <w:sz w:val="24"/>
                <w:szCs w:val="24"/>
              </w:rPr>
            </w:pPr>
            <w:r w:rsidRPr="0057782A">
              <w:rPr>
                <w:rFonts w:asciiTheme="majorHAnsi" w:hAnsiTheme="majorHAnsi" w:cstheme="majorHAnsi"/>
                <w:b/>
                <w:sz w:val="24"/>
                <w:szCs w:val="24"/>
              </w:rPr>
              <w:t>Alina Certan</w:t>
            </w:r>
          </w:p>
          <w:p w:rsidR="00F80C67" w:rsidRPr="0057782A" w:rsidRDefault="00F80C67" w:rsidP="00966130">
            <w:pPr>
              <w:spacing w:after="0" w:line="276" w:lineRule="auto"/>
              <w:jc w:val="right"/>
              <w:rPr>
                <w:rFonts w:asciiTheme="majorHAnsi" w:hAnsiTheme="majorHAnsi" w:cstheme="majorHAnsi"/>
                <w:b/>
                <w:sz w:val="24"/>
                <w:szCs w:val="24"/>
              </w:rPr>
            </w:pPr>
          </w:p>
          <w:p w:rsidR="00F80C67" w:rsidRPr="0057782A" w:rsidRDefault="00F80C67" w:rsidP="00966130">
            <w:pPr>
              <w:spacing w:after="0" w:line="276" w:lineRule="auto"/>
              <w:jc w:val="right"/>
              <w:rPr>
                <w:rFonts w:asciiTheme="majorHAnsi" w:hAnsiTheme="majorHAnsi" w:cstheme="majorHAnsi"/>
                <w:b/>
                <w:sz w:val="24"/>
                <w:szCs w:val="24"/>
              </w:rPr>
            </w:pPr>
          </w:p>
        </w:tc>
        <w:tc>
          <w:tcPr>
            <w:tcW w:w="1081" w:type="dxa"/>
          </w:tcPr>
          <w:p w:rsidR="00F80C67" w:rsidRPr="0057782A" w:rsidRDefault="00F80C67" w:rsidP="00966130">
            <w:pPr>
              <w:spacing w:after="0" w:line="276" w:lineRule="auto"/>
              <w:jc w:val="right"/>
              <w:rPr>
                <w:rFonts w:asciiTheme="majorHAnsi" w:hAnsiTheme="majorHAnsi" w:cstheme="majorHAnsi"/>
                <w:b/>
                <w:sz w:val="24"/>
                <w:szCs w:val="24"/>
              </w:rPr>
            </w:pPr>
          </w:p>
        </w:tc>
      </w:tr>
      <w:tr w:rsidR="00F80C67" w:rsidRPr="0057782A" w:rsidTr="00966130">
        <w:trPr>
          <w:trHeight w:val="783"/>
        </w:trPr>
        <w:tc>
          <w:tcPr>
            <w:tcW w:w="3505" w:type="dxa"/>
            <w:shd w:val="clear" w:color="auto" w:fill="auto"/>
          </w:tcPr>
          <w:p w:rsidR="00F80C67" w:rsidRPr="0057782A" w:rsidRDefault="00F80C67" w:rsidP="00966130">
            <w:pPr>
              <w:spacing w:after="0" w:line="276" w:lineRule="auto"/>
              <w:jc w:val="both"/>
              <w:rPr>
                <w:rFonts w:asciiTheme="majorHAnsi" w:hAnsiTheme="majorHAnsi" w:cstheme="majorHAnsi"/>
                <w:b/>
                <w:i/>
                <w:sz w:val="24"/>
                <w:szCs w:val="24"/>
              </w:rPr>
            </w:pPr>
            <w:r w:rsidRPr="0057782A">
              <w:rPr>
                <w:rFonts w:asciiTheme="majorHAnsi" w:hAnsiTheme="majorHAnsi" w:cstheme="majorHAnsi"/>
                <w:b/>
                <w:i/>
                <w:sz w:val="24"/>
                <w:szCs w:val="24"/>
              </w:rPr>
              <w:t>Responsabil</w:t>
            </w:r>
            <w:r w:rsidR="004230C0">
              <w:rPr>
                <w:rFonts w:asciiTheme="majorHAnsi" w:hAnsiTheme="majorHAnsi" w:cstheme="majorHAnsi"/>
                <w:b/>
                <w:i/>
                <w:sz w:val="24"/>
                <w:szCs w:val="24"/>
              </w:rPr>
              <w:t>ă</w:t>
            </w:r>
            <w:r w:rsidRPr="0057782A">
              <w:rPr>
                <w:rFonts w:asciiTheme="majorHAnsi" w:hAnsiTheme="majorHAnsi" w:cstheme="majorHAnsi"/>
                <w:b/>
                <w:i/>
                <w:sz w:val="24"/>
                <w:szCs w:val="24"/>
              </w:rPr>
              <w:t xml:space="preserve"> de audit, </w:t>
            </w:r>
          </w:p>
          <w:p w:rsidR="00F80C67" w:rsidRPr="0057782A" w:rsidRDefault="00F80C67" w:rsidP="009011CA">
            <w:pPr>
              <w:spacing w:after="0" w:line="276" w:lineRule="auto"/>
              <w:ind w:right="-204"/>
              <w:rPr>
                <w:rFonts w:asciiTheme="majorHAnsi" w:hAnsiTheme="majorHAnsi" w:cstheme="majorHAnsi"/>
                <w:b/>
                <w:sz w:val="24"/>
                <w:szCs w:val="24"/>
              </w:rPr>
            </w:pPr>
            <w:r w:rsidRPr="0057782A">
              <w:rPr>
                <w:rFonts w:asciiTheme="majorHAnsi" w:hAnsiTheme="majorHAnsi" w:cstheme="majorHAnsi"/>
                <w:sz w:val="24"/>
                <w:szCs w:val="24"/>
              </w:rPr>
              <w:t>șef</w:t>
            </w:r>
            <w:r w:rsidR="009011CA">
              <w:rPr>
                <w:rFonts w:asciiTheme="majorHAnsi" w:hAnsiTheme="majorHAnsi" w:cstheme="majorHAnsi"/>
                <w:sz w:val="24"/>
                <w:szCs w:val="24"/>
              </w:rPr>
              <w:t>a</w:t>
            </w:r>
            <w:r w:rsidRPr="0057782A">
              <w:rPr>
                <w:rFonts w:asciiTheme="majorHAnsi" w:hAnsiTheme="majorHAnsi" w:cstheme="majorHAnsi"/>
                <w:sz w:val="24"/>
                <w:szCs w:val="24"/>
              </w:rPr>
              <w:t xml:space="preserve"> Direcției generale de audit</w:t>
            </w:r>
            <w:r w:rsidRPr="0057782A">
              <w:rPr>
                <w:rFonts w:asciiTheme="majorHAnsi" w:hAnsiTheme="majorHAnsi" w:cstheme="majorHAnsi"/>
                <w:i/>
                <w:sz w:val="24"/>
                <w:szCs w:val="24"/>
              </w:rPr>
              <w:t xml:space="preserve"> </w:t>
            </w:r>
            <w:r w:rsidRPr="0057782A">
              <w:rPr>
                <w:rFonts w:asciiTheme="majorHAnsi" w:hAnsiTheme="majorHAnsi" w:cstheme="majorHAnsi"/>
                <w:sz w:val="24"/>
                <w:szCs w:val="24"/>
              </w:rPr>
              <w:t>I</w:t>
            </w:r>
            <w:r w:rsidRPr="0057782A">
              <w:rPr>
                <w:rFonts w:asciiTheme="majorHAnsi" w:hAnsiTheme="majorHAnsi" w:cstheme="majorHAnsi"/>
                <w:i/>
                <w:sz w:val="24"/>
                <w:szCs w:val="24"/>
              </w:rPr>
              <w:t xml:space="preserve"> </w:t>
            </w:r>
          </w:p>
          <w:p w:rsidR="00F80C67" w:rsidRDefault="00F80C67" w:rsidP="00966130">
            <w:pPr>
              <w:spacing w:after="0" w:line="276" w:lineRule="auto"/>
              <w:jc w:val="both"/>
              <w:rPr>
                <w:rFonts w:asciiTheme="majorHAnsi" w:hAnsiTheme="majorHAnsi" w:cstheme="majorHAnsi"/>
                <w:b/>
                <w:sz w:val="24"/>
                <w:szCs w:val="24"/>
              </w:rPr>
            </w:pPr>
          </w:p>
          <w:p w:rsidR="00F80C67" w:rsidRDefault="00F80C67" w:rsidP="00966130">
            <w:pPr>
              <w:spacing w:after="0" w:line="276" w:lineRule="auto"/>
              <w:jc w:val="both"/>
              <w:rPr>
                <w:rFonts w:asciiTheme="majorHAnsi" w:hAnsiTheme="majorHAnsi" w:cstheme="majorHAnsi"/>
                <w:b/>
                <w:sz w:val="24"/>
                <w:szCs w:val="24"/>
              </w:rPr>
            </w:pPr>
          </w:p>
          <w:p w:rsidR="00F80C67" w:rsidRPr="0057782A" w:rsidRDefault="00F80C67" w:rsidP="00966130">
            <w:pPr>
              <w:spacing w:after="0" w:line="276" w:lineRule="auto"/>
              <w:jc w:val="both"/>
              <w:rPr>
                <w:rFonts w:asciiTheme="majorHAnsi" w:hAnsiTheme="majorHAnsi" w:cstheme="majorHAnsi"/>
                <w:b/>
                <w:sz w:val="24"/>
                <w:szCs w:val="24"/>
              </w:rPr>
            </w:pPr>
          </w:p>
        </w:tc>
        <w:tc>
          <w:tcPr>
            <w:tcW w:w="3107" w:type="dxa"/>
          </w:tcPr>
          <w:p w:rsidR="00F80C67" w:rsidRPr="0057782A" w:rsidRDefault="00F80C67" w:rsidP="00966130">
            <w:pPr>
              <w:spacing w:after="0" w:line="276" w:lineRule="auto"/>
              <w:jc w:val="right"/>
              <w:rPr>
                <w:rFonts w:asciiTheme="majorHAnsi" w:hAnsiTheme="majorHAnsi" w:cstheme="majorHAnsi"/>
                <w:b/>
                <w:sz w:val="24"/>
                <w:szCs w:val="24"/>
              </w:rPr>
            </w:pPr>
          </w:p>
        </w:tc>
        <w:tc>
          <w:tcPr>
            <w:tcW w:w="2473" w:type="dxa"/>
            <w:shd w:val="clear" w:color="auto" w:fill="auto"/>
          </w:tcPr>
          <w:p w:rsidR="00F80C67" w:rsidRPr="0057782A" w:rsidRDefault="00F80C67" w:rsidP="00966130">
            <w:pPr>
              <w:spacing w:after="0" w:line="276" w:lineRule="auto"/>
              <w:jc w:val="right"/>
              <w:rPr>
                <w:rFonts w:asciiTheme="majorHAnsi" w:hAnsiTheme="majorHAnsi" w:cstheme="majorHAnsi"/>
                <w:b/>
                <w:sz w:val="24"/>
                <w:szCs w:val="24"/>
              </w:rPr>
            </w:pPr>
            <w:r w:rsidRPr="0057782A">
              <w:rPr>
                <w:rFonts w:asciiTheme="majorHAnsi" w:hAnsiTheme="majorHAnsi" w:cstheme="majorHAnsi"/>
                <w:b/>
                <w:sz w:val="24"/>
                <w:szCs w:val="24"/>
              </w:rPr>
              <w:t>Natalia Trofim</w:t>
            </w:r>
          </w:p>
          <w:p w:rsidR="00F80C67" w:rsidRPr="0057782A" w:rsidRDefault="00F80C67" w:rsidP="00966130">
            <w:pPr>
              <w:spacing w:after="0" w:line="276" w:lineRule="auto"/>
              <w:jc w:val="right"/>
              <w:rPr>
                <w:rFonts w:asciiTheme="majorHAnsi" w:hAnsiTheme="majorHAnsi" w:cstheme="majorHAnsi"/>
                <w:i/>
                <w:sz w:val="24"/>
                <w:szCs w:val="24"/>
              </w:rPr>
            </w:pPr>
          </w:p>
        </w:tc>
        <w:tc>
          <w:tcPr>
            <w:tcW w:w="1081" w:type="dxa"/>
          </w:tcPr>
          <w:p w:rsidR="00F80C67" w:rsidRDefault="00F80C67" w:rsidP="00966130">
            <w:pPr>
              <w:spacing w:after="0" w:line="276" w:lineRule="auto"/>
              <w:jc w:val="right"/>
              <w:rPr>
                <w:rFonts w:asciiTheme="majorHAnsi" w:hAnsiTheme="majorHAnsi" w:cstheme="majorHAnsi"/>
                <w:b/>
                <w:sz w:val="24"/>
                <w:szCs w:val="24"/>
              </w:rPr>
            </w:pPr>
          </w:p>
          <w:p w:rsidR="00F80C67" w:rsidRDefault="00F80C67" w:rsidP="00966130">
            <w:pPr>
              <w:spacing w:after="0" w:line="276" w:lineRule="auto"/>
              <w:jc w:val="right"/>
              <w:rPr>
                <w:rFonts w:asciiTheme="majorHAnsi" w:hAnsiTheme="majorHAnsi" w:cstheme="majorHAnsi"/>
                <w:b/>
                <w:sz w:val="24"/>
                <w:szCs w:val="24"/>
              </w:rPr>
            </w:pPr>
          </w:p>
          <w:p w:rsidR="00F80C67" w:rsidRPr="0057782A" w:rsidRDefault="00F80C67" w:rsidP="00F80C67">
            <w:pPr>
              <w:spacing w:after="0" w:line="276" w:lineRule="auto"/>
              <w:rPr>
                <w:rFonts w:asciiTheme="majorHAnsi" w:hAnsiTheme="majorHAnsi" w:cstheme="majorHAnsi"/>
                <w:b/>
                <w:sz w:val="24"/>
                <w:szCs w:val="24"/>
              </w:rPr>
            </w:pPr>
          </w:p>
        </w:tc>
      </w:tr>
    </w:tbl>
    <w:p w:rsidR="00CB5F81" w:rsidRPr="00CB5F81" w:rsidRDefault="00CB5F81" w:rsidP="001644CD">
      <w:pPr>
        <w:pStyle w:val="ListParagraph"/>
        <w:tabs>
          <w:tab w:val="left" w:pos="450"/>
        </w:tabs>
        <w:spacing w:after="160" w:line="259" w:lineRule="auto"/>
        <w:ind w:left="270"/>
        <w:jc w:val="both"/>
        <w:rPr>
          <w:rFonts w:asciiTheme="majorHAnsi" w:hAnsiTheme="majorHAnsi" w:cstheme="majorHAnsi"/>
          <w:sz w:val="24"/>
          <w:szCs w:val="24"/>
          <w:lang w:val="ro-MD"/>
        </w:rPr>
        <w:sectPr w:rsidR="00CB5F81" w:rsidRPr="00CB5F81" w:rsidSect="005F641E">
          <w:pgSz w:w="11906" w:h="16838" w:code="9"/>
          <w:pgMar w:top="850" w:right="850" w:bottom="850" w:left="1699" w:header="720" w:footer="720" w:gutter="0"/>
          <w:cols w:space="720"/>
          <w:titlePg/>
          <w:docGrid w:linePitch="360"/>
        </w:sectPr>
      </w:pPr>
    </w:p>
    <w:p w:rsidR="00B5683B" w:rsidRPr="005A689A" w:rsidRDefault="008E6946" w:rsidP="004230C0">
      <w:pPr>
        <w:pStyle w:val="Heading1"/>
        <w:jc w:val="right"/>
        <w:rPr>
          <w:sz w:val="28"/>
          <w:szCs w:val="28"/>
        </w:rPr>
      </w:pPr>
      <w:r w:rsidRPr="00CB5F81">
        <w:rPr>
          <w:sz w:val="24"/>
          <w:szCs w:val="24"/>
        </w:rPr>
        <w:lastRenderedPageBreak/>
        <w:t xml:space="preserve"> </w:t>
      </w:r>
      <w:bookmarkStart w:id="40" w:name="_Toc111467881"/>
      <w:r w:rsidR="003424B4" w:rsidRPr="005A689A">
        <w:rPr>
          <w:rFonts w:cstheme="majorHAnsi"/>
          <w:b/>
          <w:color w:val="1F4E79" w:themeColor="accent1" w:themeShade="80"/>
          <w:sz w:val="28"/>
          <w:szCs w:val="28"/>
          <w:lang w:val="ro-MD"/>
        </w:rPr>
        <w:t>ANEXE</w:t>
      </w:r>
      <w:bookmarkEnd w:id="40"/>
    </w:p>
    <w:p w:rsidR="00CB5F81" w:rsidRPr="00CB5F81" w:rsidRDefault="00CB5F81" w:rsidP="004230C0">
      <w:pPr>
        <w:spacing w:after="120"/>
        <w:jc w:val="right"/>
        <w:rPr>
          <w:i/>
          <w:sz w:val="24"/>
          <w:szCs w:val="24"/>
        </w:rPr>
      </w:pPr>
      <w:r w:rsidRPr="00CB5F81">
        <w:rPr>
          <w:i/>
          <w:sz w:val="24"/>
          <w:szCs w:val="24"/>
        </w:rPr>
        <w:t>Anexa nr. 1</w:t>
      </w:r>
    </w:p>
    <w:p w:rsidR="00CB5F81" w:rsidRPr="00CB5F81" w:rsidRDefault="00CB5F81" w:rsidP="00CB5F81">
      <w:pPr>
        <w:spacing w:after="0"/>
        <w:jc w:val="right"/>
      </w:pPr>
    </w:p>
    <w:p w:rsidR="00CB5F81" w:rsidRPr="00CB5F81" w:rsidRDefault="00CB5F81" w:rsidP="00CB5F81">
      <w:r w:rsidRPr="00CB5F81">
        <w:rPr>
          <w:noProof/>
          <w:lang w:val="en-US"/>
        </w:rPr>
        <w:drawing>
          <wp:inline distT="0" distB="0" distL="0" distR="0" wp14:anchorId="39ECD82A" wp14:editId="4E2D9335">
            <wp:extent cx="8229600" cy="3663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3663656"/>
                    </a:xfrm>
                    <a:prstGeom prst="rect">
                      <a:avLst/>
                    </a:prstGeom>
                    <a:noFill/>
                    <a:ln>
                      <a:noFill/>
                    </a:ln>
                  </pic:spPr>
                </pic:pic>
              </a:graphicData>
            </a:graphic>
          </wp:inline>
        </w:drawing>
      </w:r>
    </w:p>
    <w:p w:rsidR="00CB5F81" w:rsidRPr="00CB5F81" w:rsidRDefault="00CB5F81" w:rsidP="00CB5F81">
      <w:pPr>
        <w:spacing w:after="0" w:line="276" w:lineRule="auto"/>
        <w:rPr>
          <w:rFonts w:asciiTheme="majorHAnsi" w:hAnsiTheme="majorHAnsi" w:cstheme="majorHAnsi"/>
          <w:sz w:val="24"/>
          <w:szCs w:val="24"/>
        </w:rPr>
      </w:pPr>
    </w:p>
    <w:p w:rsidR="00CB5F81" w:rsidRPr="00CB5F81" w:rsidRDefault="00CB5F81" w:rsidP="00CB5F81">
      <w:pPr>
        <w:spacing w:after="0" w:line="276" w:lineRule="auto"/>
        <w:jc w:val="both"/>
        <w:rPr>
          <w:rFonts w:asciiTheme="majorHAnsi" w:hAnsiTheme="majorHAnsi" w:cstheme="majorHAnsi"/>
          <w:sz w:val="24"/>
          <w:szCs w:val="24"/>
        </w:rPr>
        <w:sectPr w:rsidR="00CB5F81" w:rsidRPr="00CB5F81" w:rsidSect="00CB5F81">
          <w:footerReference w:type="first" r:id="rId19"/>
          <w:pgSz w:w="15840" w:h="12240" w:orient="landscape"/>
          <w:pgMar w:top="1440" w:right="1267" w:bottom="1440" w:left="1627" w:header="720" w:footer="720" w:gutter="0"/>
          <w:cols w:space="720"/>
          <w:titlePg/>
          <w:docGrid w:linePitch="360"/>
        </w:sectPr>
      </w:pPr>
    </w:p>
    <w:p w:rsidR="0081659A" w:rsidRPr="00CB5F81" w:rsidRDefault="0081659A" w:rsidP="0081659A">
      <w:pPr>
        <w:spacing w:after="0" w:line="276" w:lineRule="auto"/>
        <w:jc w:val="right"/>
        <w:rPr>
          <w:rFonts w:asciiTheme="majorHAnsi" w:hAnsiTheme="majorHAnsi" w:cstheme="majorHAnsi"/>
          <w:i/>
          <w:sz w:val="24"/>
          <w:szCs w:val="24"/>
        </w:rPr>
      </w:pPr>
      <w:r w:rsidRPr="00CB5F81">
        <w:rPr>
          <w:rFonts w:asciiTheme="majorHAnsi" w:hAnsiTheme="majorHAnsi" w:cstheme="majorHAnsi"/>
          <w:i/>
          <w:sz w:val="24"/>
          <w:szCs w:val="24"/>
        </w:rPr>
        <w:lastRenderedPageBreak/>
        <w:t>Anexa nr.</w:t>
      </w:r>
      <w:r w:rsidR="006B5CF5" w:rsidRPr="00CB5F81">
        <w:rPr>
          <w:rFonts w:asciiTheme="majorHAnsi" w:hAnsiTheme="majorHAnsi" w:cstheme="majorHAnsi"/>
          <w:i/>
          <w:sz w:val="24"/>
          <w:szCs w:val="24"/>
        </w:rPr>
        <w:t>2</w:t>
      </w:r>
    </w:p>
    <w:p w:rsidR="0081659A" w:rsidRPr="00D05E06" w:rsidRDefault="0081659A" w:rsidP="0081659A">
      <w:pPr>
        <w:spacing w:after="0" w:line="276" w:lineRule="auto"/>
        <w:jc w:val="center"/>
        <w:rPr>
          <w:rFonts w:asciiTheme="majorHAnsi" w:hAnsiTheme="majorHAnsi" w:cstheme="majorHAnsi"/>
          <w:b/>
          <w:color w:val="1F4E79" w:themeColor="accent1" w:themeShade="80"/>
          <w:sz w:val="26"/>
          <w:szCs w:val="26"/>
          <w:u w:val="single"/>
        </w:rPr>
      </w:pPr>
      <w:r w:rsidRPr="00D05E06">
        <w:rPr>
          <w:rFonts w:asciiTheme="majorHAnsi" w:hAnsiTheme="majorHAnsi" w:cstheme="majorHAnsi"/>
          <w:b/>
          <w:color w:val="1F4E79" w:themeColor="accent1" w:themeShade="80"/>
          <w:sz w:val="26"/>
          <w:szCs w:val="26"/>
          <w:u w:val="single"/>
        </w:rPr>
        <w:t>Procesele supuse verificării și criteriile aplicate</w:t>
      </w:r>
    </w:p>
    <w:p w:rsidR="0081659A" w:rsidRPr="00CB5F81" w:rsidRDefault="0081659A" w:rsidP="0081659A">
      <w:pPr>
        <w:spacing w:after="0" w:line="276" w:lineRule="auto"/>
        <w:jc w:val="center"/>
        <w:rPr>
          <w:rFonts w:asciiTheme="majorHAnsi" w:hAnsiTheme="majorHAnsi" w:cstheme="majorHAnsi"/>
          <w:color w:val="1F4E79" w:themeColor="accent1" w:themeShade="80"/>
          <w:sz w:val="26"/>
          <w:szCs w:val="26"/>
          <w:u w:val="single"/>
        </w:rPr>
      </w:pPr>
    </w:p>
    <w:tbl>
      <w:tblPr>
        <w:tblStyle w:val="PlainTable5"/>
        <w:tblW w:w="10266" w:type="dxa"/>
        <w:tblInd w:w="-180" w:type="dxa"/>
        <w:tblLook w:val="04A0" w:firstRow="1" w:lastRow="0" w:firstColumn="1" w:lastColumn="0" w:noHBand="0" w:noVBand="1"/>
      </w:tblPr>
      <w:tblGrid>
        <w:gridCol w:w="2430"/>
        <w:gridCol w:w="1080"/>
        <w:gridCol w:w="135"/>
        <w:gridCol w:w="1216"/>
        <w:gridCol w:w="5405"/>
      </w:tblGrid>
      <w:tr w:rsidR="0081659A" w:rsidRPr="00CB5F81" w:rsidTr="00A614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tcBorders>
              <w:top w:val="single" w:sz="4" w:space="0" w:color="auto"/>
              <w:left w:val="single" w:sz="4" w:space="0" w:color="auto"/>
              <w:bottom w:val="none" w:sz="0" w:space="0" w:color="auto"/>
              <w:right w:val="none" w:sz="0" w:space="0" w:color="auto"/>
            </w:tcBorders>
            <w:shd w:val="clear" w:color="auto" w:fill="BFBFBF" w:themeFill="background1" w:themeFillShade="BF"/>
            <w:vAlign w:val="center"/>
          </w:tcPr>
          <w:p w:rsidR="0081659A" w:rsidRPr="00CB5F81" w:rsidRDefault="0081659A" w:rsidP="0081659A">
            <w:pPr>
              <w:spacing w:line="276" w:lineRule="auto"/>
              <w:jc w:val="center"/>
              <w:rPr>
                <w:rFonts w:cstheme="majorHAnsi"/>
                <w:b/>
                <w:sz w:val="20"/>
                <w:szCs w:val="20"/>
              </w:rPr>
            </w:pPr>
            <w:r w:rsidRPr="00CB5F81">
              <w:rPr>
                <w:rFonts w:cstheme="majorHAnsi"/>
                <w:b/>
                <w:sz w:val="20"/>
                <w:szCs w:val="20"/>
              </w:rPr>
              <w:t>Procesele/aspectele auditate</w:t>
            </w:r>
          </w:p>
        </w:tc>
        <w:tc>
          <w:tcPr>
            <w:tcW w:w="1080" w:type="dxa"/>
            <w:tcBorders>
              <w:top w:val="single" w:sz="4" w:space="0" w:color="auto"/>
              <w:bottom w:val="none" w:sz="0" w:space="0" w:color="auto"/>
            </w:tcBorders>
            <w:shd w:val="clear" w:color="auto" w:fill="BFBFBF" w:themeFill="background1" w:themeFillShade="BF"/>
            <w:vAlign w:val="center"/>
          </w:tcPr>
          <w:p w:rsidR="0081659A" w:rsidRPr="00CB5F81" w:rsidRDefault="0081659A" w:rsidP="0081659A">
            <w:pPr>
              <w:spacing w:line="276" w:lineRule="auto"/>
              <w:ind w:left="-109" w:firstLine="109"/>
              <w:jc w:val="center"/>
              <w:cnfStyle w:val="100000000000" w:firstRow="1" w:lastRow="0" w:firstColumn="0" w:lastColumn="0" w:oddVBand="0" w:evenVBand="0" w:oddHBand="0" w:evenHBand="0" w:firstRowFirstColumn="0" w:firstRowLastColumn="0" w:lastRowFirstColumn="0" w:lastRowLastColumn="0"/>
              <w:rPr>
                <w:rFonts w:cstheme="majorHAnsi"/>
                <w:b/>
                <w:sz w:val="20"/>
                <w:szCs w:val="20"/>
              </w:rPr>
            </w:pPr>
            <w:r w:rsidRPr="00CB5F81">
              <w:rPr>
                <w:rFonts w:cstheme="majorHAnsi"/>
                <w:b/>
                <w:sz w:val="20"/>
                <w:szCs w:val="20"/>
              </w:rPr>
              <w:t xml:space="preserve">Mijloacele gestionate </w:t>
            </w:r>
          </w:p>
        </w:tc>
        <w:tc>
          <w:tcPr>
            <w:tcW w:w="1351" w:type="dxa"/>
            <w:gridSpan w:val="2"/>
            <w:tcBorders>
              <w:top w:val="single" w:sz="4" w:space="0" w:color="auto"/>
              <w:bottom w:val="none" w:sz="0" w:space="0" w:color="auto"/>
            </w:tcBorders>
            <w:shd w:val="clear" w:color="auto" w:fill="BFBFBF" w:themeFill="background1" w:themeFillShade="BF"/>
            <w:vAlign w:val="center"/>
          </w:tcPr>
          <w:p w:rsidR="0081659A" w:rsidRPr="00CB5F81" w:rsidRDefault="0081659A" w:rsidP="0081659A">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b/>
                <w:sz w:val="20"/>
                <w:szCs w:val="20"/>
              </w:rPr>
            </w:pPr>
            <w:r w:rsidRPr="00CB5F81">
              <w:rPr>
                <w:rFonts w:cstheme="majorHAnsi"/>
                <w:b/>
                <w:sz w:val="20"/>
                <w:szCs w:val="20"/>
              </w:rPr>
              <w:t>Eșantionul supus testării</w:t>
            </w:r>
            <w:r w:rsidR="00EC1EAF">
              <w:rPr>
                <w:rFonts w:cstheme="majorHAnsi"/>
                <w:b/>
                <w:sz w:val="20"/>
                <w:szCs w:val="20"/>
              </w:rPr>
              <w:t xml:space="preserve"> </w:t>
            </w:r>
          </w:p>
        </w:tc>
        <w:tc>
          <w:tcPr>
            <w:tcW w:w="5405" w:type="dxa"/>
            <w:tcBorders>
              <w:top w:val="single" w:sz="4" w:space="0" w:color="auto"/>
              <w:bottom w:val="none" w:sz="0" w:space="0" w:color="auto"/>
              <w:right w:val="single" w:sz="4" w:space="0" w:color="auto"/>
            </w:tcBorders>
            <w:shd w:val="clear" w:color="auto" w:fill="BFBFBF" w:themeFill="background1" w:themeFillShade="BF"/>
            <w:vAlign w:val="center"/>
          </w:tcPr>
          <w:p w:rsidR="0081659A" w:rsidRPr="00CB5F81" w:rsidRDefault="0081659A" w:rsidP="0081659A">
            <w:pPr>
              <w:jc w:val="center"/>
              <w:cnfStyle w:val="100000000000" w:firstRow="1" w:lastRow="0" w:firstColumn="0" w:lastColumn="0" w:oddVBand="0" w:evenVBand="0" w:oddHBand="0" w:evenHBand="0" w:firstRowFirstColumn="0" w:firstRowLastColumn="0" w:lastRowFirstColumn="0" w:lastRowLastColumn="0"/>
              <w:rPr>
                <w:rFonts w:cstheme="majorHAnsi"/>
                <w:b/>
                <w:sz w:val="20"/>
                <w:szCs w:val="20"/>
              </w:rPr>
            </w:pPr>
            <w:r w:rsidRPr="00CB5F81">
              <w:rPr>
                <w:rFonts w:cstheme="majorHAnsi"/>
                <w:b/>
                <w:sz w:val="20"/>
                <w:szCs w:val="20"/>
              </w:rPr>
              <w:t>Lista actelor normative care au servit drept surse de criterii</w:t>
            </w:r>
          </w:p>
        </w:tc>
      </w:tr>
      <w:tr w:rsidR="0081659A" w:rsidRPr="00CB5F81" w:rsidTr="00A614C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266" w:type="dxa"/>
            <w:gridSpan w:val="5"/>
            <w:tcBorders>
              <w:left w:val="single" w:sz="4" w:space="0" w:color="auto"/>
              <w:right w:val="single" w:sz="4" w:space="0" w:color="auto"/>
            </w:tcBorders>
            <w:shd w:val="clear" w:color="auto" w:fill="DEEAF6" w:themeFill="accent1" w:themeFillTint="33"/>
            <w:vAlign w:val="center"/>
          </w:tcPr>
          <w:p w:rsidR="0081659A" w:rsidRPr="00CB5F81" w:rsidRDefault="0081659A" w:rsidP="0081659A">
            <w:pPr>
              <w:spacing w:before="80" w:after="80"/>
              <w:jc w:val="both"/>
              <w:rPr>
                <w:rFonts w:cstheme="majorHAnsi"/>
                <w:sz w:val="20"/>
                <w:szCs w:val="20"/>
              </w:rPr>
            </w:pPr>
            <w:r w:rsidRPr="00CB5F81">
              <w:rPr>
                <w:rFonts w:cstheme="majorHAnsi"/>
                <w:sz w:val="20"/>
                <w:szCs w:val="20"/>
              </w:rPr>
              <w:t>(1) Au fost implementate politici și instrumente care să asigure estimarea costurilor bugetare ale facilităților fiscale?</w:t>
            </w:r>
          </w:p>
        </w:tc>
      </w:tr>
      <w:tr w:rsidR="0081659A" w:rsidRPr="00CB5F81" w:rsidTr="00A614C7">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F2F2F2" w:themeFill="background1" w:themeFillShade="F2"/>
          </w:tcPr>
          <w:p w:rsidR="0081659A" w:rsidRPr="00CB5F81" w:rsidRDefault="0081659A" w:rsidP="0081659A">
            <w:pPr>
              <w:jc w:val="both"/>
              <w:rPr>
                <w:rFonts w:cstheme="majorHAnsi"/>
                <w:sz w:val="16"/>
                <w:szCs w:val="16"/>
              </w:rPr>
            </w:pPr>
            <w:r w:rsidRPr="00CB5F81">
              <w:rPr>
                <w:rFonts w:cstheme="majorHAnsi"/>
                <w:sz w:val="16"/>
                <w:szCs w:val="16"/>
              </w:rPr>
              <w:t>Cadrul normativ care reglementează sistemul de facilități</w:t>
            </w:r>
          </w:p>
        </w:tc>
        <w:tc>
          <w:tcPr>
            <w:tcW w:w="2431" w:type="dxa"/>
            <w:gridSpan w:val="3"/>
            <w:shd w:val="clear" w:color="auto" w:fill="F2F2F2" w:themeFill="background1" w:themeFillShade="F2"/>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B5F81">
              <w:rPr>
                <w:rFonts w:asciiTheme="majorHAnsi" w:hAnsiTheme="majorHAnsi" w:cstheme="majorHAnsi"/>
                <w:sz w:val="18"/>
                <w:szCs w:val="18"/>
              </w:rPr>
              <w:t>Analiza cadrului legal</w:t>
            </w:r>
          </w:p>
        </w:tc>
        <w:tc>
          <w:tcPr>
            <w:tcW w:w="5405" w:type="dxa"/>
            <w:vMerge w:val="restart"/>
            <w:tcBorders>
              <w:right w:val="single" w:sz="4" w:space="0" w:color="auto"/>
            </w:tcBorders>
            <w:shd w:val="clear" w:color="auto" w:fill="F2F2F2" w:themeFill="background1" w:themeFillShade="F2"/>
          </w:tcPr>
          <w:p w:rsidR="0081659A" w:rsidRPr="00CB5F81" w:rsidRDefault="0081659A" w:rsidP="0081659A">
            <w:pPr>
              <w:numPr>
                <w:ilvl w:val="0"/>
                <w:numId w:val="24"/>
              </w:numPr>
              <w:tabs>
                <w:tab w:val="left" w:pos="174"/>
              </w:tabs>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 xml:space="preserve">Codul </w:t>
            </w:r>
            <w:r w:rsidR="00510187">
              <w:rPr>
                <w:rFonts w:asciiTheme="majorHAnsi" w:hAnsiTheme="majorHAnsi" w:cstheme="majorHAnsi"/>
                <w:sz w:val="16"/>
                <w:szCs w:val="16"/>
              </w:rPr>
              <w:t>f</w:t>
            </w:r>
            <w:r w:rsidRPr="00CB5F81">
              <w:rPr>
                <w:rFonts w:asciiTheme="majorHAnsi" w:hAnsiTheme="majorHAnsi" w:cstheme="majorHAnsi"/>
                <w:sz w:val="16"/>
                <w:szCs w:val="16"/>
              </w:rPr>
              <w:t>iscal</w:t>
            </w:r>
            <w:r w:rsidR="00510187">
              <w:rPr>
                <w:rFonts w:asciiTheme="majorHAnsi" w:hAnsiTheme="majorHAnsi" w:cstheme="majorHAnsi"/>
                <w:sz w:val="16"/>
                <w:szCs w:val="16"/>
              </w:rPr>
              <w:t>,</w:t>
            </w:r>
            <w:r w:rsidRPr="00CB5F81">
              <w:rPr>
                <w:rFonts w:asciiTheme="majorHAnsi" w:hAnsiTheme="majorHAnsi" w:cstheme="majorHAnsi"/>
                <w:sz w:val="16"/>
                <w:szCs w:val="16"/>
              </w:rPr>
              <w:t xml:space="preserve"> aprobat prin Legea nr. 1163-XIII</w:t>
            </w:r>
            <w:r w:rsidR="00EC1EAF">
              <w:rPr>
                <w:rFonts w:asciiTheme="majorHAnsi" w:hAnsiTheme="majorHAnsi" w:cstheme="majorHAnsi"/>
                <w:sz w:val="16"/>
                <w:szCs w:val="16"/>
              </w:rPr>
              <w:t xml:space="preserve"> </w:t>
            </w:r>
            <w:r w:rsidRPr="00CB5F81">
              <w:rPr>
                <w:rFonts w:asciiTheme="majorHAnsi" w:hAnsiTheme="majorHAnsi" w:cstheme="majorHAnsi"/>
                <w:sz w:val="16"/>
                <w:szCs w:val="16"/>
              </w:rPr>
              <w:t>din</w:t>
            </w:r>
            <w:r w:rsidR="00EC1EAF">
              <w:rPr>
                <w:rFonts w:asciiTheme="majorHAnsi" w:hAnsiTheme="majorHAnsi" w:cstheme="majorHAnsi"/>
                <w:sz w:val="16"/>
                <w:szCs w:val="16"/>
              </w:rPr>
              <w:t xml:space="preserve"> </w:t>
            </w:r>
            <w:r w:rsidRPr="00CB5F81">
              <w:rPr>
                <w:rFonts w:asciiTheme="majorHAnsi" w:hAnsiTheme="majorHAnsi" w:cstheme="majorHAnsi"/>
                <w:sz w:val="16"/>
                <w:szCs w:val="16"/>
              </w:rPr>
              <w:t>24.04.1997</w:t>
            </w:r>
            <w:r w:rsidR="00510187">
              <w:rPr>
                <w:rFonts w:asciiTheme="majorHAnsi" w:hAnsiTheme="majorHAnsi" w:cstheme="majorHAnsi"/>
                <w:sz w:val="16"/>
                <w:szCs w:val="16"/>
              </w:rPr>
              <w:t>;</w:t>
            </w:r>
          </w:p>
          <w:p w:rsidR="0081659A" w:rsidRPr="00CB5F81" w:rsidRDefault="0081659A" w:rsidP="0081659A">
            <w:pPr>
              <w:numPr>
                <w:ilvl w:val="0"/>
                <w:numId w:val="24"/>
              </w:numPr>
              <w:tabs>
                <w:tab w:val="left" w:pos="174"/>
              </w:tabs>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Legea</w:t>
            </w:r>
            <w:r w:rsidR="00EC1EAF">
              <w:rPr>
                <w:rFonts w:asciiTheme="majorHAnsi" w:hAnsiTheme="majorHAnsi" w:cstheme="majorHAnsi"/>
                <w:sz w:val="16"/>
                <w:szCs w:val="16"/>
              </w:rPr>
              <w:t xml:space="preserve"> </w:t>
            </w:r>
            <w:r w:rsidRPr="00CB5F81">
              <w:rPr>
                <w:rFonts w:asciiTheme="majorHAnsi" w:hAnsiTheme="majorHAnsi" w:cstheme="majorHAnsi"/>
                <w:sz w:val="16"/>
                <w:szCs w:val="16"/>
              </w:rPr>
              <w:t>finanțelor publice și responsabilității bugetar-fiscale nr. 181</w:t>
            </w:r>
            <w:r w:rsidR="00EC1EAF">
              <w:rPr>
                <w:rFonts w:asciiTheme="majorHAnsi" w:hAnsiTheme="majorHAnsi" w:cstheme="majorHAnsi"/>
                <w:sz w:val="16"/>
                <w:szCs w:val="16"/>
              </w:rPr>
              <w:t xml:space="preserve"> </w:t>
            </w:r>
            <w:r w:rsidRPr="00CB5F81">
              <w:rPr>
                <w:rFonts w:asciiTheme="majorHAnsi" w:hAnsiTheme="majorHAnsi" w:cstheme="majorHAnsi"/>
                <w:sz w:val="16"/>
                <w:szCs w:val="16"/>
              </w:rPr>
              <w:t>din</w:t>
            </w:r>
            <w:r w:rsidR="00EC1EAF">
              <w:rPr>
                <w:rFonts w:asciiTheme="majorHAnsi" w:hAnsiTheme="majorHAnsi" w:cstheme="majorHAnsi"/>
                <w:sz w:val="16"/>
                <w:szCs w:val="16"/>
              </w:rPr>
              <w:t xml:space="preserve"> </w:t>
            </w:r>
            <w:r w:rsidRPr="00CB5F81">
              <w:rPr>
                <w:rFonts w:asciiTheme="majorHAnsi" w:hAnsiTheme="majorHAnsi" w:cstheme="majorHAnsi"/>
                <w:sz w:val="16"/>
                <w:szCs w:val="16"/>
              </w:rPr>
              <w:t>25.07.2014;</w:t>
            </w:r>
          </w:p>
          <w:p w:rsidR="0081659A" w:rsidRPr="00CB5F81" w:rsidRDefault="0081659A" w:rsidP="0081659A">
            <w:pPr>
              <w:tabs>
                <w:tab w:val="left" w:pos="174"/>
              </w:tabs>
              <w:ind w:left="7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rsidR="0081659A" w:rsidRPr="00CB5F81" w:rsidRDefault="0081659A" w:rsidP="0081659A">
            <w:pPr>
              <w:numPr>
                <w:ilvl w:val="0"/>
                <w:numId w:val="24"/>
              </w:numPr>
              <w:tabs>
                <w:tab w:val="left" w:pos="174"/>
              </w:tabs>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Ordinul Ministerului Finanțelor nr</w:t>
            </w:r>
            <w:r w:rsidR="00510187">
              <w:rPr>
                <w:rFonts w:asciiTheme="majorHAnsi" w:hAnsiTheme="majorHAnsi" w:cstheme="majorHAnsi"/>
                <w:sz w:val="16"/>
                <w:szCs w:val="16"/>
              </w:rPr>
              <w:t>.</w:t>
            </w:r>
            <w:r w:rsidRPr="00CB5F81">
              <w:rPr>
                <w:rFonts w:asciiTheme="majorHAnsi" w:hAnsiTheme="majorHAnsi" w:cstheme="majorHAnsi"/>
                <w:sz w:val="16"/>
                <w:szCs w:val="16"/>
              </w:rPr>
              <w:t xml:space="preserve"> 45 din 15.02.2018 „Cu privire la aprobarea Registrului</w:t>
            </w:r>
            <w:r w:rsidR="00EC1EAF">
              <w:rPr>
                <w:rFonts w:asciiTheme="majorHAnsi" w:hAnsiTheme="majorHAnsi" w:cstheme="majorHAnsi"/>
                <w:sz w:val="16"/>
                <w:szCs w:val="16"/>
              </w:rPr>
              <w:t xml:space="preserve"> </w:t>
            </w:r>
            <w:r w:rsidRPr="00CB5F81">
              <w:rPr>
                <w:rFonts w:asciiTheme="majorHAnsi" w:hAnsiTheme="majorHAnsi" w:cstheme="majorHAnsi"/>
                <w:sz w:val="16"/>
                <w:szCs w:val="16"/>
              </w:rPr>
              <w:t>unic al facilităților fiscale si vamale”;</w:t>
            </w:r>
          </w:p>
        </w:tc>
      </w:tr>
      <w:tr w:rsidR="0081659A" w:rsidRPr="00CB5F81" w:rsidTr="00A61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auto"/>
          </w:tcPr>
          <w:p w:rsidR="0081659A" w:rsidRPr="00CB5F81" w:rsidRDefault="0081659A" w:rsidP="0081659A">
            <w:pPr>
              <w:jc w:val="both"/>
              <w:rPr>
                <w:rFonts w:cstheme="majorHAnsi"/>
                <w:sz w:val="16"/>
                <w:szCs w:val="16"/>
              </w:rPr>
            </w:pPr>
            <w:r w:rsidRPr="00CB5F81">
              <w:rPr>
                <w:rFonts w:cstheme="majorHAnsi"/>
                <w:sz w:val="16"/>
                <w:szCs w:val="16"/>
              </w:rPr>
              <w:t>Sistematizarea costurilor bugetare a</w:t>
            </w:r>
            <w:r w:rsidR="00510187">
              <w:rPr>
                <w:rFonts w:cstheme="majorHAnsi"/>
                <w:sz w:val="16"/>
                <w:szCs w:val="16"/>
              </w:rPr>
              <w:t>le</w:t>
            </w:r>
            <w:r w:rsidRPr="00CB5F81">
              <w:rPr>
                <w:rFonts w:cstheme="majorHAnsi"/>
                <w:sz w:val="16"/>
                <w:szCs w:val="16"/>
              </w:rPr>
              <w:t xml:space="preserve"> facilităților fiscale</w:t>
            </w:r>
          </w:p>
        </w:tc>
        <w:tc>
          <w:tcPr>
            <w:tcW w:w="1215" w:type="dxa"/>
            <w:gridSpan w:val="2"/>
            <w:vMerge w:val="restart"/>
            <w:shd w:val="clear" w:color="auto" w:fill="auto"/>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3B3838" w:themeColor="background2" w:themeShade="40"/>
                <w:sz w:val="16"/>
                <w:szCs w:val="16"/>
              </w:rPr>
            </w:pPr>
          </w:p>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3B3838" w:themeColor="background2" w:themeShade="40"/>
                <w:sz w:val="16"/>
                <w:szCs w:val="16"/>
              </w:rPr>
            </w:pPr>
          </w:p>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3B3838" w:themeColor="background2" w:themeShade="40"/>
                <w:sz w:val="16"/>
                <w:szCs w:val="16"/>
              </w:rPr>
            </w:pPr>
            <w:r w:rsidRPr="00CB5F81">
              <w:rPr>
                <w:rFonts w:asciiTheme="majorHAnsi" w:hAnsiTheme="majorHAnsi" w:cstheme="majorHAnsi"/>
                <w:b/>
                <w:color w:val="3B3838" w:themeColor="background2" w:themeShade="40"/>
                <w:sz w:val="16"/>
                <w:szCs w:val="16"/>
              </w:rPr>
              <w:t>2 291,7 mil.lei</w:t>
            </w:r>
          </w:p>
        </w:tc>
        <w:tc>
          <w:tcPr>
            <w:tcW w:w="1216" w:type="dxa"/>
            <w:vMerge w:val="restart"/>
            <w:shd w:val="clear" w:color="auto" w:fill="auto"/>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3B3838" w:themeColor="background2" w:themeShade="40"/>
                <w:sz w:val="16"/>
                <w:szCs w:val="16"/>
              </w:rPr>
            </w:pPr>
          </w:p>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3B3838" w:themeColor="background2" w:themeShade="40"/>
                <w:sz w:val="16"/>
                <w:szCs w:val="16"/>
              </w:rPr>
            </w:pPr>
          </w:p>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3B3838" w:themeColor="background2" w:themeShade="40"/>
                <w:sz w:val="16"/>
                <w:szCs w:val="16"/>
              </w:rPr>
            </w:pPr>
            <w:r w:rsidRPr="00CB5F81">
              <w:rPr>
                <w:rFonts w:asciiTheme="majorHAnsi" w:hAnsiTheme="majorHAnsi" w:cstheme="majorHAnsi"/>
                <w:b/>
                <w:color w:val="3B3838" w:themeColor="background2" w:themeShade="40"/>
                <w:sz w:val="16"/>
                <w:szCs w:val="16"/>
              </w:rPr>
              <w:t>1759,9 mil.lei</w:t>
            </w:r>
          </w:p>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3B3838" w:themeColor="background2" w:themeShade="40"/>
                <w:sz w:val="16"/>
                <w:szCs w:val="16"/>
              </w:rPr>
            </w:pPr>
            <w:r w:rsidRPr="00CB5F81">
              <w:rPr>
                <w:rFonts w:asciiTheme="majorHAnsi" w:hAnsiTheme="majorHAnsi" w:cstheme="majorHAnsi"/>
                <w:b/>
                <w:color w:val="3B3838" w:themeColor="background2" w:themeShade="40"/>
                <w:sz w:val="16"/>
                <w:szCs w:val="16"/>
              </w:rPr>
              <w:t>77%</w:t>
            </w:r>
          </w:p>
        </w:tc>
        <w:tc>
          <w:tcPr>
            <w:tcW w:w="5405" w:type="dxa"/>
            <w:vMerge/>
            <w:tcBorders>
              <w:right w:val="single" w:sz="4" w:space="0" w:color="auto"/>
            </w:tcBorders>
            <w:shd w:val="clear" w:color="auto" w:fill="auto"/>
          </w:tcPr>
          <w:p w:rsidR="0081659A" w:rsidRPr="00CB5F81" w:rsidRDefault="0081659A" w:rsidP="0081659A">
            <w:pPr>
              <w:numPr>
                <w:ilvl w:val="0"/>
                <w:numId w:val="24"/>
              </w:numPr>
              <w:tabs>
                <w:tab w:val="left" w:pos="174"/>
              </w:tabs>
              <w:ind w:left="72" w:hanging="72"/>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r>
      <w:tr w:rsidR="0081659A" w:rsidRPr="00CB5F81" w:rsidTr="00A614C7">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F2F2F2" w:themeFill="background1" w:themeFillShade="F2"/>
          </w:tcPr>
          <w:p w:rsidR="0081659A" w:rsidRPr="00CB5F81" w:rsidRDefault="0081659A" w:rsidP="0081659A">
            <w:pPr>
              <w:ind w:right="-102"/>
              <w:jc w:val="both"/>
              <w:rPr>
                <w:rFonts w:cstheme="majorHAnsi"/>
                <w:sz w:val="16"/>
                <w:szCs w:val="16"/>
              </w:rPr>
            </w:pPr>
            <w:r w:rsidRPr="00CB5F81">
              <w:rPr>
                <w:rFonts w:cstheme="majorHAnsi"/>
                <w:sz w:val="16"/>
                <w:szCs w:val="16"/>
              </w:rPr>
              <w:t>Procesul de evaluare și raportare a costurilor bugetare a</w:t>
            </w:r>
            <w:r w:rsidR="00510187">
              <w:rPr>
                <w:rFonts w:cstheme="majorHAnsi"/>
                <w:sz w:val="16"/>
                <w:szCs w:val="16"/>
              </w:rPr>
              <w:t>le</w:t>
            </w:r>
            <w:r w:rsidRPr="00CB5F81">
              <w:rPr>
                <w:rFonts w:cstheme="majorHAnsi"/>
                <w:sz w:val="16"/>
                <w:szCs w:val="16"/>
              </w:rPr>
              <w:t xml:space="preserve"> facilităților fiscale, inclusiv aferente:</w:t>
            </w:r>
          </w:p>
        </w:tc>
        <w:tc>
          <w:tcPr>
            <w:tcW w:w="1215" w:type="dxa"/>
            <w:gridSpan w:val="2"/>
            <w:vMerge/>
            <w:shd w:val="clear" w:color="auto" w:fill="F2F2F2" w:themeFill="background1" w:themeFillShade="F2"/>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216" w:type="dxa"/>
            <w:vMerge/>
            <w:shd w:val="clear" w:color="auto" w:fill="F2F2F2" w:themeFill="background1" w:themeFillShade="F2"/>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5405" w:type="dxa"/>
            <w:vMerge/>
            <w:tcBorders>
              <w:right w:val="single" w:sz="4" w:space="0" w:color="auto"/>
            </w:tcBorders>
            <w:shd w:val="clear" w:color="auto" w:fill="F2F2F2" w:themeFill="background1" w:themeFillShade="F2"/>
          </w:tcPr>
          <w:p w:rsidR="0081659A" w:rsidRPr="00CB5F81" w:rsidRDefault="0081659A" w:rsidP="0081659A">
            <w:pPr>
              <w:ind w:left="162"/>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p>
        </w:tc>
      </w:tr>
      <w:tr w:rsidR="0081659A" w:rsidRPr="00CB5F81" w:rsidTr="00A614C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81659A" w:rsidRPr="00CB5F81" w:rsidRDefault="0081659A" w:rsidP="0081659A">
            <w:pPr>
              <w:numPr>
                <w:ilvl w:val="0"/>
                <w:numId w:val="25"/>
              </w:numPr>
              <w:tabs>
                <w:tab w:val="left" w:pos="160"/>
                <w:tab w:val="left" w:pos="336"/>
              </w:tabs>
              <w:ind w:left="156" w:firstLine="0"/>
              <w:contextualSpacing/>
              <w:jc w:val="both"/>
              <w:rPr>
                <w:rFonts w:cstheme="majorHAnsi"/>
                <w:sz w:val="16"/>
                <w:szCs w:val="16"/>
              </w:rPr>
            </w:pPr>
            <w:r w:rsidRPr="00CB5F81">
              <w:rPr>
                <w:rFonts w:cstheme="majorHAnsi"/>
                <w:sz w:val="16"/>
                <w:szCs w:val="16"/>
              </w:rPr>
              <w:t>scutirii de TVA a energiei electrice importate</w:t>
            </w:r>
            <w:r w:rsidR="00EC1EAF">
              <w:rPr>
                <w:rFonts w:cstheme="majorHAnsi"/>
                <w:sz w:val="16"/>
                <w:szCs w:val="16"/>
              </w:rPr>
              <w:t xml:space="preserve"> </w:t>
            </w:r>
            <w:r w:rsidRPr="00CB5F81">
              <w:rPr>
                <w:rFonts w:cstheme="majorHAnsi"/>
                <w:sz w:val="16"/>
                <w:szCs w:val="16"/>
              </w:rPr>
              <w:t>și livrate</w:t>
            </w:r>
            <w:r w:rsidR="00510187">
              <w:rPr>
                <w:rFonts w:cstheme="majorHAnsi"/>
                <w:sz w:val="16"/>
                <w:szCs w:val="16"/>
              </w:rPr>
              <w:t>;</w:t>
            </w:r>
          </w:p>
        </w:tc>
        <w:tc>
          <w:tcPr>
            <w:tcW w:w="1215" w:type="dxa"/>
            <w:gridSpan w:val="2"/>
            <w:shd w:val="clear" w:color="auto" w:fill="FFFFFF" w:themeFill="background1"/>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eastAsiaTheme="minorEastAsia" w:hAnsiTheme="majorHAnsi" w:cstheme="majorHAnsi"/>
                <w:sz w:val="16"/>
                <w:szCs w:val="16"/>
                <w:lang w:eastAsia="ru-RU"/>
              </w:rPr>
              <w:t>329,9 mil. lei</w:t>
            </w:r>
          </w:p>
        </w:tc>
        <w:tc>
          <w:tcPr>
            <w:tcW w:w="1216" w:type="dxa"/>
            <w:shd w:val="clear" w:color="auto" w:fill="FFFFFF" w:themeFill="background1"/>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100%</w:t>
            </w:r>
          </w:p>
        </w:tc>
        <w:tc>
          <w:tcPr>
            <w:tcW w:w="5405" w:type="dxa"/>
            <w:tcBorders>
              <w:right w:val="single" w:sz="4" w:space="0" w:color="auto"/>
            </w:tcBorders>
            <w:shd w:val="clear" w:color="auto" w:fill="FFFFFF" w:themeFill="background1"/>
          </w:tcPr>
          <w:p w:rsidR="0081659A" w:rsidRPr="00CB5F81" w:rsidRDefault="0081659A" w:rsidP="0081659A">
            <w:pPr>
              <w:numPr>
                <w:ilvl w:val="0"/>
                <w:numId w:val="24"/>
              </w:numPr>
              <w:tabs>
                <w:tab w:val="left" w:pos="174"/>
              </w:tabs>
              <w:ind w:left="72" w:hanging="72"/>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 xml:space="preserve">art.103 alin.(1) pct.18) din Codul </w:t>
            </w:r>
            <w:r w:rsidR="00510187">
              <w:rPr>
                <w:rFonts w:asciiTheme="majorHAnsi" w:hAnsiTheme="majorHAnsi" w:cstheme="majorHAnsi"/>
                <w:sz w:val="16"/>
                <w:szCs w:val="16"/>
              </w:rPr>
              <w:t>f</w:t>
            </w:r>
            <w:r w:rsidRPr="00CB5F81">
              <w:rPr>
                <w:rFonts w:asciiTheme="majorHAnsi" w:hAnsiTheme="majorHAnsi" w:cstheme="majorHAnsi"/>
                <w:sz w:val="16"/>
                <w:szCs w:val="16"/>
              </w:rPr>
              <w:t>iscal</w:t>
            </w:r>
            <w:r w:rsidR="00836D76">
              <w:rPr>
                <w:rFonts w:asciiTheme="majorHAnsi" w:hAnsiTheme="majorHAnsi" w:cstheme="majorHAnsi"/>
                <w:sz w:val="16"/>
                <w:szCs w:val="16"/>
              </w:rPr>
              <w:t xml:space="preserve"> </w:t>
            </w:r>
            <w:r w:rsidR="00510187">
              <w:rPr>
                <w:rFonts w:asciiTheme="majorHAnsi" w:hAnsiTheme="majorHAnsi" w:cstheme="majorHAnsi"/>
                <w:sz w:val="16"/>
                <w:szCs w:val="16"/>
              </w:rPr>
              <w:t>;</w:t>
            </w:r>
          </w:p>
        </w:tc>
      </w:tr>
      <w:tr w:rsidR="0081659A" w:rsidRPr="00CB5F81" w:rsidTr="00A614C7">
        <w:trPr>
          <w:trHeight w:val="324"/>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81659A" w:rsidRPr="00CB5F81" w:rsidRDefault="0081659A" w:rsidP="0081659A">
            <w:pPr>
              <w:numPr>
                <w:ilvl w:val="0"/>
                <w:numId w:val="25"/>
              </w:numPr>
              <w:tabs>
                <w:tab w:val="left" w:pos="160"/>
                <w:tab w:val="left" w:pos="336"/>
              </w:tabs>
              <w:ind w:left="156" w:firstLine="0"/>
              <w:contextualSpacing/>
              <w:jc w:val="both"/>
              <w:rPr>
                <w:rFonts w:cstheme="majorHAnsi"/>
                <w:sz w:val="16"/>
                <w:szCs w:val="16"/>
              </w:rPr>
            </w:pPr>
            <w:r w:rsidRPr="00CB5F81">
              <w:rPr>
                <w:rFonts w:cstheme="majorHAnsi"/>
                <w:sz w:val="16"/>
                <w:szCs w:val="16"/>
              </w:rPr>
              <w:t>calculării și achitării TVA la autoturisme și alte autovehicule</w:t>
            </w:r>
            <w:r w:rsidR="00510187">
              <w:rPr>
                <w:rFonts w:cstheme="majorHAnsi"/>
                <w:sz w:val="16"/>
                <w:szCs w:val="16"/>
              </w:rPr>
              <w:t>;</w:t>
            </w:r>
          </w:p>
        </w:tc>
        <w:tc>
          <w:tcPr>
            <w:tcW w:w="1215" w:type="dxa"/>
            <w:gridSpan w:val="2"/>
            <w:shd w:val="clear" w:color="auto" w:fill="FFFFFF" w:themeFill="background1"/>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648,0 mil. lei</w:t>
            </w:r>
          </w:p>
        </w:tc>
        <w:tc>
          <w:tcPr>
            <w:tcW w:w="1216" w:type="dxa"/>
            <w:shd w:val="clear" w:color="auto" w:fill="FFFFFF" w:themeFill="background1"/>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100%</w:t>
            </w:r>
          </w:p>
        </w:tc>
        <w:tc>
          <w:tcPr>
            <w:tcW w:w="5405" w:type="dxa"/>
            <w:tcBorders>
              <w:right w:val="single" w:sz="4" w:space="0" w:color="auto"/>
            </w:tcBorders>
            <w:shd w:val="clear" w:color="auto" w:fill="FFFFFF" w:themeFill="background1"/>
          </w:tcPr>
          <w:p w:rsidR="0081659A" w:rsidRPr="00CB5F81" w:rsidRDefault="0081659A" w:rsidP="0081659A">
            <w:pPr>
              <w:numPr>
                <w:ilvl w:val="0"/>
                <w:numId w:val="24"/>
              </w:numPr>
              <w:tabs>
                <w:tab w:val="left" w:pos="174"/>
              </w:tabs>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art. 103 alin.(1) pct. 24)</w:t>
            </w:r>
            <w:r w:rsidR="00EC1EAF">
              <w:rPr>
                <w:rFonts w:asciiTheme="majorHAnsi" w:hAnsiTheme="majorHAnsi" w:cstheme="majorHAnsi"/>
                <w:sz w:val="16"/>
                <w:szCs w:val="16"/>
              </w:rPr>
              <w:t xml:space="preserve"> </w:t>
            </w:r>
            <w:r w:rsidRPr="00CB5F81">
              <w:rPr>
                <w:rFonts w:asciiTheme="majorHAnsi" w:hAnsiTheme="majorHAnsi" w:cstheme="majorHAnsi"/>
                <w:sz w:val="16"/>
                <w:szCs w:val="16"/>
              </w:rPr>
              <w:t>din Codul fiscal</w:t>
            </w:r>
            <w:r w:rsidR="00510187">
              <w:rPr>
                <w:rFonts w:asciiTheme="majorHAnsi" w:hAnsiTheme="majorHAnsi" w:cstheme="majorHAnsi"/>
                <w:sz w:val="16"/>
                <w:szCs w:val="16"/>
              </w:rPr>
              <w:t>;</w:t>
            </w:r>
          </w:p>
        </w:tc>
      </w:tr>
      <w:tr w:rsidR="0081659A" w:rsidRPr="00CB5F81" w:rsidTr="00A614C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81659A" w:rsidRPr="00CB5F81" w:rsidRDefault="0081659A" w:rsidP="0081659A">
            <w:pPr>
              <w:numPr>
                <w:ilvl w:val="0"/>
                <w:numId w:val="25"/>
              </w:numPr>
              <w:tabs>
                <w:tab w:val="left" w:pos="160"/>
                <w:tab w:val="left" w:pos="336"/>
              </w:tabs>
              <w:ind w:left="156" w:firstLine="0"/>
              <w:contextualSpacing/>
              <w:jc w:val="both"/>
              <w:rPr>
                <w:rFonts w:cstheme="majorHAnsi"/>
                <w:sz w:val="16"/>
                <w:szCs w:val="16"/>
              </w:rPr>
            </w:pPr>
            <w:r w:rsidRPr="00CB5F81">
              <w:rPr>
                <w:rFonts w:cstheme="majorHAnsi"/>
                <w:sz w:val="16"/>
                <w:szCs w:val="16"/>
              </w:rPr>
              <w:t>scutirii de TVA a serviciilor poștale</w:t>
            </w:r>
            <w:r w:rsidR="00510187">
              <w:rPr>
                <w:rFonts w:cstheme="majorHAnsi"/>
                <w:sz w:val="16"/>
                <w:szCs w:val="16"/>
              </w:rPr>
              <w:t>,</w:t>
            </w:r>
          </w:p>
        </w:tc>
        <w:tc>
          <w:tcPr>
            <w:tcW w:w="1215" w:type="dxa"/>
            <w:gridSpan w:val="2"/>
            <w:shd w:val="clear" w:color="auto" w:fill="FFFFFF" w:themeFill="background1"/>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13,6 mil. lei</w:t>
            </w:r>
          </w:p>
        </w:tc>
        <w:tc>
          <w:tcPr>
            <w:tcW w:w="1216" w:type="dxa"/>
            <w:shd w:val="clear" w:color="auto" w:fill="FFFFFF" w:themeFill="background1"/>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100%</w:t>
            </w:r>
          </w:p>
        </w:tc>
        <w:tc>
          <w:tcPr>
            <w:tcW w:w="5405" w:type="dxa"/>
            <w:tcBorders>
              <w:right w:val="single" w:sz="4" w:space="0" w:color="auto"/>
            </w:tcBorders>
            <w:shd w:val="clear" w:color="auto" w:fill="FFFFFF" w:themeFill="background1"/>
          </w:tcPr>
          <w:p w:rsidR="0081659A" w:rsidRPr="00CB5F81" w:rsidRDefault="0081659A" w:rsidP="0081659A">
            <w:pPr>
              <w:numPr>
                <w:ilvl w:val="0"/>
                <w:numId w:val="24"/>
              </w:numPr>
              <w:tabs>
                <w:tab w:val="left" w:pos="174"/>
              </w:tabs>
              <w:ind w:left="72" w:hanging="72"/>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art. 103 alin.(1) pct.13)</w:t>
            </w:r>
            <w:r w:rsidR="00EC1EAF">
              <w:rPr>
                <w:rFonts w:asciiTheme="majorHAnsi" w:hAnsiTheme="majorHAnsi" w:cstheme="majorHAnsi"/>
                <w:sz w:val="16"/>
                <w:szCs w:val="16"/>
              </w:rPr>
              <w:t xml:space="preserve"> </w:t>
            </w:r>
            <w:r w:rsidRPr="00CB5F81">
              <w:rPr>
                <w:rFonts w:asciiTheme="majorHAnsi" w:hAnsiTheme="majorHAnsi" w:cstheme="majorHAnsi"/>
                <w:sz w:val="16"/>
                <w:szCs w:val="16"/>
              </w:rPr>
              <w:t>din Codul fiscal</w:t>
            </w:r>
            <w:r w:rsidR="00510187">
              <w:rPr>
                <w:rFonts w:asciiTheme="majorHAnsi" w:hAnsiTheme="majorHAnsi" w:cstheme="majorHAnsi"/>
                <w:sz w:val="16"/>
                <w:szCs w:val="16"/>
              </w:rPr>
              <w:t>;</w:t>
            </w:r>
          </w:p>
        </w:tc>
      </w:tr>
      <w:tr w:rsidR="0081659A" w:rsidRPr="00CB5F81" w:rsidTr="00A614C7">
        <w:trPr>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81659A" w:rsidRPr="00CB5F81" w:rsidRDefault="0081659A" w:rsidP="0081659A">
            <w:pPr>
              <w:numPr>
                <w:ilvl w:val="0"/>
                <w:numId w:val="25"/>
              </w:numPr>
              <w:tabs>
                <w:tab w:val="left" w:pos="160"/>
                <w:tab w:val="left" w:pos="336"/>
              </w:tabs>
              <w:ind w:left="156" w:firstLine="0"/>
              <w:contextualSpacing/>
              <w:jc w:val="both"/>
              <w:rPr>
                <w:rFonts w:cstheme="majorHAnsi"/>
                <w:sz w:val="16"/>
                <w:szCs w:val="16"/>
              </w:rPr>
            </w:pPr>
            <w:r w:rsidRPr="00CB5F81">
              <w:rPr>
                <w:rFonts w:cstheme="majorHAnsi"/>
                <w:sz w:val="16"/>
                <w:szCs w:val="16"/>
              </w:rPr>
              <w:t>cot</w:t>
            </w:r>
            <w:r w:rsidR="00510187">
              <w:rPr>
                <w:rFonts w:cstheme="majorHAnsi"/>
                <w:sz w:val="16"/>
                <w:szCs w:val="16"/>
              </w:rPr>
              <w:t>ei</w:t>
            </w:r>
            <w:r w:rsidRPr="00CB5F81">
              <w:rPr>
                <w:rFonts w:cstheme="majorHAnsi"/>
                <w:sz w:val="16"/>
                <w:szCs w:val="16"/>
              </w:rPr>
              <w:t xml:space="preserve"> impozitul</w:t>
            </w:r>
            <w:r w:rsidR="00510187">
              <w:rPr>
                <w:rFonts w:cstheme="majorHAnsi"/>
                <w:sz w:val="16"/>
                <w:szCs w:val="16"/>
              </w:rPr>
              <w:t>ui</w:t>
            </w:r>
            <w:r w:rsidRPr="00CB5F81">
              <w:rPr>
                <w:rFonts w:cstheme="majorHAnsi"/>
                <w:sz w:val="16"/>
                <w:szCs w:val="16"/>
              </w:rPr>
              <w:t xml:space="preserve"> pe venit în mărime de 7% pentru gospodăriile țărănești (de fermier)</w:t>
            </w:r>
            <w:r w:rsidR="00510187">
              <w:rPr>
                <w:rFonts w:cstheme="majorHAnsi"/>
                <w:sz w:val="16"/>
                <w:szCs w:val="16"/>
              </w:rPr>
              <w:t>;</w:t>
            </w:r>
          </w:p>
        </w:tc>
        <w:tc>
          <w:tcPr>
            <w:tcW w:w="1215" w:type="dxa"/>
            <w:gridSpan w:val="2"/>
            <w:shd w:val="clear" w:color="auto" w:fill="FFFFFF" w:themeFill="background1"/>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363,8 mil. lei</w:t>
            </w:r>
          </w:p>
        </w:tc>
        <w:tc>
          <w:tcPr>
            <w:tcW w:w="1216" w:type="dxa"/>
            <w:shd w:val="clear" w:color="auto" w:fill="FFFFFF" w:themeFill="background1"/>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100%</w:t>
            </w:r>
          </w:p>
        </w:tc>
        <w:tc>
          <w:tcPr>
            <w:tcW w:w="5405" w:type="dxa"/>
            <w:tcBorders>
              <w:right w:val="single" w:sz="4" w:space="0" w:color="auto"/>
            </w:tcBorders>
            <w:shd w:val="clear" w:color="auto" w:fill="FFFFFF" w:themeFill="background1"/>
          </w:tcPr>
          <w:p w:rsidR="0081659A" w:rsidRPr="00CB5F81" w:rsidRDefault="0081659A" w:rsidP="0081659A">
            <w:pPr>
              <w:numPr>
                <w:ilvl w:val="0"/>
                <w:numId w:val="24"/>
              </w:numPr>
              <w:tabs>
                <w:tab w:val="left" w:pos="174"/>
              </w:tabs>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art.15 lit.</w:t>
            </w:r>
            <w:r w:rsidR="00D04F57">
              <w:rPr>
                <w:rFonts w:asciiTheme="majorHAnsi" w:hAnsiTheme="majorHAnsi" w:cstheme="majorHAnsi"/>
                <w:sz w:val="16"/>
                <w:szCs w:val="16"/>
              </w:rPr>
              <w:t xml:space="preserve"> </w:t>
            </w:r>
            <w:r w:rsidRPr="00CB5F81">
              <w:rPr>
                <w:rFonts w:asciiTheme="majorHAnsi" w:hAnsiTheme="majorHAnsi" w:cstheme="majorHAnsi"/>
                <w:sz w:val="16"/>
                <w:szCs w:val="16"/>
              </w:rPr>
              <w:t>c) din Codul fiscal</w:t>
            </w:r>
            <w:r w:rsidR="00510187">
              <w:rPr>
                <w:rFonts w:asciiTheme="majorHAnsi" w:hAnsiTheme="majorHAnsi" w:cstheme="majorHAnsi"/>
                <w:sz w:val="16"/>
                <w:szCs w:val="16"/>
              </w:rPr>
              <w:t>;</w:t>
            </w:r>
          </w:p>
        </w:tc>
      </w:tr>
      <w:tr w:rsidR="0081659A" w:rsidRPr="00CB5F81" w:rsidTr="00A614C7">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81659A" w:rsidRPr="00CB5F81" w:rsidRDefault="0081659A" w:rsidP="0081659A">
            <w:pPr>
              <w:numPr>
                <w:ilvl w:val="0"/>
                <w:numId w:val="25"/>
              </w:numPr>
              <w:tabs>
                <w:tab w:val="left" w:pos="160"/>
                <w:tab w:val="left" w:pos="336"/>
              </w:tabs>
              <w:ind w:left="156" w:firstLine="0"/>
              <w:contextualSpacing/>
              <w:jc w:val="both"/>
              <w:rPr>
                <w:rFonts w:cstheme="majorHAnsi"/>
                <w:sz w:val="16"/>
                <w:szCs w:val="16"/>
              </w:rPr>
            </w:pPr>
            <w:r w:rsidRPr="00CB5F81">
              <w:rPr>
                <w:rFonts w:cstheme="majorHAnsi"/>
                <w:sz w:val="16"/>
                <w:szCs w:val="16"/>
              </w:rPr>
              <w:t>scutir</w:t>
            </w:r>
            <w:r w:rsidR="00510187">
              <w:rPr>
                <w:rFonts w:cstheme="majorHAnsi"/>
                <w:sz w:val="16"/>
                <w:szCs w:val="16"/>
              </w:rPr>
              <w:t>ii</w:t>
            </w:r>
            <w:r w:rsidRPr="00CB5F81">
              <w:rPr>
                <w:rFonts w:cstheme="majorHAnsi"/>
                <w:sz w:val="16"/>
                <w:szCs w:val="16"/>
              </w:rPr>
              <w:t xml:space="preserve"> instituțiilor de învățământ de impozitul pe venit</w:t>
            </w:r>
            <w:r w:rsidR="00510187">
              <w:rPr>
                <w:rFonts w:cstheme="majorHAnsi"/>
                <w:sz w:val="16"/>
                <w:szCs w:val="16"/>
              </w:rPr>
              <w:t>;</w:t>
            </w:r>
          </w:p>
        </w:tc>
        <w:tc>
          <w:tcPr>
            <w:tcW w:w="1215" w:type="dxa"/>
            <w:gridSpan w:val="2"/>
            <w:shd w:val="clear" w:color="auto" w:fill="FFFFFF" w:themeFill="background1"/>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191,9 mil. lei</w:t>
            </w:r>
          </w:p>
        </w:tc>
        <w:tc>
          <w:tcPr>
            <w:tcW w:w="1216" w:type="dxa"/>
            <w:shd w:val="clear" w:color="auto" w:fill="FFFFFF" w:themeFill="background1"/>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100%</w:t>
            </w:r>
          </w:p>
        </w:tc>
        <w:tc>
          <w:tcPr>
            <w:tcW w:w="5405" w:type="dxa"/>
            <w:tcBorders>
              <w:right w:val="single" w:sz="4" w:space="0" w:color="auto"/>
            </w:tcBorders>
            <w:shd w:val="clear" w:color="auto" w:fill="FFFFFF" w:themeFill="background1"/>
          </w:tcPr>
          <w:p w:rsidR="0081659A" w:rsidRPr="00CB5F81" w:rsidRDefault="0081659A" w:rsidP="0081659A">
            <w:pPr>
              <w:numPr>
                <w:ilvl w:val="0"/>
                <w:numId w:val="24"/>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art.51</w:t>
            </w:r>
            <w:r w:rsidRPr="00CB5F81">
              <w:rPr>
                <w:rFonts w:asciiTheme="majorHAnsi" w:eastAsia="Calibri" w:hAnsiTheme="majorHAnsi" w:cstheme="majorHAnsi"/>
                <w:sz w:val="16"/>
                <w:szCs w:val="16"/>
                <w:vertAlign w:val="superscript"/>
              </w:rPr>
              <w:t>3</w:t>
            </w:r>
            <w:r w:rsidRPr="00CB5F81">
              <w:rPr>
                <w:rFonts w:asciiTheme="majorHAnsi" w:eastAsia="Calibri" w:hAnsiTheme="majorHAnsi" w:cstheme="majorHAnsi"/>
                <w:sz w:val="16"/>
                <w:szCs w:val="16"/>
              </w:rPr>
              <w:t> din Codul fiscal;</w:t>
            </w:r>
          </w:p>
          <w:p w:rsidR="0081659A" w:rsidRPr="00CB5F81" w:rsidRDefault="0081659A" w:rsidP="0081659A">
            <w:pPr>
              <w:numPr>
                <w:ilvl w:val="0"/>
                <w:numId w:val="24"/>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 83 alin. (2) lit. c) din Codul fiscal;</w:t>
            </w:r>
          </w:p>
          <w:p w:rsidR="0081659A" w:rsidRPr="00CB5F81" w:rsidRDefault="0081659A" w:rsidP="0081659A">
            <w:pPr>
              <w:numPr>
                <w:ilvl w:val="0"/>
                <w:numId w:val="24"/>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Ordinul MF nr. 153 din 22 decembrie 2017 privind aprobarea formularului tipizat al Declarației cu privire la impozitul pe venit pentru agenții economici (modificat prin Ordinul MF nr.162 din 26 septembrie 2018);</w:t>
            </w:r>
          </w:p>
          <w:p w:rsidR="0081659A" w:rsidRPr="00CB5F81" w:rsidRDefault="0081659A" w:rsidP="0081659A">
            <w:pPr>
              <w:numPr>
                <w:ilvl w:val="0"/>
                <w:numId w:val="24"/>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Ordinul IFPS nr.1080 din 10 octombrie 2012 (cu modificările și completările ulterioare)</w:t>
            </w:r>
            <w:r w:rsidR="00510187">
              <w:rPr>
                <w:rFonts w:asciiTheme="majorHAnsi" w:eastAsia="Calibri" w:hAnsiTheme="majorHAnsi" w:cstheme="majorHAnsi"/>
                <w:sz w:val="16"/>
                <w:szCs w:val="16"/>
              </w:rPr>
              <w:t>;</w:t>
            </w:r>
          </w:p>
        </w:tc>
      </w:tr>
      <w:tr w:rsidR="0081659A" w:rsidRPr="00CB5F81" w:rsidTr="00A614C7">
        <w:trPr>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81659A" w:rsidRPr="00CB5F81" w:rsidRDefault="0081659A" w:rsidP="0081659A">
            <w:pPr>
              <w:numPr>
                <w:ilvl w:val="0"/>
                <w:numId w:val="25"/>
              </w:numPr>
              <w:tabs>
                <w:tab w:val="left" w:pos="160"/>
                <w:tab w:val="left" w:pos="336"/>
              </w:tabs>
              <w:ind w:left="156" w:firstLine="0"/>
              <w:contextualSpacing/>
              <w:jc w:val="both"/>
              <w:rPr>
                <w:rFonts w:cstheme="majorHAnsi"/>
                <w:sz w:val="16"/>
                <w:szCs w:val="16"/>
              </w:rPr>
            </w:pPr>
            <w:r w:rsidRPr="00CB5F81">
              <w:rPr>
                <w:rFonts w:cstheme="majorHAnsi"/>
                <w:sz w:val="16"/>
                <w:szCs w:val="16"/>
              </w:rPr>
              <w:t>scutiril</w:t>
            </w:r>
            <w:r w:rsidR="00510187">
              <w:rPr>
                <w:rFonts w:cstheme="majorHAnsi"/>
                <w:sz w:val="16"/>
                <w:szCs w:val="16"/>
              </w:rPr>
              <w:t>or</w:t>
            </w:r>
            <w:r w:rsidRPr="00CB5F81">
              <w:rPr>
                <w:rFonts w:cstheme="majorHAnsi"/>
                <w:sz w:val="16"/>
                <w:szCs w:val="16"/>
              </w:rPr>
              <w:t xml:space="preserve"> de impozit acordate asociațiilor de economii și împrumut</w:t>
            </w:r>
            <w:r w:rsidR="00510187">
              <w:rPr>
                <w:rFonts w:cstheme="majorHAnsi"/>
                <w:sz w:val="16"/>
                <w:szCs w:val="16"/>
              </w:rPr>
              <w:t>;</w:t>
            </w:r>
          </w:p>
        </w:tc>
        <w:tc>
          <w:tcPr>
            <w:tcW w:w="1215" w:type="dxa"/>
            <w:gridSpan w:val="2"/>
            <w:shd w:val="clear" w:color="auto" w:fill="FFFFFF" w:themeFill="background1"/>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11,8 mil.lei</w:t>
            </w:r>
          </w:p>
        </w:tc>
        <w:tc>
          <w:tcPr>
            <w:tcW w:w="1216" w:type="dxa"/>
            <w:shd w:val="clear" w:color="auto" w:fill="FFFFFF" w:themeFill="background1"/>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9,1 mil. lei</w:t>
            </w:r>
          </w:p>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77%</w:t>
            </w:r>
          </w:p>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5405" w:type="dxa"/>
            <w:tcBorders>
              <w:right w:val="single" w:sz="4" w:space="0" w:color="auto"/>
            </w:tcBorders>
            <w:shd w:val="clear" w:color="auto" w:fill="FFFFFF" w:themeFill="background1"/>
          </w:tcPr>
          <w:p w:rsidR="0081659A" w:rsidRPr="00CB5F81" w:rsidRDefault="0081659A" w:rsidP="0081659A">
            <w:pPr>
              <w:numPr>
                <w:ilvl w:val="0"/>
                <w:numId w:val="24"/>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art.53</w:t>
            </w:r>
            <w:r w:rsidRPr="00CB5F81">
              <w:rPr>
                <w:rFonts w:asciiTheme="majorHAnsi" w:eastAsia="Calibri" w:hAnsiTheme="majorHAnsi" w:cstheme="majorHAnsi"/>
                <w:sz w:val="16"/>
                <w:szCs w:val="16"/>
                <w:vertAlign w:val="superscript"/>
              </w:rPr>
              <w:t>2</w:t>
            </w:r>
            <w:r w:rsidRPr="00CB5F81">
              <w:rPr>
                <w:rFonts w:asciiTheme="majorHAnsi" w:eastAsia="Calibri" w:hAnsiTheme="majorHAnsi" w:cstheme="majorHAnsi"/>
                <w:sz w:val="16"/>
                <w:szCs w:val="16"/>
              </w:rPr>
              <w:t xml:space="preserve"> din Codul fiscal</w:t>
            </w:r>
            <w:r w:rsidR="00510187">
              <w:rPr>
                <w:rFonts w:asciiTheme="majorHAnsi" w:eastAsia="Calibri" w:hAnsiTheme="majorHAnsi" w:cstheme="majorHAnsi"/>
                <w:sz w:val="16"/>
                <w:szCs w:val="16"/>
              </w:rPr>
              <w:t>;</w:t>
            </w:r>
          </w:p>
        </w:tc>
      </w:tr>
      <w:tr w:rsidR="0081659A" w:rsidRPr="00CB5F81" w:rsidTr="00A614C7">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81659A" w:rsidRPr="00CB5F81" w:rsidRDefault="0081659A" w:rsidP="0081659A">
            <w:pPr>
              <w:numPr>
                <w:ilvl w:val="0"/>
                <w:numId w:val="25"/>
              </w:numPr>
              <w:tabs>
                <w:tab w:val="left" w:pos="160"/>
                <w:tab w:val="left" w:pos="336"/>
              </w:tabs>
              <w:ind w:left="156" w:firstLine="0"/>
              <w:contextualSpacing/>
              <w:jc w:val="both"/>
              <w:rPr>
                <w:rFonts w:cstheme="majorHAnsi"/>
                <w:sz w:val="16"/>
                <w:szCs w:val="16"/>
              </w:rPr>
            </w:pPr>
            <w:r w:rsidRPr="00CB5F81">
              <w:rPr>
                <w:rFonts w:cstheme="majorHAnsi"/>
                <w:sz w:val="16"/>
                <w:szCs w:val="16"/>
              </w:rPr>
              <w:t>scutirilor de plata accizului la alcoolul etilic nedenaturat</w:t>
            </w:r>
            <w:r w:rsidR="00510187">
              <w:rPr>
                <w:rFonts w:cstheme="majorHAnsi"/>
                <w:sz w:val="16"/>
                <w:szCs w:val="16"/>
              </w:rPr>
              <w:t>,</w:t>
            </w:r>
            <w:r w:rsidRPr="00CB5F81">
              <w:rPr>
                <w:rFonts w:cstheme="majorHAnsi"/>
                <w:sz w:val="16"/>
                <w:szCs w:val="16"/>
              </w:rPr>
              <w:t xml:space="preserve"> utilizat în industria de parfumerie și cosmetică</w:t>
            </w:r>
          </w:p>
        </w:tc>
        <w:tc>
          <w:tcPr>
            <w:tcW w:w="1215" w:type="dxa"/>
            <w:gridSpan w:val="2"/>
            <w:shd w:val="clear" w:color="auto" w:fill="FFFFFF" w:themeFill="background1"/>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200,9 mil. lei</w:t>
            </w:r>
          </w:p>
        </w:tc>
        <w:tc>
          <w:tcPr>
            <w:tcW w:w="1216" w:type="dxa"/>
            <w:shd w:val="clear" w:color="auto" w:fill="FFFFFF" w:themeFill="background1"/>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100%</w:t>
            </w:r>
          </w:p>
        </w:tc>
        <w:tc>
          <w:tcPr>
            <w:tcW w:w="5405" w:type="dxa"/>
            <w:tcBorders>
              <w:right w:val="single" w:sz="4" w:space="0" w:color="auto"/>
            </w:tcBorders>
            <w:shd w:val="clear" w:color="auto" w:fill="FFFFFF" w:themeFill="background1"/>
          </w:tcPr>
          <w:p w:rsidR="0081659A" w:rsidRPr="00CB5F81" w:rsidRDefault="0081659A" w:rsidP="0081659A">
            <w:pPr>
              <w:numPr>
                <w:ilvl w:val="0"/>
                <w:numId w:val="24"/>
              </w:numPr>
              <w:tabs>
                <w:tab w:val="left" w:pos="174"/>
              </w:tabs>
              <w:ind w:left="72" w:hanging="72"/>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art.124 alin.(16) din Codul fiscal;</w:t>
            </w:r>
          </w:p>
          <w:p w:rsidR="0081659A" w:rsidRPr="00CB5F81" w:rsidRDefault="0081659A" w:rsidP="0081659A">
            <w:pPr>
              <w:tabs>
                <w:tab w:val="left" w:pos="174"/>
              </w:tabs>
              <w:ind w:left="72"/>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r>
      <w:tr w:rsidR="0081659A" w:rsidRPr="00CB5F81" w:rsidTr="00A614C7">
        <w:trPr>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F2F2F2" w:themeFill="background1" w:themeFillShade="F2"/>
          </w:tcPr>
          <w:p w:rsidR="0081659A" w:rsidRPr="00CB5F81" w:rsidRDefault="0081659A" w:rsidP="0081659A">
            <w:pPr>
              <w:ind w:right="-11"/>
              <w:jc w:val="both"/>
              <w:rPr>
                <w:rFonts w:cstheme="majorHAnsi"/>
                <w:sz w:val="16"/>
                <w:szCs w:val="16"/>
              </w:rPr>
            </w:pPr>
            <w:r w:rsidRPr="00CB5F81">
              <w:rPr>
                <w:rFonts w:cstheme="majorHAnsi"/>
                <w:sz w:val="16"/>
                <w:szCs w:val="16"/>
              </w:rPr>
              <w:t>Regimul special de impozitare a rezidenților parcurilor IT</w:t>
            </w:r>
          </w:p>
        </w:tc>
        <w:tc>
          <w:tcPr>
            <w:tcW w:w="2431" w:type="dxa"/>
            <w:gridSpan w:val="3"/>
            <w:shd w:val="clear" w:color="auto" w:fill="F2F2F2" w:themeFill="background1" w:themeFillShade="F2"/>
          </w:tcPr>
          <w:p w:rsidR="0081659A" w:rsidRPr="00CB5F81" w:rsidRDefault="0081659A" w:rsidP="0081659A">
            <w:pPr>
              <w:ind w:left="-116"/>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noProof/>
                <w:lang w:val="en-US"/>
              </w:rPr>
              <mc:AlternateContent>
                <mc:Choice Requires="wps">
                  <w:drawing>
                    <wp:anchor distT="0" distB="0" distL="114300" distR="114300" simplePos="0" relativeHeight="251684864" behindDoc="0" locked="0" layoutInCell="1" allowOverlap="1" wp14:anchorId="44754844" wp14:editId="62622042">
                      <wp:simplePos x="0" y="0"/>
                      <wp:positionH relativeFrom="column">
                        <wp:posOffset>-81280</wp:posOffset>
                      </wp:positionH>
                      <wp:positionV relativeFrom="paragraph">
                        <wp:posOffset>-17144</wp:posOffset>
                      </wp:positionV>
                      <wp:extent cx="1530928" cy="746760"/>
                      <wp:effectExtent l="0" t="0" r="12700" b="15240"/>
                      <wp:wrapNone/>
                      <wp:docPr id="12" name="Double Bracket 12"/>
                      <wp:cNvGraphicFramePr/>
                      <a:graphic xmlns:a="http://schemas.openxmlformats.org/drawingml/2006/main">
                        <a:graphicData uri="http://schemas.microsoft.com/office/word/2010/wordprocessingShape">
                          <wps:wsp>
                            <wps:cNvSpPr/>
                            <wps:spPr>
                              <a:xfrm>
                                <a:off x="0" y="0"/>
                                <a:ext cx="1530928" cy="746760"/>
                              </a:xfrm>
                              <a:prstGeom prst="bracketPair">
                                <a:avLst>
                                  <a:gd name="adj" fmla="val 19299"/>
                                </a:avLst>
                              </a:prstGeom>
                              <a:noFill/>
                              <a:ln w="190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91C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6" type="#_x0000_t185" style="position:absolute;margin-left:-6.4pt;margin-top:-1.35pt;width:120.55pt;height:5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" adj="4169" strokecolor="#a5a5a5" strokeweight="1.5pt">
                      <v:stroke joinstyle="miter"/>
                    </v:shape>
                  </w:pict>
                </mc:Fallback>
              </mc:AlternateContent>
            </w:r>
            <w:r w:rsidRPr="00CB5F81">
              <w:rPr>
                <w:rFonts w:asciiTheme="majorHAnsi" w:hAnsiTheme="majorHAnsi" w:cstheme="majorHAnsi"/>
                <w:b/>
                <w:sz w:val="16"/>
                <w:szCs w:val="16"/>
              </w:rPr>
              <w:t xml:space="preserve">Notă: </w:t>
            </w:r>
            <w:r w:rsidRPr="00CB5F81">
              <w:rPr>
                <w:rFonts w:asciiTheme="majorHAnsi" w:hAnsiTheme="majorHAnsi" w:cstheme="majorHAnsi"/>
                <w:sz w:val="16"/>
                <w:szCs w:val="16"/>
              </w:rPr>
              <w:t>Observația de audit ține de analiza cauze</w:t>
            </w:r>
            <w:r w:rsidR="00040DE4">
              <w:rPr>
                <w:rFonts w:asciiTheme="majorHAnsi" w:hAnsiTheme="majorHAnsi" w:cstheme="majorHAnsi"/>
                <w:sz w:val="16"/>
                <w:szCs w:val="16"/>
              </w:rPr>
              <w:t>lor</w:t>
            </w:r>
            <w:r w:rsidRPr="00CB5F81">
              <w:rPr>
                <w:rFonts w:asciiTheme="majorHAnsi" w:hAnsiTheme="majorHAnsi" w:cstheme="majorHAnsi"/>
                <w:sz w:val="16"/>
                <w:szCs w:val="16"/>
              </w:rPr>
              <w:t xml:space="preserve"> neconsiderării de către SFS a regimului de impozitare</w:t>
            </w:r>
            <w:r w:rsidR="00040DE4">
              <w:rPr>
                <w:rFonts w:asciiTheme="majorHAnsi" w:hAnsiTheme="majorHAnsi" w:cstheme="majorHAnsi"/>
                <w:sz w:val="16"/>
                <w:szCs w:val="16"/>
              </w:rPr>
              <w:t xml:space="preserve"> </w:t>
            </w:r>
            <w:r w:rsidRPr="00CB5F81">
              <w:rPr>
                <w:rFonts w:asciiTheme="majorHAnsi" w:hAnsiTheme="majorHAnsi" w:cstheme="majorHAnsi"/>
                <w:sz w:val="16"/>
                <w:szCs w:val="16"/>
              </w:rPr>
              <w:t xml:space="preserve"> a rezidenților parcurilor IT ca facilitate fiscală. CC</w:t>
            </w:r>
            <w:r w:rsidR="00040DE4">
              <w:rPr>
                <w:rFonts w:asciiTheme="majorHAnsi" w:hAnsiTheme="majorHAnsi" w:cstheme="majorHAnsi"/>
                <w:sz w:val="16"/>
                <w:szCs w:val="16"/>
              </w:rPr>
              <w:t>,</w:t>
            </w:r>
            <w:r w:rsidRPr="00CB5F81">
              <w:rPr>
                <w:rFonts w:asciiTheme="majorHAnsi" w:hAnsiTheme="majorHAnsi" w:cstheme="majorHAnsi"/>
                <w:sz w:val="16"/>
                <w:szCs w:val="16"/>
              </w:rPr>
              <w:t xml:space="preserve"> la fel</w:t>
            </w:r>
            <w:r w:rsidR="00040DE4">
              <w:rPr>
                <w:rFonts w:asciiTheme="majorHAnsi" w:hAnsiTheme="majorHAnsi" w:cstheme="majorHAnsi"/>
                <w:sz w:val="16"/>
                <w:szCs w:val="16"/>
              </w:rPr>
              <w:t>,</w:t>
            </w:r>
            <w:r w:rsidRPr="00CB5F81">
              <w:rPr>
                <w:rFonts w:asciiTheme="majorHAnsi" w:hAnsiTheme="majorHAnsi" w:cstheme="majorHAnsi"/>
                <w:sz w:val="16"/>
                <w:szCs w:val="16"/>
              </w:rPr>
              <w:t xml:space="preserve"> a atribuit facilitatea la ajutor de stat</w:t>
            </w:r>
          </w:p>
        </w:tc>
        <w:tc>
          <w:tcPr>
            <w:tcW w:w="5405" w:type="dxa"/>
            <w:tcBorders>
              <w:right w:val="single" w:sz="4" w:space="0" w:color="auto"/>
            </w:tcBorders>
            <w:shd w:val="clear" w:color="auto" w:fill="F2F2F2" w:themeFill="background1" w:themeFillShade="F2"/>
          </w:tcPr>
          <w:p w:rsidR="0081659A" w:rsidRPr="00CB5F81" w:rsidRDefault="0081659A" w:rsidP="0081659A">
            <w:pPr>
              <w:numPr>
                <w:ilvl w:val="0"/>
                <w:numId w:val="24"/>
              </w:numPr>
              <w:ind w:left="161"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art.141, art.294</w:t>
            </w:r>
            <w:r w:rsidRPr="00CB5F81">
              <w:rPr>
                <w:rFonts w:asciiTheme="majorHAnsi" w:eastAsia="Calibri" w:hAnsiTheme="majorHAnsi" w:cstheme="majorHAnsi"/>
                <w:sz w:val="16"/>
                <w:szCs w:val="16"/>
                <w:vertAlign w:val="superscript"/>
              </w:rPr>
              <w:t>1</w:t>
            </w:r>
            <w:r w:rsidRPr="00CB5F81">
              <w:rPr>
                <w:rFonts w:asciiTheme="majorHAnsi" w:eastAsia="Calibri" w:hAnsiTheme="majorHAnsi" w:cstheme="majorHAnsi"/>
                <w:sz w:val="16"/>
                <w:szCs w:val="16"/>
              </w:rPr>
              <w:t>, art. 342</w:t>
            </w:r>
            <w:r w:rsidRPr="00CB5F81">
              <w:rPr>
                <w:rFonts w:asciiTheme="majorHAnsi" w:eastAsia="Calibri" w:hAnsiTheme="majorHAnsi" w:cstheme="majorHAnsi"/>
                <w:sz w:val="16"/>
                <w:szCs w:val="16"/>
                <w:vertAlign w:val="superscript"/>
              </w:rPr>
              <w:t>1</w:t>
            </w:r>
            <w:r w:rsidRPr="00CB5F81">
              <w:rPr>
                <w:rFonts w:asciiTheme="majorHAnsi" w:eastAsia="Calibri" w:hAnsiTheme="majorHAnsi" w:cstheme="majorHAnsi"/>
                <w:sz w:val="16"/>
                <w:szCs w:val="16"/>
              </w:rPr>
              <w:t xml:space="preserve"> din Codul fiscal „Norme speciale aplicabile rezidenților parcurilor pentru tehnologia informației și angajaților acestora”;</w:t>
            </w:r>
          </w:p>
          <w:p w:rsidR="0081659A" w:rsidRPr="00CB5F81" w:rsidRDefault="0081659A" w:rsidP="0081659A">
            <w:pPr>
              <w:numPr>
                <w:ilvl w:val="0"/>
                <w:numId w:val="24"/>
              </w:numPr>
              <w:ind w:left="161"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art.370</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din Codul fiscal;</w:t>
            </w:r>
          </w:p>
          <w:p w:rsidR="0081659A" w:rsidRPr="00CB5F81" w:rsidRDefault="0081659A" w:rsidP="0081659A">
            <w:pPr>
              <w:numPr>
                <w:ilvl w:val="0"/>
                <w:numId w:val="24"/>
              </w:numPr>
              <w:ind w:left="161"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 15 alin. (1) lit. a) din Legea nr. 77/2016;</w:t>
            </w:r>
          </w:p>
          <w:p w:rsidR="0081659A" w:rsidRPr="00CB5F81" w:rsidRDefault="0081659A" w:rsidP="0081659A">
            <w:pPr>
              <w:numPr>
                <w:ilvl w:val="0"/>
                <w:numId w:val="24"/>
              </w:numPr>
              <w:ind w:left="161"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Decizia Consiliului Concurenței nr. ASS-17 din 29.03.2018</w:t>
            </w:r>
            <w:r w:rsidR="00FA72D8">
              <w:rPr>
                <w:rFonts w:asciiTheme="majorHAnsi" w:eastAsia="Calibri" w:hAnsiTheme="majorHAnsi" w:cstheme="majorHAnsi"/>
                <w:sz w:val="16"/>
                <w:szCs w:val="16"/>
              </w:rPr>
              <w:t>;</w:t>
            </w:r>
          </w:p>
        </w:tc>
      </w:tr>
      <w:tr w:rsidR="0081659A" w:rsidRPr="00CB5F81" w:rsidTr="00A614C7">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auto"/>
          </w:tcPr>
          <w:p w:rsidR="0081659A" w:rsidRPr="00CB5F81" w:rsidRDefault="0081659A" w:rsidP="0081659A">
            <w:pPr>
              <w:jc w:val="both"/>
              <w:rPr>
                <w:rFonts w:cstheme="majorHAnsi"/>
                <w:sz w:val="16"/>
                <w:szCs w:val="16"/>
              </w:rPr>
            </w:pPr>
            <w:r w:rsidRPr="00CB5F81">
              <w:rPr>
                <w:rFonts w:cstheme="majorHAnsi"/>
                <w:sz w:val="16"/>
                <w:szCs w:val="16"/>
              </w:rPr>
              <w:t>Monitorizarea de către SFS a</w:t>
            </w:r>
            <w:r w:rsidR="00EC1EAF">
              <w:rPr>
                <w:rFonts w:cstheme="majorHAnsi"/>
                <w:sz w:val="16"/>
                <w:szCs w:val="16"/>
              </w:rPr>
              <w:t xml:space="preserve"> </w:t>
            </w:r>
            <w:r w:rsidRPr="00CB5F81">
              <w:rPr>
                <w:rFonts w:cstheme="majorHAnsi"/>
                <w:sz w:val="16"/>
                <w:szCs w:val="16"/>
              </w:rPr>
              <w:t>corectitudinii utilizării facilităților fiscale de către contribuabili</w:t>
            </w:r>
          </w:p>
        </w:tc>
        <w:tc>
          <w:tcPr>
            <w:tcW w:w="2431" w:type="dxa"/>
            <w:gridSpan w:val="3"/>
            <w:shd w:val="clear" w:color="auto" w:fill="auto"/>
          </w:tcPr>
          <w:p w:rsidR="0081659A" w:rsidRPr="00CB5F81" w:rsidRDefault="0081659A" w:rsidP="0081659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Analiza existenței procedurii în cadrul SFS și funcționalitatea acesteia</w:t>
            </w:r>
          </w:p>
        </w:tc>
        <w:tc>
          <w:tcPr>
            <w:tcW w:w="5405" w:type="dxa"/>
            <w:tcBorders>
              <w:right w:val="single" w:sz="4" w:space="0" w:color="auto"/>
            </w:tcBorders>
            <w:shd w:val="clear" w:color="auto" w:fill="auto"/>
          </w:tcPr>
          <w:p w:rsidR="0081659A" w:rsidRPr="00CB5F81" w:rsidRDefault="0081659A" w:rsidP="0081659A">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p>
        </w:tc>
      </w:tr>
      <w:tr w:rsidR="0081659A" w:rsidRPr="00CB5F81" w:rsidTr="00A614C7">
        <w:trPr>
          <w:trHeight w:val="297"/>
        </w:trPr>
        <w:tc>
          <w:tcPr>
            <w:cnfStyle w:val="001000000000" w:firstRow="0" w:lastRow="0" w:firstColumn="1" w:lastColumn="0" w:oddVBand="0" w:evenVBand="0" w:oddHBand="0" w:evenHBand="0" w:firstRowFirstColumn="0" w:firstRowLastColumn="0" w:lastRowFirstColumn="0" w:lastRowLastColumn="0"/>
            <w:tcW w:w="10266" w:type="dxa"/>
            <w:gridSpan w:val="5"/>
            <w:tcBorders>
              <w:left w:val="single" w:sz="4" w:space="0" w:color="auto"/>
              <w:right w:val="single" w:sz="4" w:space="0" w:color="auto"/>
            </w:tcBorders>
            <w:shd w:val="clear" w:color="auto" w:fill="DEEAF6" w:themeFill="accent1" w:themeFillTint="33"/>
            <w:vAlign w:val="center"/>
          </w:tcPr>
          <w:p w:rsidR="0081659A" w:rsidRPr="00CB5F81" w:rsidRDefault="0081659A" w:rsidP="0081659A">
            <w:pPr>
              <w:spacing w:before="80" w:after="80"/>
              <w:jc w:val="both"/>
              <w:rPr>
                <w:rFonts w:cstheme="majorHAnsi"/>
                <w:sz w:val="18"/>
                <w:szCs w:val="18"/>
              </w:rPr>
            </w:pPr>
            <w:r w:rsidRPr="00CB5F81">
              <w:rPr>
                <w:rFonts w:cstheme="majorHAnsi"/>
                <w:sz w:val="18"/>
                <w:szCs w:val="18"/>
              </w:rPr>
              <w:t>(2) Autoritățile statului au reexaminat sistemul existent de</w:t>
            </w:r>
            <w:r w:rsidR="00EC1EAF">
              <w:rPr>
                <w:rFonts w:cstheme="majorHAnsi"/>
                <w:sz w:val="18"/>
                <w:szCs w:val="18"/>
              </w:rPr>
              <w:t xml:space="preserve"> </w:t>
            </w:r>
            <w:r w:rsidRPr="00CB5F81">
              <w:rPr>
                <w:rFonts w:cstheme="majorHAnsi"/>
                <w:sz w:val="18"/>
                <w:szCs w:val="18"/>
              </w:rPr>
              <w:t>facilități, fiind aplicate</w:t>
            </w:r>
            <w:r w:rsidR="00040DE4">
              <w:rPr>
                <w:rFonts w:cstheme="majorHAnsi"/>
                <w:sz w:val="18"/>
                <w:szCs w:val="18"/>
              </w:rPr>
              <w:t xml:space="preserve"> conform</w:t>
            </w:r>
            <w:r w:rsidRPr="00CB5F81">
              <w:rPr>
                <w:rFonts w:cstheme="majorHAnsi"/>
                <w:sz w:val="18"/>
                <w:szCs w:val="18"/>
              </w:rPr>
              <w:t xml:space="preserve"> principiile bun</w:t>
            </w:r>
            <w:r w:rsidR="00040DE4">
              <w:rPr>
                <w:rFonts w:cstheme="majorHAnsi"/>
                <w:sz w:val="18"/>
                <w:szCs w:val="18"/>
              </w:rPr>
              <w:t>ei</w:t>
            </w:r>
            <w:r w:rsidRPr="00CB5F81">
              <w:rPr>
                <w:rFonts w:cstheme="majorHAnsi"/>
                <w:sz w:val="18"/>
                <w:szCs w:val="18"/>
              </w:rPr>
              <w:t xml:space="preserve"> guvern</w:t>
            </w:r>
            <w:r w:rsidR="00040DE4">
              <w:rPr>
                <w:rFonts w:cstheme="majorHAnsi"/>
                <w:sz w:val="18"/>
                <w:szCs w:val="18"/>
              </w:rPr>
              <w:t>ări</w:t>
            </w:r>
            <w:r w:rsidRPr="00CB5F81">
              <w:rPr>
                <w:rFonts w:cstheme="majorHAnsi"/>
                <w:sz w:val="18"/>
                <w:szCs w:val="18"/>
              </w:rPr>
              <w:t>?</w:t>
            </w:r>
          </w:p>
        </w:tc>
      </w:tr>
      <w:tr w:rsidR="0081659A" w:rsidRPr="00CB5F81" w:rsidTr="00A614C7">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shd w:val="clear" w:color="auto" w:fill="F2F2F2" w:themeFill="background1" w:themeFillShade="F2"/>
          </w:tcPr>
          <w:p w:rsidR="0081659A" w:rsidRPr="00CB5F81" w:rsidRDefault="0081659A" w:rsidP="0081659A">
            <w:pPr>
              <w:spacing w:after="120"/>
              <w:jc w:val="both"/>
              <w:rPr>
                <w:rFonts w:cstheme="majorHAnsi"/>
                <w:sz w:val="16"/>
                <w:szCs w:val="16"/>
              </w:rPr>
            </w:pPr>
            <w:r w:rsidRPr="00CB5F81">
              <w:rPr>
                <w:rFonts w:cstheme="majorHAnsi"/>
                <w:sz w:val="16"/>
                <w:szCs w:val="16"/>
              </w:rPr>
              <w:t>Implementarea prerogativei Guvernului privind oportunitatea</w:t>
            </w:r>
            <w:r w:rsidR="00EC1EAF">
              <w:rPr>
                <w:rFonts w:cstheme="majorHAnsi"/>
                <w:sz w:val="16"/>
                <w:szCs w:val="16"/>
              </w:rPr>
              <w:t xml:space="preserve"> </w:t>
            </w:r>
            <w:r w:rsidRPr="00CB5F81">
              <w:rPr>
                <w:rFonts w:cstheme="majorHAnsi"/>
                <w:sz w:val="16"/>
                <w:szCs w:val="16"/>
              </w:rPr>
              <w:t>menținerii acestora sau redirecționării spre alte sectoare</w:t>
            </w:r>
          </w:p>
        </w:tc>
        <w:tc>
          <w:tcPr>
            <w:tcW w:w="2431" w:type="dxa"/>
            <w:gridSpan w:val="3"/>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Analiza cadrului legal</w:t>
            </w:r>
          </w:p>
        </w:tc>
        <w:tc>
          <w:tcPr>
            <w:tcW w:w="5405" w:type="dxa"/>
            <w:tcBorders>
              <w:right w:val="single" w:sz="4" w:space="0" w:color="auto"/>
            </w:tcBorders>
          </w:tcPr>
          <w:p w:rsidR="0081659A" w:rsidRPr="00CB5F81" w:rsidRDefault="0081659A" w:rsidP="0081659A">
            <w:pPr>
              <w:numPr>
                <w:ilvl w:val="0"/>
                <w:numId w:val="24"/>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acțiunea 4.11.2. din Planul de acțiuni al Guvernului pentru anii 2020-2023</w:t>
            </w:r>
            <w:r w:rsidR="00FA72D8">
              <w:rPr>
                <w:rFonts w:asciiTheme="majorHAnsi" w:eastAsia="Calibri" w:hAnsiTheme="majorHAnsi" w:cstheme="majorHAnsi"/>
                <w:sz w:val="16"/>
                <w:szCs w:val="16"/>
              </w:rPr>
              <w:t>;</w:t>
            </w:r>
          </w:p>
        </w:tc>
      </w:tr>
      <w:tr w:rsidR="0081659A" w:rsidRPr="00CB5F81" w:rsidTr="00A614C7">
        <w:trPr>
          <w:trHeight w:val="1264"/>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shd w:val="clear" w:color="auto" w:fill="auto"/>
          </w:tcPr>
          <w:p w:rsidR="0081659A" w:rsidRPr="00CB5F81" w:rsidRDefault="0081659A" w:rsidP="0081659A">
            <w:pPr>
              <w:jc w:val="both"/>
              <w:rPr>
                <w:rFonts w:cstheme="majorHAnsi"/>
                <w:sz w:val="16"/>
                <w:szCs w:val="16"/>
              </w:rPr>
            </w:pPr>
            <w:r w:rsidRPr="00CB5F81">
              <w:rPr>
                <w:rFonts w:cstheme="majorHAnsi"/>
                <w:sz w:val="16"/>
                <w:szCs w:val="16"/>
              </w:rPr>
              <w:t xml:space="preserve">Justificarea din punct de vedere economic a instituirii unor facilități fiscale: </w:t>
            </w:r>
          </w:p>
          <w:p w:rsidR="0081659A" w:rsidRPr="00CB5F81" w:rsidRDefault="0081659A" w:rsidP="0081659A">
            <w:pPr>
              <w:numPr>
                <w:ilvl w:val="0"/>
                <w:numId w:val="25"/>
              </w:numPr>
              <w:tabs>
                <w:tab w:val="left" w:pos="160"/>
                <w:tab w:val="left" w:pos="336"/>
              </w:tabs>
              <w:ind w:left="156" w:firstLine="0"/>
              <w:contextualSpacing/>
              <w:jc w:val="both"/>
              <w:rPr>
                <w:rFonts w:cstheme="majorHAnsi"/>
                <w:sz w:val="16"/>
                <w:szCs w:val="16"/>
              </w:rPr>
            </w:pPr>
            <w:r w:rsidRPr="00CB5F81">
              <w:rPr>
                <w:rFonts w:cstheme="majorHAnsi"/>
                <w:sz w:val="16"/>
                <w:szCs w:val="16"/>
              </w:rPr>
              <w:t>scutirea de</w:t>
            </w:r>
            <w:r w:rsidR="00040DE4">
              <w:rPr>
                <w:rFonts w:cstheme="majorHAnsi"/>
                <w:sz w:val="16"/>
                <w:szCs w:val="16"/>
              </w:rPr>
              <w:t xml:space="preserve"> </w:t>
            </w:r>
            <w:r w:rsidRPr="00CB5F81">
              <w:rPr>
                <w:rFonts w:cstheme="majorHAnsi"/>
                <w:sz w:val="16"/>
                <w:szCs w:val="16"/>
              </w:rPr>
              <w:t>plata TVA, fără drept de deducere, a serviciilor legate de jocurile de noroc</w:t>
            </w:r>
            <w:r w:rsidR="00040DE4">
              <w:rPr>
                <w:rFonts w:cstheme="majorHAnsi"/>
                <w:sz w:val="16"/>
                <w:szCs w:val="16"/>
              </w:rPr>
              <w:t>;</w:t>
            </w:r>
          </w:p>
        </w:tc>
        <w:tc>
          <w:tcPr>
            <w:tcW w:w="2431" w:type="dxa"/>
            <w:gridSpan w:val="3"/>
            <w:shd w:val="clear" w:color="auto" w:fill="auto"/>
          </w:tcPr>
          <w:p w:rsidR="0081659A" w:rsidRPr="00CB5F81" w:rsidRDefault="0081659A" w:rsidP="0081659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Semnificativ prin contextul problematicii</w:t>
            </w:r>
          </w:p>
        </w:tc>
        <w:tc>
          <w:tcPr>
            <w:tcW w:w="5405" w:type="dxa"/>
            <w:tcBorders>
              <w:right w:val="single" w:sz="4" w:space="0" w:color="auto"/>
            </w:tcBorders>
            <w:shd w:val="clear" w:color="auto" w:fill="auto"/>
          </w:tcPr>
          <w:p w:rsidR="0081659A" w:rsidRPr="00CB5F81" w:rsidRDefault="0081659A" w:rsidP="0081659A">
            <w:pPr>
              <w:numPr>
                <w:ilvl w:val="0"/>
                <w:numId w:val="24"/>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 103 alin. (1) pct. 14 din Codul fiscal;</w:t>
            </w:r>
          </w:p>
          <w:p w:rsidR="0081659A" w:rsidRPr="00CB5F81" w:rsidRDefault="0081659A" w:rsidP="00103CA0">
            <w:pPr>
              <w:numPr>
                <w:ilvl w:val="0"/>
                <w:numId w:val="24"/>
              </w:numPr>
              <w:spacing w:after="120"/>
              <w:ind w:left="173" w:hanging="187"/>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w:t>
            </w:r>
            <w:r w:rsidR="00103CA0">
              <w:rPr>
                <w:rFonts w:asciiTheme="majorHAnsi" w:eastAsia="Calibri" w:hAnsiTheme="majorHAnsi" w:cstheme="majorHAnsi"/>
                <w:sz w:val="16"/>
                <w:szCs w:val="16"/>
              </w:rPr>
              <w:t>.135 din DIRECTIVA 2006/112/</w:t>
            </w:r>
            <w:r w:rsidR="00103CA0" w:rsidRPr="00103CA0">
              <w:rPr>
                <w:rFonts w:asciiTheme="majorHAnsi" w:eastAsia="Calibri" w:hAnsiTheme="majorHAnsi" w:cstheme="majorHAnsi"/>
                <w:sz w:val="16"/>
                <w:szCs w:val="16"/>
              </w:rPr>
              <w:t>CE a</w:t>
            </w:r>
            <w:r w:rsidRPr="00103CA0">
              <w:rPr>
                <w:rFonts w:asciiTheme="majorHAnsi" w:eastAsia="Calibri" w:hAnsiTheme="majorHAnsi" w:cstheme="majorHAnsi"/>
                <w:sz w:val="16"/>
                <w:szCs w:val="16"/>
              </w:rPr>
              <w:t xml:space="preserve"> C</w:t>
            </w:r>
            <w:r w:rsidR="00103CA0" w:rsidRPr="00103CA0">
              <w:rPr>
                <w:rFonts w:asciiTheme="majorHAnsi" w:eastAsia="Calibri" w:hAnsiTheme="majorHAnsi" w:cstheme="majorHAnsi"/>
                <w:sz w:val="16"/>
                <w:szCs w:val="16"/>
              </w:rPr>
              <w:t xml:space="preserve">onsiliului </w:t>
            </w:r>
            <w:r w:rsidRPr="00103CA0">
              <w:rPr>
                <w:rFonts w:asciiTheme="majorHAnsi" w:eastAsia="Calibri" w:hAnsiTheme="majorHAnsi" w:cstheme="majorHAnsi"/>
                <w:sz w:val="16"/>
                <w:szCs w:val="16"/>
              </w:rPr>
              <w:t>din 28</w:t>
            </w:r>
            <w:r w:rsidRPr="00CB5F81">
              <w:rPr>
                <w:rFonts w:asciiTheme="majorHAnsi" w:eastAsia="Calibri" w:hAnsiTheme="majorHAnsi" w:cstheme="majorHAnsi"/>
                <w:sz w:val="16"/>
                <w:szCs w:val="16"/>
              </w:rPr>
              <w:t xml:space="preserve"> noiembrie 2006 privind sistemul comun al taxei pe valoarea adăugată;</w:t>
            </w:r>
          </w:p>
        </w:tc>
      </w:tr>
      <w:tr w:rsidR="0081659A" w:rsidRPr="00CB5F81" w:rsidTr="00A61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auto"/>
          </w:tcPr>
          <w:p w:rsidR="0081659A" w:rsidRPr="00CB5F81" w:rsidRDefault="0081659A" w:rsidP="0081659A">
            <w:pPr>
              <w:numPr>
                <w:ilvl w:val="0"/>
                <w:numId w:val="25"/>
              </w:numPr>
              <w:tabs>
                <w:tab w:val="left" w:pos="160"/>
                <w:tab w:val="left" w:pos="336"/>
              </w:tabs>
              <w:ind w:left="156" w:firstLine="0"/>
              <w:contextualSpacing/>
              <w:jc w:val="both"/>
              <w:rPr>
                <w:rFonts w:cstheme="majorHAnsi"/>
                <w:sz w:val="16"/>
                <w:szCs w:val="16"/>
              </w:rPr>
            </w:pPr>
            <w:r w:rsidRPr="00CB5F81">
              <w:rPr>
                <w:rFonts w:cstheme="majorHAnsi"/>
                <w:sz w:val="16"/>
                <w:szCs w:val="16"/>
              </w:rPr>
              <w:lastRenderedPageBreak/>
              <w:t>scutirea de plata accizului la azotul și oxigenul produ</w:t>
            </w:r>
            <w:r w:rsidR="0088356E">
              <w:rPr>
                <w:rFonts w:cstheme="majorHAnsi"/>
                <w:sz w:val="16"/>
                <w:szCs w:val="16"/>
              </w:rPr>
              <w:t>și</w:t>
            </w:r>
            <w:r w:rsidRPr="00CB5F81">
              <w:rPr>
                <w:rFonts w:cstheme="majorHAnsi"/>
                <w:sz w:val="16"/>
                <w:szCs w:val="16"/>
              </w:rPr>
              <w:t xml:space="preserve"> pe teritoriul țării</w:t>
            </w:r>
          </w:p>
        </w:tc>
        <w:tc>
          <w:tcPr>
            <w:tcW w:w="1215" w:type="dxa"/>
            <w:gridSpan w:val="2"/>
            <w:shd w:val="clear" w:color="auto" w:fill="auto"/>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8,9 mil. lei</w:t>
            </w:r>
          </w:p>
        </w:tc>
        <w:tc>
          <w:tcPr>
            <w:tcW w:w="1216" w:type="dxa"/>
            <w:shd w:val="clear" w:color="auto" w:fill="auto"/>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100%</w:t>
            </w:r>
          </w:p>
        </w:tc>
        <w:tc>
          <w:tcPr>
            <w:tcW w:w="5405" w:type="dxa"/>
            <w:tcBorders>
              <w:right w:val="single" w:sz="4" w:space="0" w:color="auto"/>
            </w:tcBorders>
            <w:shd w:val="clear" w:color="auto" w:fill="auto"/>
          </w:tcPr>
          <w:p w:rsidR="0081659A" w:rsidRPr="00CB5F81" w:rsidRDefault="0081659A" w:rsidP="0081659A">
            <w:pPr>
              <w:numPr>
                <w:ilvl w:val="0"/>
                <w:numId w:val="24"/>
              </w:numPr>
              <w:ind w:left="173" w:hanging="187"/>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Legea pentru modificarea și completarea unor acte legislative nr.267 din 23.12.2011, prin care a fost promovată</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politica bugetar-fiscală pentru anul 2012;</w:t>
            </w:r>
          </w:p>
          <w:p w:rsidR="0081659A" w:rsidRPr="00CB5F81" w:rsidRDefault="0081659A" w:rsidP="0081659A">
            <w:pPr>
              <w:numPr>
                <w:ilvl w:val="0"/>
                <w:numId w:val="24"/>
              </w:numPr>
              <w:ind w:left="173" w:hanging="187"/>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art.124 alin.(16) din Codul fiscal</w:t>
            </w:r>
            <w:r w:rsidR="001469A4">
              <w:rPr>
                <w:rFonts w:asciiTheme="majorHAnsi" w:eastAsia="Calibri" w:hAnsiTheme="majorHAnsi" w:cstheme="majorHAnsi"/>
                <w:sz w:val="16"/>
                <w:szCs w:val="16"/>
              </w:rPr>
              <w:t>;</w:t>
            </w:r>
          </w:p>
        </w:tc>
      </w:tr>
      <w:tr w:rsidR="0081659A" w:rsidRPr="00CB5F81" w:rsidTr="005A3A67">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shd w:val="clear" w:color="auto" w:fill="auto"/>
          </w:tcPr>
          <w:p w:rsidR="0081659A" w:rsidRPr="00CB5F81" w:rsidRDefault="0081659A" w:rsidP="0081659A">
            <w:pPr>
              <w:tabs>
                <w:tab w:val="left" w:pos="160"/>
                <w:tab w:val="left" w:pos="336"/>
              </w:tabs>
              <w:jc w:val="both"/>
              <w:rPr>
                <w:rFonts w:cstheme="majorHAnsi"/>
                <w:sz w:val="16"/>
                <w:szCs w:val="16"/>
              </w:rPr>
            </w:pPr>
            <w:r w:rsidRPr="00CB5F81">
              <w:rPr>
                <w:rFonts w:cstheme="majorHAnsi"/>
                <w:sz w:val="16"/>
                <w:szCs w:val="16"/>
              </w:rPr>
              <w:t xml:space="preserve">Armonizarea la bunele practici a modului de scutire </w:t>
            </w:r>
            <w:r w:rsidR="001469A4">
              <w:rPr>
                <w:rFonts w:cstheme="majorHAnsi"/>
                <w:sz w:val="16"/>
                <w:szCs w:val="16"/>
              </w:rPr>
              <w:t>de</w:t>
            </w:r>
            <w:r w:rsidRPr="00CB5F81">
              <w:rPr>
                <w:rFonts w:cstheme="majorHAnsi"/>
                <w:sz w:val="16"/>
                <w:szCs w:val="16"/>
              </w:rPr>
              <w:t xml:space="preserve"> acciz a alcoolul</w:t>
            </w:r>
            <w:r w:rsidR="001469A4">
              <w:rPr>
                <w:rFonts w:cstheme="majorHAnsi"/>
                <w:sz w:val="16"/>
                <w:szCs w:val="16"/>
              </w:rPr>
              <w:t>ui</w:t>
            </w:r>
            <w:r w:rsidRPr="00CB5F81">
              <w:rPr>
                <w:rFonts w:cstheme="majorHAnsi"/>
                <w:sz w:val="16"/>
                <w:szCs w:val="16"/>
              </w:rPr>
              <w:t xml:space="preserve"> etilic nedenaturat</w:t>
            </w:r>
            <w:r w:rsidR="001469A4">
              <w:rPr>
                <w:rFonts w:cstheme="majorHAnsi"/>
                <w:sz w:val="16"/>
                <w:szCs w:val="16"/>
              </w:rPr>
              <w:t>,</w:t>
            </w:r>
            <w:r w:rsidRPr="00CB5F81">
              <w:rPr>
                <w:rFonts w:cstheme="majorHAnsi"/>
                <w:sz w:val="16"/>
                <w:szCs w:val="16"/>
              </w:rPr>
              <w:t xml:space="preserve"> utilizat în scopul producerii medicamentelor</w:t>
            </w:r>
          </w:p>
        </w:tc>
        <w:tc>
          <w:tcPr>
            <w:tcW w:w="1215" w:type="dxa"/>
            <w:gridSpan w:val="2"/>
            <w:shd w:val="clear" w:color="auto" w:fill="auto"/>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28,4 mil. lei</w:t>
            </w:r>
          </w:p>
        </w:tc>
        <w:tc>
          <w:tcPr>
            <w:tcW w:w="1216" w:type="dxa"/>
            <w:shd w:val="clear" w:color="auto" w:fill="auto"/>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Semnificativ prin contextul problematicii</w:t>
            </w:r>
          </w:p>
        </w:tc>
        <w:tc>
          <w:tcPr>
            <w:tcW w:w="5405" w:type="dxa"/>
            <w:tcBorders>
              <w:right w:val="single" w:sz="4" w:space="0" w:color="auto"/>
            </w:tcBorders>
            <w:shd w:val="clear" w:color="auto" w:fill="auto"/>
          </w:tcPr>
          <w:p w:rsidR="0081659A" w:rsidRPr="00CB5F81" w:rsidRDefault="0081659A" w:rsidP="0081659A">
            <w:pPr>
              <w:numPr>
                <w:ilvl w:val="0"/>
                <w:numId w:val="24"/>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HG nr. 102</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din</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 xml:space="preserve">19.02.2020 </w:t>
            </w:r>
            <w:r w:rsidR="001469A4">
              <w:rPr>
                <w:rFonts w:asciiTheme="majorHAnsi" w:eastAsia="Calibri" w:hAnsiTheme="majorHAnsi" w:cstheme="majorHAnsi"/>
                <w:sz w:val="16"/>
                <w:szCs w:val="16"/>
              </w:rPr>
              <w:t xml:space="preserve">cu privire </w:t>
            </w:r>
            <w:r w:rsidRPr="00CB5F81">
              <w:rPr>
                <w:rFonts w:asciiTheme="majorHAnsi" w:eastAsia="Calibri" w:hAnsiTheme="majorHAnsi" w:cstheme="majorHAnsi"/>
                <w:sz w:val="16"/>
                <w:szCs w:val="16"/>
              </w:rPr>
              <w:t>la stabilirea cuantumului anual de alcool etilic nedenaturat</w:t>
            </w:r>
            <w:r w:rsidR="001469A4">
              <w:rPr>
                <w:rFonts w:asciiTheme="majorHAnsi" w:eastAsia="Calibri" w:hAnsiTheme="majorHAnsi" w:cstheme="majorHAnsi"/>
                <w:sz w:val="16"/>
                <w:szCs w:val="16"/>
              </w:rPr>
              <w:t>,</w:t>
            </w:r>
            <w:r w:rsidRPr="00CB5F81">
              <w:rPr>
                <w:rFonts w:asciiTheme="majorHAnsi" w:eastAsia="Calibri" w:hAnsiTheme="majorHAnsi" w:cstheme="majorHAnsi"/>
                <w:sz w:val="16"/>
                <w:szCs w:val="16"/>
              </w:rPr>
              <w:t xml:space="preserve"> destinat producerii farmaceutice şi utilizării în medicină</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pentru anul 2020;</w:t>
            </w:r>
          </w:p>
          <w:p w:rsidR="0081659A" w:rsidRPr="00CB5F81" w:rsidRDefault="0081659A" w:rsidP="0081659A">
            <w:pPr>
              <w:numPr>
                <w:ilvl w:val="0"/>
                <w:numId w:val="24"/>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HG nr.18</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din</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12.02.2021 cu privire la stabilirea cuantumului anual de alcool etilic nedenaturat</w:t>
            </w:r>
            <w:r w:rsidR="001469A4">
              <w:rPr>
                <w:rFonts w:asciiTheme="majorHAnsi" w:eastAsia="Calibri" w:hAnsiTheme="majorHAnsi" w:cstheme="majorHAnsi"/>
                <w:sz w:val="16"/>
                <w:szCs w:val="16"/>
              </w:rPr>
              <w:t>,</w:t>
            </w:r>
            <w:r w:rsidRPr="00CB5F81">
              <w:rPr>
                <w:rFonts w:asciiTheme="majorHAnsi" w:eastAsia="Calibri" w:hAnsiTheme="majorHAnsi" w:cstheme="majorHAnsi"/>
                <w:sz w:val="16"/>
                <w:szCs w:val="16"/>
              </w:rPr>
              <w:t xml:space="preserve"> destinat producerii farmaceutice şi utilizării în medicină pentru anul 2021</w:t>
            </w:r>
            <w:r w:rsidR="001469A4">
              <w:rPr>
                <w:rFonts w:asciiTheme="majorHAnsi" w:eastAsia="Calibri" w:hAnsiTheme="majorHAnsi" w:cstheme="majorHAnsi"/>
                <w:sz w:val="16"/>
                <w:szCs w:val="16"/>
              </w:rPr>
              <w:t>;</w:t>
            </w:r>
            <w:r w:rsidR="00EC1EAF">
              <w:rPr>
                <w:rFonts w:asciiTheme="majorHAnsi" w:eastAsia="Calibri" w:hAnsiTheme="majorHAnsi" w:cstheme="majorHAnsi"/>
                <w:sz w:val="16"/>
                <w:szCs w:val="16"/>
              </w:rPr>
              <w:t xml:space="preserve"> </w:t>
            </w:r>
          </w:p>
          <w:p w:rsidR="0081659A" w:rsidRPr="00CB5F81" w:rsidRDefault="0081659A" w:rsidP="0081659A">
            <w:pPr>
              <w:numPr>
                <w:ilvl w:val="0"/>
                <w:numId w:val="24"/>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HG nr.1472 din 30.12</w:t>
            </w:r>
            <w:r w:rsidR="00836D76">
              <w:rPr>
                <w:rFonts w:asciiTheme="majorHAnsi" w:eastAsia="Calibri" w:hAnsiTheme="majorHAnsi" w:cstheme="majorHAnsi"/>
                <w:sz w:val="16"/>
                <w:szCs w:val="16"/>
              </w:rPr>
              <w:t>.</w:t>
            </w:r>
            <w:r w:rsidR="00836D76" w:rsidRPr="002F158B">
              <w:rPr>
                <w:rFonts w:asciiTheme="majorHAnsi" w:eastAsia="Calibri" w:hAnsiTheme="majorHAnsi" w:cstheme="majorHAnsi"/>
                <w:sz w:val="16"/>
                <w:szCs w:val="16"/>
              </w:rPr>
              <w:t xml:space="preserve">2016 cu privire la aprobarea Planului </w:t>
            </w:r>
            <w:r w:rsidRPr="00CB5F81">
              <w:rPr>
                <w:rFonts w:asciiTheme="majorHAnsi" w:eastAsia="Calibri" w:hAnsiTheme="majorHAnsi" w:cstheme="majorHAnsi"/>
                <w:sz w:val="16"/>
                <w:szCs w:val="16"/>
              </w:rPr>
              <w:t xml:space="preserve"> Național de Acțiuni pentru implementarea Acordului de Asociere Republica Moldova–Uniunea Europeană;</w:t>
            </w:r>
          </w:p>
          <w:p w:rsidR="0081659A" w:rsidRPr="00CB5F81" w:rsidRDefault="0081659A" w:rsidP="0081659A">
            <w:pPr>
              <w:numPr>
                <w:ilvl w:val="0"/>
                <w:numId w:val="24"/>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 xml:space="preserve">Directiva 92/83/CEE </w:t>
            </w:r>
            <w:r w:rsidRPr="00103CA0">
              <w:rPr>
                <w:rFonts w:asciiTheme="majorHAnsi" w:eastAsia="Calibri" w:hAnsiTheme="majorHAnsi" w:cstheme="majorHAnsi"/>
                <w:sz w:val="16"/>
                <w:szCs w:val="16"/>
              </w:rPr>
              <w:t>a Consiliului</w:t>
            </w:r>
            <w:r w:rsidRPr="00CB5F81">
              <w:rPr>
                <w:rFonts w:asciiTheme="majorHAnsi" w:eastAsia="Calibri" w:hAnsiTheme="majorHAnsi" w:cstheme="majorHAnsi"/>
                <w:sz w:val="16"/>
                <w:szCs w:val="16"/>
              </w:rPr>
              <w:t xml:space="preserve"> din 19.10.1992 privind armonizarea structurilor accizelor la alcool și băuturi alcoolice;</w:t>
            </w:r>
          </w:p>
          <w:p w:rsidR="0081659A" w:rsidRPr="00CB5F81" w:rsidRDefault="0081659A" w:rsidP="00E434B9">
            <w:pPr>
              <w:numPr>
                <w:ilvl w:val="0"/>
                <w:numId w:val="24"/>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art.II din Legea nr.1128-XV din 14 iunie 2002</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 xml:space="preserve">pentru modificarea articolului 103 din Titlul III şi a anexei </w:t>
            </w:r>
            <w:r w:rsidR="00E434B9">
              <w:rPr>
                <w:rFonts w:asciiTheme="majorHAnsi" w:eastAsia="Calibri" w:hAnsiTheme="majorHAnsi" w:cstheme="majorHAnsi"/>
                <w:sz w:val="16"/>
                <w:szCs w:val="16"/>
              </w:rPr>
              <w:t>la Titlul IV ale Codului fiscal.</w:t>
            </w:r>
          </w:p>
        </w:tc>
      </w:tr>
      <w:tr w:rsidR="0081659A" w:rsidRPr="00CB5F81" w:rsidTr="005A3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F2F2F2" w:themeFill="background1" w:themeFillShade="F2"/>
          </w:tcPr>
          <w:p w:rsidR="0081659A" w:rsidRPr="00CB5F81" w:rsidRDefault="0081659A" w:rsidP="0081659A">
            <w:pPr>
              <w:spacing w:after="120"/>
              <w:jc w:val="both"/>
              <w:rPr>
                <w:rFonts w:cstheme="majorHAnsi"/>
                <w:sz w:val="16"/>
                <w:szCs w:val="16"/>
              </w:rPr>
            </w:pPr>
            <w:r w:rsidRPr="00CB5F81">
              <w:rPr>
                <w:rFonts w:cstheme="majorHAnsi"/>
                <w:sz w:val="16"/>
                <w:szCs w:val="16"/>
              </w:rPr>
              <w:t>Înlesniri fiscale acordate rezidenților zonelor economice libere</w:t>
            </w:r>
          </w:p>
        </w:tc>
        <w:tc>
          <w:tcPr>
            <w:tcW w:w="1215" w:type="dxa"/>
            <w:gridSpan w:val="2"/>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36,4 mil.lei</w:t>
            </w:r>
          </w:p>
        </w:tc>
        <w:tc>
          <w:tcPr>
            <w:tcW w:w="1216" w:type="dxa"/>
          </w:tcPr>
          <w:p w:rsidR="0081659A" w:rsidRPr="00CB5F81" w:rsidRDefault="0081659A" w:rsidP="008165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Semnificativ prin context</w:t>
            </w:r>
          </w:p>
        </w:tc>
        <w:tc>
          <w:tcPr>
            <w:tcW w:w="5405" w:type="dxa"/>
            <w:tcBorders>
              <w:right w:val="single" w:sz="4" w:space="0" w:color="auto"/>
            </w:tcBorders>
          </w:tcPr>
          <w:p w:rsidR="0081659A" w:rsidRPr="00CB5F81" w:rsidRDefault="0081659A" w:rsidP="0081659A">
            <w:pPr>
              <w:numPr>
                <w:ilvl w:val="0"/>
                <w:numId w:val="24"/>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art.49 și art.51</w:t>
            </w:r>
            <w:r w:rsidRPr="00CB5F81">
              <w:rPr>
                <w:rFonts w:asciiTheme="majorHAnsi" w:eastAsia="Calibri" w:hAnsiTheme="majorHAnsi" w:cstheme="majorHAnsi"/>
                <w:sz w:val="16"/>
                <w:szCs w:val="16"/>
                <w:vertAlign w:val="superscript"/>
              </w:rPr>
              <w:t>2</w:t>
            </w:r>
            <w:r w:rsidRPr="00CB5F81">
              <w:rPr>
                <w:rFonts w:asciiTheme="majorHAnsi" w:eastAsia="Calibri" w:hAnsiTheme="majorHAnsi" w:cstheme="majorHAnsi"/>
                <w:sz w:val="16"/>
                <w:szCs w:val="16"/>
              </w:rPr>
              <w:t xml:space="preserve"> din Codul fiscal statuează reglementări aferente scutiri</w:t>
            </w:r>
            <w:r w:rsidR="001469A4">
              <w:rPr>
                <w:rFonts w:asciiTheme="majorHAnsi" w:eastAsia="Calibri" w:hAnsiTheme="majorHAnsi" w:cstheme="majorHAnsi"/>
                <w:sz w:val="16"/>
                <w:szCs w:val="16"/>
              </w:rPr>
              <w:t>i</w:t>
            </w:r>
            <w:r w:rsidRPr="00CB5F81">
              <w:rPr>
                <w:rFonts w:asciiTheme="majorHAnsi" w:eastAsia="Calibri" w:hAnsiTheme="majorHAnsi" w:cstheme="majorHAnsi"/>
                <w:sz w:val="16"/>
                <w:szCs w:val="16"/>
              </w:rPr>
              <w:t xml:space="preserve"> de  plata impozitului pe venit a agenților economici rezidenți ai zonelor economice libere și a administrațiilor acestora</w:t>
            </w:r>
            <w:r w:rsidR="001469A4">
              <w:rPr>
                <w:rFonts w:asciiTheme="majorHAnsi" w:eastAsia="Calibri" w:hAnsiTheme="majorHAnsi" w:cstheme="majorHAnsi"/>
                <w:sz w:val="16"/>
                <w:szCs w:val="16"/>
              </w:rPr>
              <w:t>;</w:t>
            </w:r>
          </w:p>
        </w:tc>
      </w:tr>
      <w:tr w:rsidR="0081659A" w:rsidRPr="00CB5F81" w:rsidTr="005A3A67">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bottom w:val="single" w:sz="4" w:space="0" w:color="auto"/>
            </w:tcBorders>
            <w:shd w:val="clear" w:color="auto" w:fill="auto"/>
          </w:tcPr>
          <w:p w:rsidR="0081659A" w:rsidRPr="00CB5F81" w:rsidRDefault="0081659A" w:rsidP="0081659A">
            <w:pPr>
              <w:jc w:val="both"/>
              <w:rPr>
                <w:rFonts w:cstheme="majorHAnsi"/>
                <w:sz w:val="16"/>
                <w:szCs w:val="16"/>
              </w:rPr>
            </w:pPr>
            <w:r w:rsidRPr="00CB5F81">
              <w:rPr>
                <w:rFonts w:cstheme="majorHAnsi"/>
                <w:sz w:val="16"/>
                <w:szCs w:val="16"/>
              </w:rPr>
              <w:t>Alinierea facilităților fiscale în formă de ajutor de stat la practicile internaționale</w:t>
            </w:r>
          </w:p>
        </w:tc>
        <w:tc>
          <w:tcPr>
            <w:tcW w:w="1215" w:type="dxa"/>
            <w:gridSpan w:val="2"/>
            <w:tcBorders>
              <w:bottom w:val="single" w:sz="4" w:space="0" w:color="auto"/>
            </w:tcBorders>
            <w:shd w:val="clear" w:color="auto" w:fill="auto"/>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338,2 mil. lei.</w:t>
            </w:r>
          </w:p>
        </w:tc>
        <w:tc>
          <w:tcPr>
            <w:tcW w:w="1216" w:type="dxa"/>
            <w:tcBorders>
              <w:bottom w:val="single" w:sz="4" w:space="0" w:color="auto"/>
            </w:tcBorders>
            <w:shd w:val="clear" w:color="auto" w:fill="auto"/>
          </w:tcPr>
          <w:p w:rsidR="0081659A" w:rsidRPr="00CB5F81" w:rsidRDefault="0081659A" w:rsidP="008165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B5F81">
              <w:rPr>
                <w:rFonts w:asciiTheme="majorHAnsi" w:hAnsiTheme="majorHAnsi" w:cstheme="majorHAnsi"/>
                <w:sz w:val="16"/>
                <w:szCs w:val="16"/>
              </w:rPr>
              <w:t>100%</w:t>
            </w:r>
          </w:p>
        </w:tc>
        <w:tc>
          <w:tcPr>
            <w:tcW w:w="5405" w:type="dxa"/>
            <w:tcBorders>
              <w:bottom w:val="single" w:sz="4" w:space="0" w:color="auto"/>
              <w:right w:val="single" w:sz="4" w:space="0" w:color="auto"/>
            </w:tcBorders>
            <w:shd w:val="clear" w:color="auto" w:fill="auto"/>
          </w:tcPr>
          <w:p w:rsidR="0081659A" w:rsidRPr="00CB5F81" w:rsidRDefault="0081659A" w:rsidP="0081659A">
            <w:pPr>
              <w:numPr>
                <w:ilvl w:val="0"/>
                <w:numId w:val="24"/>
              </w:numPr>
              <w:ind w:left="161"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Legea nr. 139</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din</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15.06.2012 cu privire la ajutorul de stat (cu modificările și completările ulterioare);</w:t>
            </w:r>
          </w:p>
          <w:p w:rsidR="0081659A" w:rsidRPr="00CB5F81" w:rsidRDefault="0081659A" w:rsidP="0081659A">
            <w:pPr>
              <w:numPr>
                <w:ilvl w:val="0"/>
                <w:numId w:val="24"/>
              </w:numPr>
              <w:ind w:left="161"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CB5F81">
              <w:rPr>
                <w:rFonts w:asciiTheme="majorHAnsi" w:eastAsia="Calibri" w:hAnsiTheme="majorHAnsi" w:cstheme="majorHAnsi"/>
                <w:sz w:val="16"/>
                <w:szCs w:val="16"/>
              </w:rPr>
              <w:t>art. 340 și art. 341 din</w:t>
            </w:r>
            <w:r w:rsidR="00EC1EAF">
              <w:rPr>
                <w:rFonts w:asciiTheme="majorHAnsi" w:eastAsia="Calibri" w:hAnsiTheme="majorHAnsi" w:cstheme="majorHAnsi"/>
                <w:sz w:val="16"/>
                <w:szCs w:val="16"/>
              </w:rPr>
              <w:t xml:space="preserve"> </w:t>
            </w:r>
            <w:r w:rsidRPr="00CB5F81">
              <w:rPr>
                <w:rFonts w:asciiTheme="majorHAnsi" w:eastAsia="Calibri" w:hAnsiTheme="majorHAnsi" w:cstheme="majorHAnsi"/>
                <w:sz w:val="16"/>
                <w:szCs w:val="16"/>
              </w:rPr>
              <w:t xml:space="preserve">Acordul de Asociere încheiat între Republica Moldova </w:t>
            </w:r>
            <w:r w:rsidR="00072610">
              <w:rPr>
                <w:rFonts w:asciiTheme="majorHAnsi" w:eastAsia="Calibri" w:hAnsiTheme="majorHAnsi" w:cstheme="majorHAnsi"/>
                <w:sz w:val="16"/>
                <w:szCs w:val="16"/>
              </w:rPr>
              <w:t xml:space="preserve">și </w:t>
            </w:r>
            <w:r w:rsidRPr="00CB5F81">
              <w:rPr>
                <w:rFonts w:asciiTheme="majorHAnsi" w:eastAsia="Calibri" w:hAnsiTheme="majorHAnsi" w:cstheme="majorHAnsi"/>
                <w:sz w:val="16"/>
                <w:szCs w:val="16"/>
              </w:rPr>
              <w:t xml:space="preserve"> Uniunea Europeană</w:t>
            </w:r>
            <w:r w:rsidR="00072610">
              <w:rPr>
                <w:rFonts w:asciiTheme="majorHAnsi" w:eastAsia="Calibri" w:hAnsiTheme="majorHAnsi" w:cstheme="majorHAnsi"/>
                <w:sz w:val="16"/>
                <w:szCs w:val="16"/>
              </w:rPr>
              <w:t>;</w:t>
            </w:r>
          </w:p>
        </w:tc>
      </w:tr>
    </w:tbl>
    <w:p w:rsidR="0081659A" w:rsidRPr="00CB5F81" w:rsidRDefault="0081659A" w:rsidP="0081659A">
      <w:pPr>
        <w:spacing w:after="0" w:line="276" w:lineRule="auto"/>
        <w:jc w:val="right"/>
        <w:rPr>
          <w:rFonts w:asciiTheme="majorHAnsi" w:hAnsiTheme="majorHAnsi" w:cstheme="majorHAnsi"/>
          <w:i/>
          <w:sz w:val="24"/>
          <w:szCs w:val="24"/>
        </w:rPr>
      </w:pPr>
    </w:p>
    <w:p w:rsidR="0081659A" w:rsidRPr="00CB5F81" w:rsidRDefault="0081659A" w:rsidP="0081659A"/>
    <w:p w:rsidR="002D760E" w:rsidRPr="00CB5F81" w:rsidRDefault="002D760E" w:rsidP="008624CA">
      <w:pPr>
        <w:pStyle w:val="NormalWeb"/>
        <w:spacing w:after="120"/>
        <w:ind w:firstLine="0"/>
        <w:rPr>
          <w:rFonts w:asciiTheme="majorHAnsi" w:eastAsia="Times New Roman" w:hAnsiTheme="majorHAnsi" w:cstheme="majorHAnsi"/>
          <w:b/>
          <w:bCs/>
          <w:lang w:val="ro-MD"/>
        </w:rPr>
        <w:sectPr w:rsidR="002D760E" w:rsidRPr="00CB5F81" w:rsidSect="00CB5F81">
          <w:pgSz w:w="12240" w:h="15840"/>
          <w:pgMar w:top="1440" w:right="1440" w:bottom="1440" w:left="1440" w:header="720" w:footer="720" w:gutter="0"/>
          <w:cols w:space="720"/>
          <w:docGrid w:linePitch="360"/>
        </w:sectPr>
      </w:pPr>
    </w:p>
    <w:tbl>
      <w:tblPr>
        <w:tblW w:w="10310" w:type="dxa"/>
        <w:tblInd w:w="-521" w:type="dxa"/>
        <w:tblLook w:val="04A0" w:firstRow="1" w:lastRow="0" w:firstColumn="1" w:lastColumn="0" w:noHBand="0" w:noVBand="1"/>
      </w:tblPr>
      <w:tblGrid>
        <w:gridCol w:w="379"/>
        <w:gridCol w:w="3491"/>
        <w:gridCol w:w="1151"/>
        <w:gridCol w:w="1238"/>
        <w:gridCol w:w="1336"/>
        <w:gridCol w:w="1336"/>
        <w:gridCol w:w="1379"/>
      </w:tblGrid>
      <w:tr w:rsidR="003F0DA2" w:rsidRPr="00CB5F81" w:rsidTr="007D6CDF">
        <w:trPr>
          <w:trHeight w:val="68"/>
        </w:trPr>
        <w:tc>
          <w:tcPr>
            <w:tcW w:w="10310" w:type="dxa"/>
            <w:gridSpan w:val="7"/>
            <w:tcBorders>
              <w:top w:val="nil"/>
              <w:left w:val="nil"/>
              <w:bottom w:val="nil"/>
              <w:right w:val="nil"/>
            </w:tcBorders>
            <w:shd w:val="clear" w:color="auto" w:fill="auto"/>
            <w:vAlign w:val="center"/>
          </w:tcPr>
          <w:p w:rsidR="003F0DA2" w:rsidRPr="00CB5F81" w:rsidRDefault="003F0DA2" w:rsidP="003F0DA2">
            <w:pPr>
              <w:spacing w:after="0" w:line="240" w:lineRule="auto"/>
              <w:jc w:val="right"/>
              <w:rPr>
                <w:rFonts w:ascii="Times New Roman" w:eastAsia="Times New Roman" w:hAnsi="Times New Roman" w:cs="Times New Roman"/>
                <w:bCs/>
                <w:i/>
                <w:color w:val="000000"/>
                <w:sz w:val="24"/>
                <w:szCs w:val="24"/>
              </w:rPr>
            </w:pPr>
            <w:r w:rsidRPr="00CB5F81">
              <w:rPr>
                <w:rFonts w:ascii="Times New Roman" w:eastAsia="Times New Roman" w:hAnsi="Times New Roman" w:cs="Times New Roman"/>
                <w:bCs/>
                <w:i/>
                <w:color w:val="000000"/>
                <w:sz w:val="24"/>
                <w:szCs w:val="24"/>
              </w:rPr>
              <w:lastRenderedPageBreak/>
              <w:t>A</w:t>
            </w:r>
            <w:r w:rsidR="00D06AEB" w:rsidRPr="00CB5F81">
              <w:rPr>
                <w:rFonts w:ascii="Times New Roman" w:eastAsia="Times New Roman" w:hAnsi="Times New Roman" w:cs="Times New Roman"/>
                <w:bCs/>
                <w:i/>
                <w:color w:val="000000"/>
                <w:sz w:val="24"/>
                <w:szCs w:val="24"/>
              </w:rPr>
              <w:t>nexa nr. 3</w:t>
            </w:r>
          </w:p>
        </w:tc>
      </w:tr>
      <w:tr w:rsidR="006B5CF5" w:rsidRPr="00CB5F81" w:rsidTr="007D6CDF">
        <w:trPr>
          <w:trHeight w:val="780"/>
        </w:trPr>
        <w:tc>
          <w:tcPr>
            <w:tcW w:w="10310" w:type="dxa"/>
            <w:gridSpan w:val="7"/>
            <w:tcBorders>
              <w:top w:val="nil"/>
              <w:left w:val="nil"/>
              <w:bottom w:val="nil"/>
              <w:right w:val="nil"/>
            </w:tcBorders>
            <w:shd w:val="clear" w:color="auto" w:fill="auto"/>
            <w:vAlign w:val="center"/>
            <w:hideMark/>
          </w:tcPr>
          <w:p w:rsidR="006B5CF5" w:rsidRPr="00CB5F81" w:rsidRDefault="006B5CF5"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20"/>
                <w:szCs w:val="20"/>
              </w:rPr>
              <w:t>Extras din Registru</w:t>
            </w:r>
            <w:r w:rsidR="00072610">
              <w:rPr>
                <w:rFonts w:ascii="Times New Roman" w:eastAsia="Times New Roman" w:hAnsi="Times New Roman" w:cs="Times New Roman"/>
                <w:b/>
                <w:bCs/>
                <w:color w:val="000000"/>
                <w:sz w:val="20"/>
                <w:szCs w:val="20"/>
              </w:rPr>
              <w:t>l</w:t>
            </w:r>
            <w:r w:rsidRPr="00CB5F81">
              <w:rPr>
                <w:rFonts w:ascii="Times New Roman" w:eastAsia="Times New Roman" w:hAnsi="Times New Roman" w:cs="Times New Roman"/>
                <w:b/>
                <w:bCs/>
                <w:color w:val="000000"/>
                <w:sz w:val="20"/>
                <w:szCs w:val="20"/>
              </w:rPr>
              <w:t xml:space="preserve"> unic al facilităților fiscale aferent anului 2020 </w:t>
            </w:r>
            <w:r w:rsidRPr="00CB5F81">
              <w:rPr>
                <w:rFonts w:ascii="Times New Roman" w:eastAsia="Times New Roman" w:hAnsi="Times New Roman" w:cs="Times New Roman"/>
                <w:b/>
                <w:bCs/>
                <w:color w:val="000000"/>
                <w:sz w:val="20"/>
                <w:szCs w:val="20"/>
              </w:rPr>
              <w:br/>
            </w:r>
            <w:r w:rsidRPr="00CB5F81">
              <w:rPr>
                <w:rFonts w:ascii="Times New Roman" w:eastAsia="Times New Roman" w:hAnsi="Times New Roman" w:cs="Times New Roman"/>
                <w:color w:val="000000"/>
                <w:sz w:val="16"/>
                <w:szCs w:val="16"/>
              </w:rPr>
              <w:t>(variantă inițială prezentată MF și echipei de audit și varianta actualizată prezentată doar echipei de audit)</w:t>
            </w:r>
          </w:p>
        </w:tc>
      </w:tr>
      <w:tr w:rsidR="007D6CDF" w:rsidRPr="00CB5F81" w:rsidTr="007D6CDF">
        <w:trPr>
          <w:trHeight w:val="660"/>
        </w:trPr>
        <w:tc>
          <w:tcPr>
            <w:tcW w:w="387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4"/>
                <w:szCs w:val="14"/>
              </w:rPr>
            </w:pPr>
            <w:r w:rsidRPr="00CB5F81">
              <w:rPr>
                <w:rFonts w:ascii="Times New Roman" w:eastAsia="Times New Roman" w:hAnsi="Times New Roman" w:cs="Times New Roman"/>
                <w:b/>
                <w:bCs/>
                <w:color w:val="000000"/>
                <w:sz w:val="14"/>
                <w:szCs w:val="14"/>
              </w:rPr>
              <w:t>Descrierea facilității</w:t>
            </w:r>
          </w:p>
        </w:tc>
        <w:tc>
          <w:tcPr>
            <w:tcW w:w="1151" w:type="dxa"/>
            <w:tcBorders>
              <w:top w:val="single" w:sz="8" w:space="0" w:color="auto"/>
              <w:left w:val="nil"/>
              <w:bottom w:val="single" w:sz="8" w:space="0" w:color="auto"/>
              <w:right w:val="single" w:sz="4" w:space="0" w:color="auto"/>
            </w:tcBorders>
            <w:shd w:val="clear" w:color="auto" w:fill="auto"/>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4"/>
                <w:szCs w:val="14"/>
              </w:rPr>
            </w:pPr>
            <w:r w:rsidRPr="00CB5F81">
              <w:rPr>
                <w:rFonts w:ascii="Times New Roman" w:eastAsia="Times New Roman" w:hAnsi="Times New Roman" w:cs="Times New Roman"/>
                <w:b/>
                <w:bCs/>
                <w:color w:val="000000"/>
                <w:sz w:val="14"/>
                <w:szCs w:val="14"/>
              </w:rPr>
              <w:t>Codul facilității</w:t>
            </w:r>
          </w:p>
        </w:tc>
        <w:tc>
          <w:tcPr>
            <w:tcW w:w="1238" w:type="dxa"/>
            <w:tcBorders>
              <w:top w:val="single" w:sz="8" w:space="0" w:color="auto"/>
              <w:left w:val="nil"/>
              <w:bottom w:val="single" w:sz="8" w:space="0" w:color="auto"/>
              <w:right w:val="single" w:sz="4" w:space="0" w:color="auto"/>
            </w:tcBorders>
            <w:shd w:val="clear" w:color="auto" w:fill="auto"/>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4"/>
                <w:szCs w:val="14"/>
              </w:rPr>
            </w:pPr>
            <w:r w:rsidRPr="00CB5F81">
              <w:rPr>
                <w:rFonts w:ascii="Times New Roman" w:eastAsia="Times New Roman" w:hAnsi="Times New Roman" w:cs="Times New Roman"/>
                <w:b/>
                <w:bCs/>
                <w:color w:val="000000"/>
                <w:sz w:val="14"/>
                <w:szCs w:val="14"/>
              </w:rPr>
              <w:t>Temei</w:t>
            </w:r>
            <w:r w:rsidR="00072610">
              <w:rPr>
                <w:rFonts w:ascii="Times New Roman" w:eastAsia="Times New Roman" w:hAnsi="Times New Roman" w:cs="Times New Roman"/>
                <w:b/>
                <w:bCs/>
                <w:color w:val="000000"/>
                <w:sz w:val="14"/>
                <w:szCs w:val="14"/>
              </w:rPr>
              <w:t>ul</w:t>
            </w:r>
            <w:r w:rsidRPr="00CB5F81">
              <w:rPr>
                <w:rFonts w:ascii="Times New Roman" w:eastAsia="Times New Roman" w:hAnsi="Times New Roman" w:cs="Times New Roman"/>
                <w:b/>
                <w:bCs/>
                <w:color w:val="000000"/>
                <w:sz w:val="14"/>
                <w:szCs w:val="14"/>
              </w:rPr>
              <w:t xml:space="preserve"> legal de acordare a facilității</w:t>
            </w:r>
          </w:p>
        </w:tc>
        <w:tc>
          <w:tcPr>
            <w:tcW w:w="1336" w:type="dxa"/>
            <w:tcBorders>
              <w:top w:val="single" w:sz="8" w:space="0" w:color="auto"/>
              <w:left w:val="nil"/>
              <w:bottom w:val="single" w:sz="8" w:space="0" w:color="auto"/>
              <w:right w:val="single" w:sz="4" w:space="0" w:color="auto"/>
            </w:tcBorders>
            <w:shd w:val="clear" w:color="auto" w:fill="auto"/>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4"/>
                <w:szCs w:val="14"/>
              </w:rPr>
            </w:pPr>
            <w:r w:rsidRPr="00CB5F81">
              <w:rPr>
                <w:rFonts w:ascii="Times New Roman" w:eastAsia="Times New Roman" w:hAnsi="Times New Roman" w:cs="Times New Roman"/>
                <w:b/>
                <w:bCs/>
                <w:color w:val="000000"/>
                <w:sz w:val="14"/>
                <w:szCs w:val="14"/>
              </w:rPr>
              <w:t>Suma facilităților fiscale acordate inițial, lei</w:t>
            </w:r>
          </w:p>
        </w:tc>
        <w:tc>
          <w:tcPr>
            <w:tcW w:w="1336" w:type="dxa"/>
            <w:tcBorders>
              <w:top w:val="single" w:sz="8" w:space="0" w:color="auto"/>
              <w:left w:val="nil"/>
              <w:bottom w:val="single" w:sz="8" w:space="0" w:color="auto"/>
              <w:right w:val="nil"/>
            </w:tcBorders>
            <w:shd w:val="clear" w:color="auto" w:fill="auto"/>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4"/>
                <w:szCs w:val="14"/>
              </w:rPr>
            </w:pPr>
            <w:r w:rsidRPr="00CB5F81">
              <w:rPr>
                <w:rFonts w:ascii="Times New Roman" w:eastAsia="Times New Roman" w:hAnsi="Times New Roman" w:cs="Times New Roman"/>
                <w:b/>
                <w:bCs/>
                <w:color w:val="000000"/>
                <w:sz w:val="14"/>
                <w:szCs w:val="14"/>
              </w:rPr>
              <w:t>Suma facilităților fiscale actualizată, lei</w:t>
            </w:r>
          </w:p>
        </w:tc>
        <w:tc>
          <w:tcPr>
            <w:tcW w:w="1379" w:type="dxa"/>
            <w:tcBorders>
              <w:top w:val="single" w:sz="8" w:space="0" w:color="auto"/>
              <w:left w:val="single" w:sz="4" w:space="0" w:color="auto"/>
              <w:bottom w:val="single" w:sz="8" w:space="0" w:color="auto"/>
              <w:right w:val="single" w:sz="8" w:space="0" w:color="auto"/>
            </w:tcBorders>
            <w:shd w:val="clear" w:color="auto" w:fill="auto"/>
            <w:hideMark/>
          </w:tcPr>
          <w:p w:rsidR="002D760E" w:rsidRPr="00CB5F81" w:rsidRDefault="002D760E" w:rsidP="007B6C37">
            <w:pPr>
              <w:spacing w:after="0" w:line="240" w:lineRule="auto"/>
              <w:jc w:val="center"/>
              <w:rPr>
                <w:rFonts w:ascii="Calibri" w:eastAsia="Times New Roman" w:hAnsi="Calibri" w:cs="Calibri"/>
                <w:b/>
                <w:bCs/>
                <w:color w:val="000000"/>
                <w:sz w:val="14"/>
                <w:szCs w:val="14"/>
              </w:rPr>
            </w:pPr>
            <w:r w:rsidRPr="00CB5F81">
              <w:rPr>
                <w:rFonts w:ascii="Calibri" w:eastAsia="Times New Roman" w:hAnsi="Calibri" w:cs="Calibri"/>
                <w:b/>
                <w:bCs/>
                <w:color w:val="000000"/>
                <w:sz w:val="14"/>
                <w:szCs w:val="14"/>
              </w:rPr>
              <w:t>Valoarea erorii</w:t>
            </w:r>
            <w:r w:rsidR="00E37C2E">
              <w:rPr>
                <w:rFonts w:ascii="Calibri" w:eastAsia="Times New Roman" w:hAnsi="Calibri" w:cs="Calibri"/>
                <w:b/>
                <w:bCs/>
                <w:color w:val="000000"/>
                <w:sz w:val="14"/>
                <w:szCs w:val="14"/>
              </w:rPr>
              <w:t>/divergenț</w:t>
            </w:r>
            <w:r w:rsidR="00072610">
              <w:rPr>
                <w:rFonts w:ascii="Calibri" w:eastAsia="Times New Roman" w:hAnsi="Calibri" w:cs="Calibri"/>
                <w:b/>
                <w:bCs/>
                <w:color w:val="000000"/>
                <w:sz w:val="14"/>
                <w:szCs w:val="14"/>
              </w:rPr>
              <w:t>e</w:t>
            </w:r>
            <w:r w:rsidR="00E37C2E">
              <w:rPr>
                <w:rFonts w:ascii="Calibri" w:eastAsia="Times New Roman" w:hAnsi="Calibri" w:cs="Calibri"/>
                <w:b/>
                <w:bCs/>
                <w:color w:val="000000"/>
                <w:sz w:val="14"/>
                <w:szCs w:val="14"/>
              </w:rPr>
              <w:t xml:space="preserve">lor </w:t>
            </w:r>
            <w:r w:rsidRPr="00CB5F81">
              <w:rPr>
                <w:rFonts w:ascii="Calibri" w:eastAsia="Times New Roman" w:hAnsi="Calibri" w:cs="Calibri"/>
                <w:b/>
                <w:bCs/>
                <w:color w:val="000000"/>
                <w:sz w:val="14"/>
                <w:szCs w:val="14"/>
              </w:rPr>
              <w:t xml:space="preserve"> constatate de audit pe eșantionul verificat</w:t>
            </w:r>
          </w:p>
        </w:tc>
      </w:tr>
      <w:tr w:rsidR="007D6CDF" w:rsidRPr="00CB5F81" w:rsidTr="007D6CDF">
        <w:trPr>
          <w:trHeight w:val="228"/>
        </w:trPr>
        <w:tc>
          <w:tcPr>
            <w:tcW w:w="3870"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TOTAL facilități fiscale acordate în anul 2020</w:t>
            </w:r>
          </w:p>
        </w:tc>
        <w:tc>
          <w:tcPr>
            <w:tcW w:w="1151" w:type="dxa"/>
            <w:vMerge w:val="restart"/>
            <w:tcBorders>
              <w:top w:val="nil"/>
              <w:left w:val="single" w:sz="4" w:space="0" w:color="auto"/>
              <w:bottom w:val="single" w:sz="8" w:space="0" w:color="000000"/>
              <w:right w:val="single" w:sz="4" w:space="0" w:color="auto"/>
            </w:tcBorders>
            <w:shd w:val="clear" w:color="auto" w:fill="auto"/>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x</w:t>
            </w:r>
          </w:p>
        </w:tc>
        <w:tc>
          <w:tcPr>
            <w:tcW w:w="1238" w:type="dxa"/>
            <w:vMerge w:val="restart"/>
            <w:tcBorders>
              <w:top w:val="nil"/>
              <w:left w:val="single" w:sz="4" w:space="0" w:color="auto"/>
              <w:bottom w:val="single" w:sz="8" w:space="0" w:color="000000"/>
              <w:right w:val="single" w:sz="4" w:space="0" w:color="auto"/>
            </w:tcBorders>
            <w:shd w:val="clear" w:color="auto" w:fill="auto"/>
            <w:vAlign w:val="center"/>
            <w:hideMark/>
          </w:tcPr>
          <w:p w:rsidR="002D760E" w:rsidRPr="00CB5F81" w:rsidRDefault="00072610" w:rsidP="007B6C37">
            <w:pPr>
              <w:spacing w:after="0" w:line="240" w:lineRule="auto"/>
              <w:jc w:val="center"/>
              <w:rPr>
                <w:rFonts w:ascii="Times New Roman" w:eastAsia="Times New Roman" w:hAnsi="Times New Roman" w:cs="Times New Roman"/>
                <w:b/>
                <w:bCs/>
                <w:color w:val="000000"/>
                <w:sz w:val="12"/>
                <w:szCs w:val="12"/>
              </w:rPr>
            </w:pPr>
            <w:r w:rsidRPr="00CB5F81">
              <w:rPr>
                <w:rFonts w:ascii="Times New Roman" w:eastAsia="Times New Roman" w:hAnsi="Times New Roman" w:cs="Times New Roman"/>
                <w:b/>
                <w:bCs/>
                <w:color w:val="000000"/>
                <w:sz w:val="12"/>
                <w:szCs w:val="12"/>
              </w:rPr>
              <w:t>X</w:t>
            </w:r>
          </w:p>
        </w:tc>
        <w:tc>
          <w:tcPr>
            <w:tcW w:w="1336" w:type="dxa"/>
            <w:vMerge w:val="restart"/>
            <w:tcBorders>
              <w:top w:val="nil"/>
              <w:left w:val="single" w:sz="4" w:space="0" w:color="auto"/>
              <w:bottom w:val="single" w:sz="8" w:space="0" w:color="000000"/>
              <w:right w:val="single" w:sz="4" w:space="0" w:color="auto"/>
            </w:tcBorders>
            <w:shd w:val="clear" w:color="auto" w:fill="auto"/>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2,226,042,170.92</w:t>
            </w:r>
          </w:p>
        </w:tc>
        <w:tc>
          <w:tcPr>
            <w:tcW w:w="1336" w:type="dxa"/>
            <w:vMerge w:val="restart"/>
            <w:tcBorders>
              <w:top w:val="nil"/>
              <w:left w:val="single" w:sz="4" w:space="0" w:color="auto"/>
              <w:bottom w:val="single" w:sz="8" w:space="0" w:color="000000"/>
              <w:right w:val="nil"/>
            </w:tcBorders>
            <w:shd w:val="clear" w:color="auto" w:fill="auto"/>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2,291,653,631.73</w:t>
            </w:r>
          </w:p>
        </w:tc>
        <w:tc>
          <w:tcPr>
            <w:tcW w:w="1379" w:type="dxa"/>
            <w:tcBorders>
              <w:top w:val="nil"/>
              <w:left w:val="single" w:sz="4" w:space="0" w:color="auto"/>
              <w:bottom w:val="nil"/>
              <w:right w:val="single" w:sz="8" w:space="0" w:color="auto"/>
            </w:tcBorders>
            <w:shd w:val="clear" w:color="auto" w:fill="auto"/>
            <w:noWrap/>
            <w:vAlign w:val="bottom"/>
            <w:hideMark/>
          </w:tcPr>
          <w:p w:rsidR="002D760E" w:rsidRPr="00CB5F81" w:rsidRDefault="002D760E" w:rsidP="007B6C37">
            <w:pPr>
              <w:spacing w:after="0" w:line="240" w:lineRule="auto"/>
              <w:jc w:val="right"/>
              <w:rPr>
                <w:rFonts w:ascii="Calibri" w:eastAsia="Times New Roman" w:hAnsi="Calibri" w:cs="Calibri"/>
                <w:i/>
                <w:iCs/>
                <w:color w:val="C00000"/>
                <w:sz w:val="16"/>
                <w:szCs w:val="16"/>
              </w:rPr>
            </w:pPr>
            <w:r w:rsidRPr="00CB5F81">
              <w:rPr>
                <w:rFonts w:ascii="Calibri" w:eastAsia="Times New Roman" w:hAnsi="Calibri" w:cs="Calibri"/>
                <w:i/>
                <w:iCs/>
                <w:color w:val="C00000"/>
                <w:sz w:val="16"/>
                <w:szCs w:val="16"/>
              </w:rPr>
              <w:t>-774,725,386.45</w:t>
            </w:r>
          </w:p>
        </w:tc>
      </w:tr>
      <w:tr w:rsidR="007D6CDF" w:rsidRPr="00CB5F81" w:rsidTr="007D6CDF">
        <w:trPr>
          <w:trHeight w:val="264"/>
        </w:trPr>
        <w:tc>
          <w:tcPr>
            <w:tcW w:w="3870" w:type="dxa"/>
            <w:gridSpan w:val="2"/>
            <w:vMerge/>
            <w:tcBorders>
              <w:top w:val="single" w:sz="8" w:space="0" w:color="auto"/>
              <w:left w:val="single" w:sz="8" w:space="0" w:color="auto"/>
              <w:bottom w:val="single" w:sz="8" w:space="0" w:color="000000"/>
              <w:right w:val="single" w:sz="4" w:space="0" w:color="000000"/>
            </w:tcBorders>
            <w:vAlign w:val="center"/>
            <w:hideMark/>
          </w:tcPr>
          <w:p w:rsidR="002D760E" w:rsidRPr="00CB5F81" w:rsidRDefault="002D760E" w:rsidP="007B6C37">
            <w:pPr>
              <w:spacing w:after="0" w:line="240" w:lineRule="auto"/>
              <w:rPr>
                <w:rFonts w:ascii="Times New Roman" w:eastAsia="Times New Roman" w:hAnsi="Times New Roman" w:cs="Times New Roman"/>
                <w:b/>
                <w:bCs/>
                <w:color w:val="000000"/>
                <w:sz w:val="16"/>
                <w:szCs w:val="16"/>
              </w:rPr>
            </w:pPr>
          </w:p>
        </w:tc>
        <w:tc>
          <w:tcPr>
            <w:tcW w:w="1151" w:type="dxa"/>
            <w:vMerge/>
            <w:tcBorders>
              <w:top w:val="nil"/>
              <w:left w:val="single" w:sz="4" w:space="0" w:color="auto"/>
              <w:bottom w:val="single" w:sz="8" w:space="0" w:color="000000"/>
              <w:right w:val="single" w:sz="4"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b/>
                <w:bCs/>
                <w:color w:val="000000"/>
                <w:sz w:val="16"/>
                <w:szCs w:val="16"/>
              </w:rPr>
            </w:pPr>
          </w:p>
        </w:tc>
        <w:tc>
          <w:tcPr>
            <w:tcW w:w="1238" w:type="dxa"/>
            <w:vMerge/>
            <w:tcBorders>
              <w:top w:val="nil"/>
              <w:left w:val="single" w:sz="4" w:space="0" w:color="auto"/>
              <w:bottom w:val="single" w:sz="8" w:space="0" w:color="000000"/>
              <w:right w:val="single" w:sz="4"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b/>
                <w:bCs/>
                <w:color w:val="000000"/>
                <w:sz w:val="12"/>
                <w:szCs w:val="12"/>
              </w:rPr>
            </w:pPr>
          </w:p>
        </w:tc>
        <w:tc>
          <w:tcPr>
            <w:tcW w:w="1336" w:type="dxa"/>
            <w:vMerge/>
            <w:tcBorders>
              <w:top w:val="nil"/>
              <w:left w:val="single" w:sz="4" w:space="0" w:color="auto"/>
              <w:bottom w:val="single" w:sz="8" w:space="0" w:color="000000"/>
              <w:right w:val="single" w:sz="4"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b/>
                <w:bCs/>
                <w:color w:val="000000"/>
                <w:sz w:val="16"/>
                <w:szCs w:val="16"/>
              </w:rPr>
            </w:pPr>
          </w:p>
        </w:tc>
        <w:tc>
          <w:tcPr>
            <w:tcW w:w="1336" w:type="dxa"/>
            <w:vMerge/>
            <w:tcBorders>
              <w:top w:val="nil"/>
              <w:left w:val="single" w:sz="4" w:space="0" w:color="auto"/>
              <w:bottom w:val="single" w:sz="8" w:space="0" w:color="000000"/>
              <w:right w:val="nil"/>
            </w:tcBorders>
            <w:vAlign w:val="center"/>
            <w:hideMark/>
          </w:tcPr>
          <w:p w:rsidR="002D760E" w:rsidRPr="00CB5F81" w:rsidRDefault="002D760E" w:rsidP="007B6C37">
            <w:pPr>
              <w:spacing w:after="0" w:line="240" w:lineRule="auto"/>
              <w:rPr>
                <w:rFonts w:ascii="Times New Roman" w:eastAsia="Times New Roman" w:hAnsi="Times New Roman" w:cs="Times New Roman"/>
                <w:b/>
                <w:bCs/>
                <w:color w:val="000000"/>
                <w:sz w:val="16"/>
                <w:szCs w:val="16"/>
              </w:rPr>
            </w:pPr>
          </w:p>
        </w:tc>
        <w:tc>
          <w:tcPr>
            <w:tcW w:w="1379" w:type="dxa"/>
            <w:tcBorders>
              <w:top w:val="nil"/>
              <w:left w:val="single" w:sz="4" w:space="0" w:color="auto"/>
              <w:bottom w:val="single" w:sz="8" w:space="0" w:color="auto"/>
              <w:right w:val="single" w:sz="8" w:space="0" w:color="auto"/>
            </w:tcBorders>
            <w:shd w:val="clear" w:color="auto" w:fill="auto"/>
            <w:noWrap/>
            <w:vAlign w:val="bottom"/>
            <w:hideMark/>
          </w:tcPr>
          <w:p w:rsidR="002D760E" w:rsidRPr="00CB5F81" w:rsidRDefault="008D20D5" w:rsidP="008D20D5">
            <w:pPr>
              <w:spacing w:after="0" w:line="240" w:lineRule="auto"/>
              <w:jc w:val="right"/>
              <w:rPr>
                <w:rFonts w:ascii="Calibri" w:eastAsia="Times New Roman" w:hAnsi="Calibri" w:cs="Calibri"/>
                <w:i/>
                <w:iCs/>
                <w:color w:val="C00000"/>
                <w:sz w:val="16"/>
                <w:szCs w:val="16"/>
              </w:rPr>
            </w:pPr>
            <w:r>
              <w:rPr>
                <w:rFonts w:ascii="Calibri" w:eastAsia="Times New Roman" w:hAnsi="Calibri" w:cs="Calibri"/>
                <w:i/>
                <w:iCs/>
                <w:color w:val="C00000"/>
                <w:sz w:val="16"/>
                <w:szCs w:val="16"/>
              </w:rPr>
              <w:t>+633,114,209.3</w:t>
            </w:r>
          </w:p>
        </w:tc>
      </w:tr>
      <w:tr w:rsidR="007D6CDF" w:rsidRPr="00CB5F81" w:rsidTr="007D6CDF">
        <w:trPr>
          <w:trHeight w:val="288"/>
        </w:trPr>
        <w:tc>
          <w:tcPr>
            <w:tcW w:w="3870" w:type="dxa"/>
            <w:gridSpan w:val="2"/>
            <w:tcBorders>
              <w:top w:val="nil"/>
              <w:left w:val="single" w:sz="8" w:space="0" w:color="auto"/>
              <w:bottom w:val="single" w:sz="4" w:space="0" w:color="auto"/>
              <w:right w:val="single" w:sz="4" w:space="0" w:color="000000"/>
            </w:tcBorders>
            <w:shd w:val="clear" w:color="000000" w:fill="D9E1F2"/>
            <w:noWrap/>
            <w:vAlign w:val="center"/>
            <w:hideMark/>
          </w:tcPr>
          <w:p w:rsidR="002D760E" w:rsidRPr="00CB5F81" w:rsidRDefault="002D760E" w:rsidP="00103CA0">
            <w:pPr>
              <w:spacing w:after="0" w:line="240" w:lineRule="auto"/>
              <w:rPr>
                <w:rFonts w:ascii="Times New Roman" w:eastAsia="Times New Roman" w:hAnsi="Times New Roman" w:cs="Times New Roman"/>
                <w:i/>
                <w:iCs/>
                <w:sz w:val="18"/>
                <w:szCs w:val="18"/>
              </w:rPr>
            </w:pPr>
            <w:r w:rsidRPr="00CB5F81">
              <w:rPr>
                <w:rFonts w:ascii="Times New Roman" w:eastAsia="Times New Roman" w:hAnsi="Times New Roman" w:cs="Times New Roman"/>
                <w:i/>
                <w:iCs/>
                <w:sz w:val="18"/>
                <w:szCs w:val="18"/>
              </w:rPr>
              <w:t>I</w:t>
            </w:r>
            <w:r w:rsidRPr="00103CA0">
              <w:rPr>
                <w:rFonts w:ascii="Times New Roman" w:eastAsia="Times New Roman" w:hAnsi="Times New Roman" w:cs="Times New Roman"/>
                <w:i/>
                <w:iCs/>
                <w:sz w:val="18"/>
                <w:szCs w:val="18"/>
              </w:rPr>
              <w:t xml:space="preserve">. </w:t>
            </w:r>
            <w:r w:rsidR="00103CA0" w:rsidRPr="00103CA0">
              <w:rPr>
                <w:rFonts w:ascii="Times New Roman" w:eastAsia="Times New Roman" w:hAnsi="Times New Roman" w:cs="Times New Roman"/>
                <w:i/>
                <w:iCs/>
                <w:sz w:val="18"/>
                <w:szCs w:val="18"/>
              </w:rPr>
              <w:t>T</w:t>
            </w:r>
            <w:r w:rsidRPr="00103CA0">
              <w:rPr>
                <w:rFonts w:ascii="Times New Roman" w:eastAsia="Times New Roman" w:hAnsi="Times New Roman" w:cs="Times New Roman"/>
                <w:i/>
                <w:iCs/>
                <w:sz w:val="18"/>
                <w:szCs w:val="18"/>
              </w:rPr>
              <w:t>otal</w:t>
            </w:r>
            <w:r w:rsidRPr="00CB5F81">
              <w:rPr>
                <w:rFonts w:ascii="Times New Roman" w:eastAsia="Times New Roman" w:hAnsi="Times New Roman" w:cs="Times New Roman"/>
                <w:i/>
                <w:iCs/>
                <w:sz w:val="18"/>
                <w:szCs w:val="18"/>
              </w:rPr>
              <w:t xml:space="preserve"> facilități fiscale aferente TVA</w:t>
            </w:r>
          </w:p>
        </w:tc>
        <w:tc>
          <w:tcPr>
            <w:tcW w:w="1151" w:type="dxa"/>
            <w:tcBorders>
              <w:top w:val="nil"/>
              <w:left w:val="nil"/>
              <w:bottom w:val="single" w:sz="4" w:space="0" w:color="auto"/>
              <w:right w:val="single" w:sz="4" w:space="0" w:color="auto"/>
            </w:tcBorders>
            <w:shd w:val="clear" w:color="000000" w:fill="D9E1F2"/>
            <w:noWrap/>
            <w:vAlign w:val="center"/>
            <w:hideMark/>
          </w:tcPr>
          <w:p w:rsidR="002D760E" w:rsidRPr="00CB5F81" w:rsidRDefault="002D760E" w:rsidP="007B6C37">
            <w:pPr>
              <w:spacing w:after="0" w:line="240" w:lineRule="auto"/>
              <w:jc w:val="center"/>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x</w:t>
            </w:r>
          </w:p>
        </w:tc>
        <w:tc>
          <w:tcPr>
            <w:tcW w:w="1238" w:type="dxa"/>
            <w:tcBorders>
              <w:top w:val="nil"/>
              <w:left w:val="nil"/>
              <w:bottom w:val="single" w:sz="4" w:space="0" w:color="auto"/>
              <w:right w:val="single" w:sz="4" w:space="0" w:color="auto"/>
            </w:tcBorders>
            <w:shd w:val="clear" w:color="000000" w:fill="D9E1F2"/>
            <w:noWrap/>
            <w:vAlign w:val="center"/>
            <w:hideMark/>
          </w:tcPr>
          <w:p w:rsidR="002D760E" w:rsidRPr="00CB5F81" w:rsidRDefault="00072610"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1,048,467,420.00</w:t>
            </w:r>
          </w:p>
        </w:tc>
        <w:tc>
          <w:tcPr>
            <w:tcW w:w="1336" w:type="dxa"/>
            <w:tcBorders>
              <w:top w:val="nil"/>
              <w:left w:val="nil"/>
              <w:bottom w:val="single" w:sz="4" w:space="0" w:color="auto"/>
              <w:right w:val="nil"/>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1,048,467,420.00</w:t>
            </w:r>
          </w:p>
        </w:tc>
        <w:tc>
          <w:tcPr>
            <w:tcW w:w="1379" w:type="dxa"/>
            <w:tcBorders>
              <w:top w:val="nil"/>
              <w:left w:val="single" w:sz="4" w:space="0" w:color="auto"/>
              <w:bottom w:val="single" w:sz="4" w:space="0" w:color="auto"/>
              <w:right w:val="single" w:sz="8" w:space="0" w:color="auto"/>
            </w:tcBorders>
            <w:shd w:val="clear" w:color="000000" w:fill="D9E1F2"/>
            <w:noWrap/>
            <w:vAlign w:val="center"/>
            <w:hideMark/>
          </w:tcPr>
          <w:p w:rsidR="002D760E" w:rsidRPr="00CB5F81" w:rsidRDefault="00072610" w:rsidP="007B6C37">
            <w:pPr>
              <w:spacing w:after="0" w:line="240" w:lineRule="auto"/>
              <w:jc w:val="center"/>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X</w:t>
            </w:r>
          </w:p>
        </w:tc>
      </w:tr>
      <w:tr w:rsidR="00040BCB" w:rsidRPr="00CB5F81" w:rsidTr="007D6CDF">
        <w:trPr>
          <w:trHeight w:val="576"/>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rPr>
                <w:rFonts w:ascii="Times New Roman" w:eastAsia="Times New Roman" w:hAnsi="Times New Roman" w:cs="Times New Roman"/>
                <w:color w:val="000000"/>
                <w:sz w:val="14"/>
                <w:szCs w:val="14"/>
              </w:rPr>
            </w:pPr>
            <w:r w:rsidRPr="00CB5F81">
              <w:rPr>
                <w:rFonts w:ascii="Times New Roman" w:eastAsia="Times New Roman" w:hAnsi="Times New Roman" w:cs="Times New Roman"/>
                <w:color w:val="000000"/>
                <w:sz w:val="14"/>
                <w:szCs w:val="14"/>
              </w:rPr>
              <w:t xml:space="preserve"> Se scutesc de TVA</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fără drept de deducere</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autoturismele şi alte autovehicule (poziţiile tarifare 870321, 870322, 870323, 870324, 870331, 870332, 870333, 870390100); scuterele cu motor electric de la poziţia tarifară 871190900</w:t>
            </w:r>
            <w:r w:rsidR="008902F0">
              <w:rPr>
                <w:rFonts w:ascii="Times New Roman" w:eastAsia="Times New Roman" w:hAnsi="Times New Roman" w:cs="Times New Roman"/>
                <w:color w:val="000000"/>
                <w:sz w:val="14"/>
                <w:szCs w:val="14"/>
              </w:rPr>
              <w:t>.</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CFTVA022</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 103 alin.(1) pct. 24)</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647,955,690.00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647,955,690.00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-254,997,479.10</w:t>
            </w:r>
          </w:p>
        </w:tc>
      </w:tr>
      <w:tr w:rsidR="00040BCB" w:rsidRPr="00CB5F81" w:rsidTr="007D6CDF">
        <w:trPr>
          <w:trHeight w:val="960"/>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rPr>
                <w:rFonts w:ascii="Times New Roman" w:eastAsia="Times New Roman" w:hAnsi="Times New Roman" w:cs="Times New Roman"/>
                <w:color w:val="000000"/>
                <w:sz w:val="14"/>
                <w:szCs w:val="14"/>
              </w:rPr>
            </w:pPr>
            <w:r w:rsidRPr="00CB5F81">
              <w:rPr>
                <w:rFonts w:ascii="Times New Roman" w:eastAsia="Times New Roman" w:hAnsi="Times New Roman" w:cs="Times New Roman"/>
                <w:color w:val="000000"/>
                <w:sz w:val="14"/>
                <w:szCs w:val="14"/>
              </w:rPr>
              <w:t xml:space="preserve"> Se scutește de TVA</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fără drept de deducere</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energia electrică importată şi livrată către operatorul reţelei de transport şi de sistem, operatorii reţelelor de distribuţie şi furnizorii energiei electrice sau importată de către operatorul reţelei de transport şi de sistem, operatorii reţelelor de distribuţie şi furnizorii energiei electrice, cu excepţia serviciilor de transport şi distribuţie a energiei electrice</w:t>
            </w:r>
            <w:r w:rsidR="008902F0">
              <w:rPr>
                <w:rFonts w:ascii="Times New Roman" w:eastAsia="Times New Roman" w:hAnsi="Times New Roman" w:cs="Times New Roman"/>
                <w:color w:val="000000"/>
                <w:sz w:val="14"/>
                <w:szCs w:val="14"/>
              </w:rPr>
              <w:t>.</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CFTVA017</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 103 alin.(1) pct. 18)</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329,912,150.00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329,912,150.00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96,063,449.90</w:t>
            </w:r>
          </w:p>
        </w:tc>
      </w:tr>
      <w:tr w:rsidR="00040BCB" w:rsidRPr="00CB5F81" w:rsidTr="007D6CDF">
        <w:trPr>
          <w:trHeight w:val="38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rPr>
                <w:rFonts w:ascii="Times New Roman" w:eastAsia="Times New Roman" w:hAnsi="Times New Roman" w:cs="Times New Roman"/>
                <w:color w:val="000000"/>
                <w:sz w:val="14"/>
                <w:szCs w:val="14"/>
              </w:rPr>
            </w:pPr>
            <w:r w:rsidRPr="00CB5F81">
              <w:rPr>
                <w:rFonts w:ascii="Times New Roman" w:eastAsia="Times New Roman" w:hAnsi="Times New Roman" w:cs="Times New Roman"/>
                <w:color w:val="000000"/>
                <w:sz w:val="14"/>
                <w:szCs w:val="14"/>
              </w:rPr>
              <w:t>Se scute</w:t>
            </w:r>
            <w:r w:rsidR="00055D63">
              <w:rPr>
                <w:rFonts w:ascii="Times New Roman" w:eastAsia="Times New Roman" w:hAnsi="Times New Roman" w:cs="Times New Roman"/>
                <w:color w:val="000000"/>
                <w:sz w:val="14"/>
                <w:szCs w:val="14"/>
              </w:rPr>
              <w:t>sc</w:t>
            </w:r>
            <w:r w:rsidRPr="00CB5F81">
              <w:rPr>
                <w:rFonts w:ascii="Times New Roman" w:eastAsia="Times New Roman" w:hAnsi="Times New Roman" w:cs="Times New Roman"/>
                <w:color w:val="000000"/>
                <w:sz w:val="14"/>
                <w:szCs w:val="14"/>
              </w:rPr>
              <w:t xml:space="preserve"> de TVA</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fără drept de deducere</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plasarea şi comercializarea mărfurilor în magazinele duty-free</w:t>
            </w:r>
            <w:r w:rsidR="008902F0">
              <w:rPr>
                <w:rFonts w:ascii="Times New Roman" w:eastAsia="Times New Roman" w:hAnsi="Times New Roman" w:cs="Times New Roman"/>
                <w:color w:val="000000"/>
                <w:sz w:val="14"/>
                <w:szCs w:val="14"/>
              </w:rPr>
              <w:t>.</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CFTVA039</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art.103 alin</w:t>
            </w:r>
            <w:r w:rsidR="00072610">
              <w:rPr>
                <w:rFonts w:ascii="Times New Roman" w:eastAsia="Times New Roman" w:hAnsi="Times New Roman" w:cs="Times New Roman"/>
                <w:color w:val="000000"/>
                <w:sz w:val="12"/>
                <w:szCs w:val="12"/>
              </w:rPr>
              <w:t>.</w:t>
            </w:r>
            <w:r w:rsidRPr="00CB5F81">
              <w:rPr>
                <w:rFonts w:ascii="Times New Roman" w:eastAsia="Times New Roman" w:hAnsi="Times New Roman" w:cs="Times New Roman"/>
                <w:color w:val="000000"/>
                <w:sz w:val="12"/>
                <w:szCs w:val="12"/>
              </w:rPr>
              <w:t xml:space="preserve"> (6)</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32,648,730.00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32,648,730.00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072610"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040BCB" w:rsidRPr="00CB5F81" w:rsidTr="007D6CDF">
        <w:trPr>
          <w:trHeight w:val="38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4"/>
                <w:szCs w:val="14"/>
              </w:rPr>
            </w:pPr>
            <w:r w:rsidRPr="00CB5F81">
              <w:rPr>
                <w:rFonts w:ascii="Times New Roman" w:eastAsia="Times New Roman" w:hAnsi="Times New Roman" w:cs="Times New Roman"/>
                <w:color w:val="000000"/>
                <w:sz w:val="14"/>
                <w:szCs w:val="14"/>
              </w:rPr>
              <w:t>Se scutesc de TVA</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fără drept de deducere</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serviciile poştale, inclusiv distribuirea pensiilor, subvenţiilor, indemnizaţiilor</w:t>
            </w:r>
            <w:r w:rsidR="008902F0">
              <w:rPr>
                <w:rFonts w:ascii="Times New Roman" w:eastAsia="Times New Roman" w:hAnsi="Times New Roman" w:cs="Times New Roman"/>
                <w:color w:val="000000"/>
                <w:sz w:val="14"/>
                <w:szCs w:val="14"/>
              </w:rPr>
              <w:t>.</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CFTVA012</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 103 alin.(1) pct. 13)</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13,579,240.00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13,579,240.00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8D20D5" w:rsidP="008D20D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71,363</w:t>
            </w:r>
            <w:r w:rsidR="002D760E" w:rsidRPr="00CB5F81">
              <w:rPr>
                <w:rFonts w:ascii="Calibri" w:eastAsia="Times New Roman" w:hAnsi="Calibri" w:cs="Calibri"/>
                <w:color w:val="000000"/>
                <w:sz w:val="16"/>
                <w:szCs w:val="16"/>
              </w:rPr>
              <w:t>,</w:t>
            </w:r>
            <w:r>
              <w:rPr>
                <w:rFonts w:ascii="Calibri" w:eastAsia="Times New Roman" w:hAnsi="Calibri" w:cs="Calibri"/>
                <w:color w:val="000000"/>
                <w:sz w:val="16"/>
                <w:szCs w:val="16"/>
              </w:rPr>
              <w:t>930</w:t>
            </w:r>
            <w:r w:rsidR="002D760E" w:rsidRPr="00CB5F81">
              <w:rPr>
                <w:rFonts w:ascii="Calibri" w:eastAsia="Times New Roman" w:hAnsi="Calibri" w:cs="Calibri"/>
                <w:color w:val="000000"/>
                <w:sz w:val="16"/>
                <w:szCs w:val="16"/>
              </w:rPr>
              <w:t>.00</w:t>
            </w:r>
          </w:p>
        </w:tc>
      </w:tr>
      <w:tr w:rsidR="00040BCB" w:rsidRPr="00CB5F81" w:rsidTr="007D6CDF">
        <w:trPr>
          <w:trHeight w:val="134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4"/>
                <w:szCs w:val="14"/>
              </w:rPr>
            </w:pPr>
            <w:r w:rsidRPr="00CB5F81">
              <w:rPr>
                <w:rFonts w:ascii="Times New Roman" w:eastAsia="Times New Roman" w:hAnsi="Times New Roman" w:cs="Times New Roman"/>
                <w:color w:val="000000"/>
                <w:sz w:val="14"/>
                <w:szCs w:val="14"/>
              </w:rPr>
              <w:t>Se scutesc de TVA</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fără drept de deducere</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serviciile de înhumare şi incinerare a corpurilor umane sau animale şi activităţi</w:t>
            </w:r>
            <w:r w:rsidR="00055D63">
              <w:rPr>
                <w:rFonts w:ascii="Times New Roman" w:eastAsia="Times New Roman" w:hAnsi="Times New Roman" w:cs="Times New Roman"/>
                <w:color w:val="000000"/>
                <w:sz w:val="14"/>
                <w:szCs w:val="14"/>
              </w:rPr>
              <w:t>le</w:t>
            </w:r>
            <w:r w:rsidRPr="00CB5F81">
              <w:rPr>
                <w:rFonts w:ascii="Times New Roman" w:eastAsia="Times New Roman" w:hAnsi="Times New Roman" w:cs="Times New Roman"/>
                <w:color w:val="000000"/>
                <w:sz w:val="14"/>
                <w:szCs w:val="14"/>
              </w:rPr>
              <w:t xml:space="preserve"> conexe: pregătirea cadavrelor către înhumare sau incinerare, îmbălsămarea şi servicii</w:t>
            </w:r>
            <w:r w:rsidR="00055D63">
              <w:rPr>
                <w:rFonts w:ascii="Times New Roman" w:eastAsia="Times New Roman" w:hAnsi="Times New Roman" w:cs="Times New Roman"/>
                <w:color w:val="000000"/>
                <w:sz w:val="14"/>
                <w:szCs w:val="14"/>
              </w:rPr>
              <w:t>le</w:t>
            </w:r>
            <w:r w:rsidRPr="00CB5F81">
              <w:rPr>
                <w:rFonts w:ascii="Times New Roman" w:eastAsia="Times New Roman" w:hAnsi="Times New Roman" w:cs="Times New Roman"/>
                <w:color w:val="000000"/>
                <w:sz w:val="14"/>
                <w:szCs w:val="14"/>
              </w:rPr>
              <w:t xml:space="preserve"> oferite de întreprinderile de pompe funebre; închirierea încăperilor în saloanele pentru răposaţi; închirierea sau v</w:t>
            </w:r>
            <w:r w:rsidR="00055D63">
              <w:rPr>
                <w:rFonts w:ascii="Times New Roman" w:eastAsia="Times New Roman" w:hAnsi="Times New Roman" w:cs="Times New Roman"/>
                <w:color w:val="000000"/>
                <w:sz w:val="14"/>
                <w:szCs w:val="14"/>
              </w:rPr>
              <w:t>â</w:t>
            </w:r>
            <w:r w:rsidRPr="00CB5F81">
              <w:rPr>
                <w:rFonts w:ascii="Times New Roman" w:eastAsia="Times New Roman" w:hAnsi="Times New Roman" w:cs="Times New Roman"/>
                <w:color w:val="000000"/>
                <w:sz w:val="14"/>
                <w:szCs w:val="14"/>
              </w:rPr>
              <w:t>nzarea locurilor de veci; întreţinerea mormintelor; amenajarea şi întreţinerea cimitirelor; transportarea cadavrelor; ritualurile şi ceremoniile efectuate de organizaţiile religioase; organizarea funeraliilor şi ceremoniilor de incinerare; confecţionarea şi/sau livrarea sicrielor, coroanelor</w:t>
            </w:r>
            <w:r w:rsidR="008902F0">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CFTVA014</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 103 alin.(1) pct. 15)</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11,731,520.00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11,731,520.00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0.00</w:t>
            </w:r>
          </w:p>
        </w:tc>
      </w:tr>
      <w:tr w:rsidR="00040BCB" w:rsidRPr="00CB5F81" w:rsidTr="007D6CDF">
        <w:trPr>
          <w:trHeight w:val="38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4"/>
                <w:szCs w:val="14"/>
              </w:rPr>
            </w:pPr>
            <w:r w:rsidRPr="00CB5F81">
              <w:rPr>
                <w:rFonts w:ascii="Times New Roman" w:eastAsia="Times New Roman" w:hAnsi="Times New Roman" w:cs="Times New Roman"/>
                <w:color w:val="000000"/>
                <w:sz w:val="14"/>
                <w:szCs w:val="14"/>
              </w:rPr>
              <w:t>Se scutește de TVA</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fără drept de deducere</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proprietatea confiscată, proprietatea fără stăp</w:t>
            </w:r>
            <w:r w:rsidR="00055D63">
              <w:rPr>
                <w:rFonts w:ascii="Times New Roman" w:eastAsia="Times New Roman" w:hAnsi="Times New Roman" w:cs="Times New Roman"/>
                <w:color w:val="000000"/>
                <w:sz w:val="14"/>
                <w:szCs w:val="14"/>
              </w:rPr>
              <w:t>â</w:t>
            </w:r>
            <w:r w:rsidRPr="00CB5F81">
              <w:rPr>
                <w:rFonts w:ascii="Times New Roman" w:eastAsia="Times New Roman" w:hAnsi="Times New Roman" w:cs="Times New Roman"/>
                <w:color w:val="000000"/>
                <w:sz w:val="14"/>
                <w:szCs w:val="14"/>
              </w:rPr>
              <w:t>n, proprietatea trecută în posesiunea statului cu drept de succesiune, comorile</w:t>
            </w:r>
            <w:r w:rsidR="008902F0">
              <w:rPr>
                <w:rFonts w:ascii="Times New Roman" w:eastAsia="Times New Roman" w:hAnsi="Times New Roman" w:cs="Times New Roman"/>
                <w:color w:val="000000"/>
                <w:sz w:val="14"/>
                <w:szCs w:val="14"/>
              </w:rPr>
              <w:t>.</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CFTVA007</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 103 alin.(1) pct. 8)</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1,450,290.00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1,450,290.00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040BCB" w:rsidRPr="00CB5F81" w:rsidTr="007D6CDF">
        <w:trPr>
          <w:trHeight w:val="115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rPr>
                <w:rFonts w:ascii="Times New Roman" w:eastAsia="Times New Roman" w:hAnsi="Times New Roman" w:cs="Times New Roman"/>
                <w:color w:val="000000"/>
                <w:sz w:val="14"/>
                <w:szCs w:val="14"/>
              </w:rPr>
            </w:pPr>
            <w:r w:rsidRPr="00CB5F81">
              <w:rPr>
                <w:rFonts w:ascii="Times New Roman" w:eastAsia="Times New Roman" w:hAnsi="Times New Roman" w:cs="Times New Roman"/>
                <w:color w:val="000000"/>
                <w:sz w:val="14"/>
                <w:szCs w:val="14"/>
              </w:rPr>
              <w:t>Se scutesc de TVA</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fără drept de deducere</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materia primă, materialele, articolele de completare şi accesoriile necesare procesului propriu de producţie, importate de către organizaţiile şi întreprinderile societăţilor nevăzătorilor, societăţilor surzilor şi societăţilor invalizilor, de asemenea</w:t>
            </w:r>
            <w:r w:rsidR="00055D63">
              <w:rPr>
                <w:rFonts w:ascii="Times New Roman" w:eastAsia="Times New Roman" w:hAnsi="Times New Roman" w:cs="Times New Roman"/>
                <w:color w:val="000000"/>
                <w:sz w:val="14"/>
                <w:szCs w:val="14"/>
              </w:rPr>
              <w:t>,</w:t>
            </w:r>
            <w:r w:rsidRPr="00CB5F81">
              <w:rPr>
                <w:rFonts w:ascii="Times New Roman" w:eastAsia="Times New Roman" w:hAnsi="Times New Roman" w:cs="Times New Roman"/>
                <w:color w:val="000000"/>
                <w:sz w:val="14"/>
                <w:szCs w:val="14"/>
              </w:rPr>
              <w:t xml:space="preserve"> se scutesc organizaţiile şi întreprinderile menţionate de vărsarea la buget a sumei TVA pentru mărfurile produse şi serviciile prestate, conform listei organizaţiilor şi întreprinderilor respective, aprobată de Guvern.</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L1417012</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Legea nr.1417-XIII</w:t>
            </w:r>
            <w:r w:rsidR="00EC1EAF">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din</w:t>
            </w:r>
            <w:r w:rsidR="00EC1EAF">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17.</w:t>
            </w:r>
            <w:r w:rsidRPr="00103CA0">
              <w:rPr>
                <w:rFonts w:ascii="Times New Roman" w:eastAsia="Times New Roman" w:hAnsi="Times New Roman" w:cs="Times New Roman"/>
                <w:color w:val="000000"/>
                <w:sz w:val="12"/>
                <w:szCs w:val="12"/>
              </w:rPr>
              <w:t>12.</w:t>
            </w:r>
            <w:r w:rsidR="00836D76" w:rsidRPr="00103CA0">
              <w:rPr>
                <w:rFonts w:ascii="Times New Roman" w:eastAsia="Times New Roman" w:hAnsi="Times New Roman" w:cs="Times New Roman"/>
                <w:color w:val="000000"/>
                <w:sz w:val="12"/>
                <w:szCs w:val="12"/>
              </w:rPr>
              <w:t>19</w:t>
            </w:r>
            <w:r w:rsidRPr="00103CA0">
              <w:rPr>
                <w:rFonts w:ascii="Times New Roman" w:eastAsia="Times New Roman" w:hAnsi="Times New Roman" w:cs="Times New Roman"/>
                <w:color w:val="000000"/>
                <w:sz w:val="12"/>
                <w:szCs w:val="12"/>
              </w:rPr>
              <w:t>97,</w:t>
            </w:r>
            <w:r w:rsidRPr="00CB5F81">
              <w:rPr>
                <w:rFonts w:ascii="Times New Roman" w:eastAsia="Times New Roman" w:hAnsi="Times New Roman" w:cs="Times New Roman"/>
                <w:color w:val="000000"/>
                <w:sz w:val="12"/>
                <w:szCs w:val="12"/>
              </w:rPr>
              <w:t xml:space="preserve"> art.4 (18)</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11,189,800.00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11,189,800.00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7D6CDF" w:rsidRPr="00CB5F81" w:rsidTr="007D6CDF">
        <w:trPr>
          <w:trHeight w:val="384"/>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noWrap/>
            <w:vAlign w:val="center"/>
            <w:hideMark/>
          </w:tcPr>
          <w:p w:rsidR="002D760E" w:rsidRPr="00CB5F81" w:rsidRDefault="002D760E" w:rsidP="00103CA0">
            <w:pPr>
              <w:spacing w:after="0" w:line="240" w:lineRule="auto"/>
              <w:jc w:val="center"/>
              <w:rPr>
                <w:rFonts w:ascii="Times New Roman" w:eastAsia="Times New Roman" w:hAnsi="Times New Roman" w:cs="Times New Roman"/>
                <w:i/>
                <w:iCs/>
                <w:sz w:val="20"/>
                <w:szCs w:val="20"/>
              </w:rPr>
            </w:pPr>
            <w:r w:rsidRPr="00CB5F81">
              <w:rPr>
                <w:rFonts w:ascii="Times New Roman" w:eastAsia="Times New Roman" w:hAnsi="Times New Roman" w:cs="Times New Roman"/>
                <w:i/>
                <w:iCs/>
                <w:sz w:val="20"/>
                <w:szCs w:val="20"/>
              </w:rPr>
              <w:t xml:space="preserve">II. </w:t>
            </w:r>
            <w:r w:rsidR="00103CA0" w:rsidRPr="00103CA0">
              <w:rPr>
                <w:rFonts w:ascii="Times New Roman" w:eastAsia="Times New Roman" w:hAnsi="Times New Roman" w:cs="Times New Roman"/>
                <w:i/>
                <w:iCs/>
                <w:sz w:val="20"/>
                <w:szCs w:val="20"/>
              </w:rPr>
              <w:t xml:space="preserve"> T</w:t>
            </w:r>
            <w:r w:rsidRPr="00103CA0">
              <w:rPr>
                <w:rFonts w:ascii="Times New Roman" w:eastAsia="Times New Roman" w:hAnsi="Times New Roman" w:cs="Times New Roman"/>
                <w:i/>
                <w:iCs/>
                <w:sz w:val="20"/>
                <w:szCs w:val="20"/>
              </w:rPr>
              <w:t>otal</w:t>
            </w:r>
            <w:r w:rsidRPr="00CB5F81">
              <w:rPr>
                <w:rFonts w:ascii="Times New Roman" w:eastAsia="Times New Roman" w:hAnsi="Times New Roman" w:cs="Times New Roman"/>
                <w:i/>
                <w:iCs/>
                <w:sz w:val="20"/>
                <w:szCs w:val="20"/>
              </w:rPr>
              <w:t xml:space="preserve"> facilități fiscale aferente impozitului pe venit</w:t>
            </w:r>
          </w:p>
        </w:tc>
        <w:tc>
          <w:tcPr>
            <w:tcW w:w="1151" w:type="dxa"/>
            <w:tcBorders>
              <w:top w:val="nil"/>
              <w:left w:val="nil"/>
              <w:bottom w:val="single" w:sz="4" w:space="0" w:color="auto"/>
              <w:right w:val="single" w:sz="4" w:space="0" w:color="auto"/>
            </w:tcBorders>
            <w:shd w:val="clear" w:color="000000" w:fill="D9E1F2"/>
            <w:noWrap/>
            <w:hideMark/>
          </w:tcPr>
          <w:p w:rsidR="002D760E" w:rsidRPr="00CB5F81" w:rsidRDefault="002D760E" w:rsidP="007B6C37">
            <w:pPr>
              <w:spacing w:after="0" w:line="240" w:lineRule="auto"/>
              <w:jc w:val="center"/>
              <w:rPr>
                <w:rFonts w:ascii="Times New Roman" w:eastAsia="Times New Roman" w:hAnsi="Times New Roman" w:cs="Times New Roman"/>
                <w:sz w:val="20"/>
                <w:szCs w:val="20"/>
              </w:rPr>
            </w:pPr>
            <w:r w:rsidRPr="00CB5F81">
              <w:rPr>
                <w:rFonts w:ascii="Times New Roman" w:eastAsia="Times New Roman" w:hAnsi="Times New Roman" w:cs="Times New Roman"/>
                <w:sz w:val="20"/>
                <w:szCs w:val="20"/>
              </w:rPr>
              <w:t>x</w:t>
            </w:r>
          </w:p>
        </w:tc>
        <w:tc>
          <w:tcPr>
            <w:tcW w:w="1238" w:type="dxa"/>
            <w:tcBorders>
              <w:top w:val="nil"/>
              <w:left w:val="nil"/>
              <w:bottom w:val="single" w:sz="4" w:space="0" w:color="auto"/>
              <w:right w:val="single" w:sz="4" w:space="0" w:color="auto"/>
            </w:tcBorders>
            <w:shd w:val="clear" w:color="000000" w:fill="D9E1F2"/>
            <w:noWrap/>
            <w:hideMark/>
          </w:tcPr>
          <w:p w:rsidR="002D760E" w:rsidRPr="00CB5F81" w:rsidRDefault="00072610"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578,250,494.17</w:t>
            </w:r>
          </w:p>
        </w:tc>
        <w:tc>
          <w:tcPr>
            <w:tcW w:w="1336" w:type="dxa"/>
            <w:tcBorders>
              <w:top w:val="nil"/>
              <w:left w:val="nil"/>
              <w:bottom w:val="single" w:sz="4" w:space="0" w:color="auto"/>
              <w:right w:val="nil"/>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613,641,649.03</w:t>
            </w:r>
          </w:p>
        </w:tc>
        <w:tc>
          <w:tcPr>
            <w:tcW w:w="1379" w:type="dxa"/>
            <w:tcBorders>
              <w:top w:val="nil"/>
              <w:left w:val="single" w:sz="4" w:space="0" w:color="auto"/>
              <w:bottom w:val="single" w:sz="4" w:space="0" w:color="auto"/>
              <w:right w:val="single" w:sz="8" w:space="0" w:color="auto"/>
            </w:tcBorders>
            <w:shd w:val="clear" w:color="000000" w:fill="D9E1F2"/>
            <w:noWrap/>
            <w:vAlign w:val="center"/>
            <w:hideMark/>
          </w:tcPr>
          <w:p w:rsidR="002D760E" w:rsidRPr="00CB5F81" w:rsidRDefault="002D760E" w:rsidP="007B6C37">
            <w:pPr>
              <w:spacing w:after="0" w:line="240" w:lineRule="auto"/>
              <w:jc w:val="center"/>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x</w:t>
            </w:r>
          </w:p>
        </w:tc>
      </w:tr>
      <w:tr w:rsidR="00040BCB" w:rsidRPr="00CB5F81" w:rsidTr="007D6CDF">
        <w:trPr>
          <w:trHeight w:val="49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8</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Suma totală a impozitului pe venit se determină pentru gospodăriile ţărăneşti (de fermier) în mărime de 7% din venitul impozabil</w:t>
            </w:r>
            <w:r w:rsidR="008902F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CFIV001</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art.15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c)</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361,267,388.70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363,787,527.89</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-345,408,621.81</w:t>
            </w:r>
          </w:p>
        </w:tc>
      </w:tr>
      <w:tr w:rsidR="00040BCB" w:rsidRPr="00CB5F81" w:rsidTr="007D6CDF">
        <w:trPr>
          <w:trHeight w:val="64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9</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CA28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Sunt scutite instituţiile de învăţăm</w:t>
            </w:r>
            <w:r w:rsidR="00055D63">
              <w:rPr>
                <w:rFonts w:ascii="Times New Roman" w:eastAsia="Times New Roman" w:hAnsi="Times New Roman" w:cs="Times New Roman"/>
                <w:sz w:val="16"/>
                <w:szCs w:val="16"/>
              </w:rPr>
              <w:t>â</w:t>
            </w:r>
            <w:r w:rsidRPr="00CB5F81">
              <w:rPr>
                <w:rFonts w:ascii="Times New Roman" w:eastAsia="Times New Roman" w:hAnsi="Times New Roman" w:cs="Times New Roman"/>
                <w:sz w:val="16"/>
                <w:szCs w:val="16"/>
              </w:rPr>
              <w:t>nt publice, prin derogare de la art.51, şi instituţiile de învăţăm</w:t>
            </w:r>
            <w:r w:rsidR="00055D63">
              <w:rPr>
                <w:rFonts w:ascii="Times New Roman" w:eastAsia="Times New Roman" w:hAnsi="Times New Roman" w:cs="Times New Roman"/>
                <w:sz w:val="16"/>
                <w:szCs w:val="16"/>
              </w:rPr>
              <w:t>â</w:t>
            </w:r>
            <w:r w:rsidRPr="00CB5F81">
              <w:rPr>
                <w:rFonts w:ascii="Times New Roman" w:eastAsia="Times New Roman" w:hAnsi="Times New Roman" w:cs="Times New Roman"/>
                <w:sz w:val="16"/>
                <w:szCs w:val="16"/>
              </w:rPr>
              <w:t xml:space="preserve">nt private </w:t>
            </w:r>
            <w:r w:rsidR="00CA2837" w:rsidRPr="00CB5F81">
              <w:rPr>
                <w:rFonts w:ascii="Times New Roman" w:eastAsia="Times New Roman" w:hAnsi="Times New Roman" w:cs="Times New Roman"/>
                <w:sz w:val="16"/>
                <w:szCs w:val="16"/>
              </w:rPr>
              <w:t>de impozit</w:t>
            </w:r>
            <w:r w:rsidR="00CA2837">
              <w:rPr>
                <w:rFonts w:ascii="Times New Roman" w:eastAsia="Times New Roman" w:hAnsi="Times New Roman" w:cs="Times New Roman"/>
                <w:sz w:val="16"/>
                <w:szCs w:val="16"/>
              </w:rPr>
              <w:t>ul</w:t>
            </w:r>
            <w:r w:rsidR="00CA2837" w:rsidRPr="00CB5F81">
              <w:rPr>
                <w:rFonts w:ascii="Times New Roman" w:eastAsia="Times New Roman" w:hAnsi="Times New Roman" w:cs="Times New Roman"/>
                <w:sz w:val="16"/>
                <w:szCs w:val="16"/>
              </w:rPr>
              <w:t xml:space="preserve"> </w:t>
            </w:r>
            <w:r w:rsidRPr="00CB5F81">
              <w:rPr>
                <w:rFonts w:ascii="Times New Roman" w:eastAsia="Times New Roman" w:hAnsi="Times New Roman" w:cs="Times New Roman"/>
                <w:sz w:val="16"/>
                <w:szCs w:val="16"/>
              </w:rPr>
              <w:t>pe venitul obţinut din desfăşurarea nemijlocită a procesului de învăţăm</w:t>
            </w:r>
            <w:r w:rsidR="00CA2837">
              <w:rPr>
                <w:rFonts w:ascii="Times New Roman" w:eastAsia="Times New Roman" w:hAnsi="Times New Roman" w:cs="Times New Roman"/>
                <w:sz w:val="16"/>
                <w:szCs w:val="16"/>
              </w:rPr>
              <w:t>â</w:t>
            </w:r>
            <w:r w:rsidRPr="00CB5F81">
              <w:rPr>
                <w:rFonts w:ascii="Times New Roman" w:eastAsia="Times New Roman" w:hAnsi="Times New Roman" w:cs="Times New Roman"/>
                <w:sz w:val="16"/>
                <w:szCs w:val="16"/>
              </w:rPr>
              <w:t>nt conform Codului educaţiei</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CFIV056</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art.51</w:t>
            </w:r>
            <w:r w:rsidRPr="00CB5F81">
              <w:rPr>
                <w:rFonts w:ascii="Times New Roman" w:eastAsia="Times New Roman" w:hAnsi="Times New Roman" w:cs="Times New Roman"/>
                <w:sz w:val="12"/>
                <w:szCs w:val="12"/>
                <w:vertAlign w:val="superscript"/>
              </w:rPr>
              <w:t>3</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160,336,420.81</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191,927,781.57</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-169,056,657.62</w:t>
            </w:r>
          </w:p>
        </w:tc>
      </w:tr>
      <w:tr w:rsidR="00040BCB" w:rsidRPr="00CB5F81" w:rsidTr="007D6CDF">
        <w:trPr>
          <w:trHeight w:val="163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10</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Rezidenţii care au investit în mijloacele fixe ale întreprinderilor lor şi/sau în dezvoltarea infrastructurii zonei economice libere un capital echivalent cu cel puţin 5</w:t>
            </w:r>
            <w:r w:rsidR="00CA2837">
              <w:rPr>
                <w:rFonts w:ascii="Times New Roman" w:eastAsia="Times New Roman" w:hAnsi="Times New Roman" w:cs="Times New Roman"/>
                <w:sz w:val="16"/>
                <w:szCs w:val="16"/>
              </w:rPr>
              <w:t>,0</w:t>
            </w:r>
            <w:r w:rsidRPr="00CB5F81">
              <w:rPr>
                <w:rFonts w:ascii="Times New Roman" w:eastAsia="Times New Roman" w:hAnsi="Times New Roman" w:cs="Times New Roman"/>
                <w:sz w:val="16"/>
                <w:szCs w:val="16"/>
              </w:rPr>
              <w:t xml:space="preserve"> milioane de dolari SUA s</w:t>
            </w:r>
            <w:r w:rsidR="00CA2837">
              <w:rPr>
                <w:rFonts w:ascii="Times New Roman" w:eastAsia="Times New Roman" w:hAnsi="Times New Roman" w:cs="Times New Roman"/>
                <w:sz w:val="16"/>
                <w:szCs w:val="16"/>
              </w:rPr>
              <w:t>u</w:t>
            </w:r>
            <w:r w:rsidRPr="00CB5F81">
              <w:rPr>
                <w:rFonts w:ascii="Times New Roman" w:eastAsia="Times New Roman" w:hAnsi="Times New Roman" w:cs="Times New Roman"/>
                <w:sz w:val="16"/>
                <w:szCs w:val="16"/>
              </w:rPr>
              <w:t>nt scutiţi, pe o perioadă de 5 ani, încep</w:t>
            </w:r>
            <w:r w:rsidR="00CA2837">
              <w:rPr>
                <w:rFonts w:ascii="Times New Roman" w:eastAsia="Times New Roman" w:hAnsi="Times New Roman" w:cs="Times New Roman"/>
                <w:sz w:val="16"/>
                <w:szCs w:val="16"/>
              </w:rPr>
              <w:t>â</w:t>
            </w:r>
            <w:r w:rsidRPr="00CB5F81">
              <w:rPr>
                <w:rFonts w:ascii="Times New Roman" w:eastAsia="Times New Roman" w:hAnsi="Times New Roman" w:cs="Times New Roman"/>
                <w:sz w:val="16"/>
                <w:szCs w:val="16"/>
              </w:rPr>
              <w:t xml:space="preserve">nd cu trimestrul imediat următor trimestrului în care a fost atins volumul indicat de investiţii, de plata impozitului pe venitul de la exportul în afara </w:t>
            </w:r>
            <w:r w:rsidRPr="00CB5F81">
              <w:rPr>
                <w:rFonts w:ascii="Times New Roman" w:eastAsia="Times New Roman" w:hAnsi="Times New Roman" w:cs="Times New Roman"/>
                <w:sz w:val="16"/>
                <w:szCs w:val="16"/>
              </w:rPr>
              <w:lastRenderedPageBreak/>
              <w:t>teritoriului vamal al Republicii Moldova al mărfurilor (serviciilor) produse în zona economică liberă</w:t>
            </w:r>
            <w:r w:rsidR="00CA2837">
              <w:rPr>
                <w:rFonts w:ascii="Times New Roman" w:eastAsia="Times New Roman" w:hAnsi="Times New Roman" w:cs="Times New Roman"/>
                <w:sz w:val="16"/>
                <w:szCs w:val="16"/>
              </w:rPr>
              <w:t>,</w:t>
            </w:r>
            <w:r w:rsidRPr="00CB5F81">
              <w:rPr>
                <w:rFonts w:ascii="Times New Roman" w:eastAsia="Times New Roman" w:hAnsi="Times New Roman" w:cs="Times New Roman"/>
                <w:sz w:val="16"/>
                <w:szCs w:val="16"/>
              </w:rPr>
              <w:t xml:space="preserve"> sau de la livrarea mărfurilor (serviciilor) produse în zona liberă către alţi rezidenţi ai zonelor economice libere pentru mărfurile (serviciile) orientate spre export</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lastRenderedPageBreak/>
              <w:t>CFIV049</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art.49 lit.</w:t>
            </w:r>
            <w:r w:rsidR="00072610">
              <w:rPr>
                <w:rFonts w:ascii="Times New Roman" w:eastAsia="Times New Roman" w:hAnsi="Times New Roman" w:cs="Times New Roman"/>
                <w:sz w:val="12"/>
                <w:szCs w:val="12"/>
              </w:rPr>
              <w:t xml:space="preserve"> </w:t>
            </w:r>
            <w:r w:rsidRPr="00CB5F81">
              <w:rPr>
                <w:rFonts w:ascii="Times New Roman" w:eastAsia="Times New Roman" w:hAnsi="Times New Roman" w:cs="Times New Roman"/>
                <w:sz w:val="12"/>
                <w:szCs w:val="12"/>
              </w:rPr>
              <w:t>d)</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16,377,598.15</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16,377,598.15</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072610"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040BCB" w:rsidRPr="00CB5F81" w:rsidTr="007D6CDF">
        <w:trPr>
          <w:trHeight w:val="1020"/>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11</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Impozitul pe venitul rezidenţilor obţinut de la exportul în afara teritoriului vamal al Republicii Moldova al mărfurilor (serviciilor) produse în zona economică liberă sau obţinut de la livrarea mărfurilor (serviciilor) produse în zona economică liberă către alţi rezidenţi ai zonelor economice libere pentru mărfurile (serviciile) orientate spre export se percepe în proporţie de 50% din cota stabilită în Republica Moldova</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CFIV046</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art.49 lit.</w:t>
            </w:r>
            <w:r w:rsidR="00072610">
              <w:rPr>
                <w:rFonts w:ascii="Times New Roman" w:eastAsia="Times New Roman" w:hAnsi="Times New Roman" w:cs="Times New Roman"/>
                <w:sz w:val="12"/>
                <w:szCs w:val="12"/>
              </w:rPr>
              <w:t xml:space="preserve"> </w:t>
            </w:r>
            <w:r w:rsidRPr="00CB5F81">
              <w:rPr>
                <w:rFonts w:ascii="Times New Roman" w:eastAsia="Times New Roman" w:hAnsi="Times New Roman" w:cs="Times New Roman"/>
                <w:sz w:val="12"/>
                <w:szCs w:val="12"/>
              </w:rPr>
              <w:t>a)</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13,738,097.57</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13,810,787.27</w:t>
            </w:r>
          </w:p>
        </w:tc>
        <w:tc>
          <w:tcPr>
            <w:tcW w:w="1379" w:type="dxa"/>
            <w:tcBorders>
              <w:top w:val="nil"/>
              <w:left w:val="single" w:sz="4" w:space="0" w:color="auto"/>
              <w:bottom w:val="single" w:sz="4" w:space="0" w:color="auto"/>
              <w:right w:val="single" w:sz="8" w:space="0" w:color="auto"/>
            </w:tcBorders>
            <w:shd w:val="clear" w:color="auto" w:fill="auto"/>
            <w:hideMark/>
          </w:tcPr>
          <w:p w:rsidR="002D760E" w:rsidRPr="00CB5F81" w:rsidRDefault="002D760E" w:rsidP="007B6C37">
            <w:pPr>
              <w:spacing w:after="0" w:line="240" w:lineRule="auto"/>
              <w:jc w:val="center"/>
              <w:rPr>
                <w:rFonts w:ascii="Calibri" w:eastAsia="Times New Roman" w:hAnsi="Calibri" w:cs="Calibri"/>
                <w:color w:val="000000"/>
                <w:sz w:val="14"/>
                <w:szCs w:val="14"/>
              </w:rPr>
            </w:pPr>
            <w:r w:rsidRPr="00CB5F81">
              <w:rPr>
                <w:rFonts w:ascii="Calibri" w:eastAsia="Times New Roman" w:hAnsi="Calibri" w:cs="Calibri"/>
                <w:color w:val="000000"/>
                <w:sz w:val="14"/>
                <w:szCs w:val="14"/>
              </w:rPr>
              <w:t xml:space="preserve">Facilitate abrogată prin Legea </w:t>
            </w:r>
            <w:r w:rsidR="00072610">
              <w:rPr>
                <w:rFonts w:ascii="Calibri" w:eastAsia="Times New Roman" w:hAnsi="Calibri" w:cs="Calibri"/>
                <w:color w:val="000000"/>
                <w:sz w:val="14"/>
                <w:szCs w:val="14"/>
              </w:rPr>
              <w:t>nr.</w:t>
            </w:r>
            <w:r w:rsidRPr="00CB5F81">
              <w:rPr>
                <w:rFonts w:ascii="Calibri" w:eastAsia="Times New Roman" w:hAnsi="Calibri" w:cs="Calibri"/>
                <w:color w:val="000000"/>
                <w:sz w:val="14"/>
                <w:szCs w:val="14"/>
              </w:rPr>
              <w:t>257 din 16.12.</w:t>
            </w:r>
            <w:r w:rsidR="00072610">
              <w:rPr>
                <w:rFonts w:ascii="Calibri" w:eastAsia="Times New Roman" w:hAnsi="Calibri" w:cs="Calibri"/>
                <w:color w:val="000000"/>
                <w:sz w:val="14"/>
                <w:szCs w:val="14"/>
              </w:rPr>
              <w:t>20</w:t>
            </w:r>
            <w:r w:rsidRPr="00CB5F81">
              <w:rPr>
                <w:rFonts w:ascii="Calibri" w:eastAsia="Times New Roman" w:hAnsi="Calibri" w:cs="Calibri"/>
                <w:color w:val="000000"/>
                <w:sz w:val="14"/>
                <w:szCs w:val="14"/>
              </w:rPr>
              <w:t>20,</w:t>
            </w:r>
            <w:r w:rsidR="00EC1EAF">
              <w:rPr>
                <w:rFonts w:ascii="Calibri" w:eastAsia="Times New Roman" w:hAnsi="Calibri" w:cs="Calibri"/>
                <w:color w:val="000000"/>
                <w:sz w:val="14"/>
                <w:szCs w:val="14"/>
              </w:rPr>
              <w:t xml:space="preserve"> </w:t>
            </w:r>
            <w:r w:rsidRPr="00CB5F81">
              <w:rPr>
                <w:rFonts w:ascii="Calibri" w:eastAsia="Times New Roman" w:hAnsi="Calibri" w:cs="Calibri"/>
                <w:color w:val="000000"/>
                <w:sz w:val="14"/>
                <w:szCs w:val="14"/>
              </w:rPr>
              <w:t>în vigoare din 01.05.</w:t>
            </w:r>
            <w:r w:rsidR="00072610">
              <w:rPr>
                <w:rFonts w:ascii="Calibri" w:eastAsia="Times New Roman" w:hAnsi="Calibri" w:cs="Calibri"/>
                <w:color w:val="000000"/>
                <w:sz w:val="14"/>
                <w:szCs w:val="14"/>
              </w:rPr>
              <w:t>20</w:t>
            </w:r>
            <w:r w:rsidRPr="00CB5F81">
              <w:rPr>
                <w:rFonts w:ascii="Calibri" w:eastAsia="Times New Roman" w:hAnsi="Calibri" w:cs="Calibri"/>
                <w:color w:val="000000"/>
                <w:sz w:val="14"/>
                <w:szCs w:val="14"/>
              </w:rPr>
              <w:t xml:space="preserve">21 </w:t>
            </w:r>
          </w:p>
        </w:tc>
      </w:tr>
      <w:tr w:rsidR="00040BCB" w:rsidRPr="00CB5F81" w:rsidTr="007D6CDF">
        <w:trPr>
          <w:trHeight w:val="37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12</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Sunt scutite de impozit asociaţiile de economii şi împrumut</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CFIV059</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art.53</w:t>
            </w:r>
            <w:r w:rsidRPr="00CB5F81">
              <w:rPr>
                <w:rFonts w:ascii="Times New Roman" w:eastAsia="Times New Roman" w:hAnsi="Times New Roman" w:cs="Times New Roman"/>
                <w:sz w:val="12"/>
                <w:szCs w:val="12"/>
                <w:vertAlign w:val="superscript"/>
              </w:rPr>
              <w:t>2</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11,807,537.15</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11,828,326.89</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-5,262,627.92</w:t>
            </w: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13</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Sunt scutite de impozit sursele financiare ale administraţiei zonei economice libere prevăzute la art. 5 alin. (4) din Legea nr. 440-XV din 27 iulie 2001 cu privire la zonele economice libere</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CFIV055</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art.51</w:t>
            </w:r>
            <w:r w:rsidRPr="00CB5F81">
              <w:rPr>
                <w:rFonts w:ascii="Times New Roman" w:eastAsia="Times New Roman" w:hAnsi="Times New Roman" w:cs="Times New Roman"/>
                <w:sz w:val="12"/>
                <w:szCs w:val="12"/>
                <w:vertAlign w:val="superscript"/>
              </w:rPr>
              <w:t>2</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294,531.43</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350,706.07</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816"/>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14</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Sunt scutite de impozit întreprinderile create pentru realizarea scopurilor statutare ale societăţilor orbilor, surzilor şi invalizilor</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CFIV058</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art.53</w:t>
            </w:r>
            <w:r w:rsidRPr="00CB5F81">
              <w:rPr>
                <w:rFonts w:ascii="Times New Roman" w:eastAsia="Times New Roman" w:hAnsi="Times New Roman" w:cs="Times New Roman"/>
                <w:sz w:val="12"/>
                <w:szCs w:val="12"/>
                <w:vertAlign w:val="superscript"/>
              </w:rPr>
              <w:t>1</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271,567.17</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271,567.17</w:t>
            </w:r>
          </w:p>
        </w:tc>
        <w:tc>
          <w:tcPr>
            <w:tcW w:w="1379" w:type="dxa"/>
            <w:tcBorders>
              <w:top w:val="nil"/>
              <w:left w:val="single" w:sz="4" w:space="0" w:color="auto"/>
              <w:bottom w:val="single" w:sz="4" w:space="0" w:color="auto"/>
              <w:right w:val="single" w:sz="8" w:space="0" w:color="auto"/>
            </w:tcBorders>
            <w:shd w:val="clear" w:color="auto" w:fill="auto"/>
            <w:hideMark/>
          </w:tcPr>
          <w:p w:rsidR="002D760E" w:rsidRPr="00CB5F81" w:rsidRDefault="002D760E" w:rsidP="007B6C37">
            <w:pPr>
              <w:spacing w:after="0" w:line="240" w:lineRule="auto"/>
              <w:jc w:val="center"/>
              <w:rPr>
                <w:rFonts w:ascii="Calibri" w:eastAsia="Times New Roman" w:hAnsi="Calibri" w:cs="Calibri"/>
                <w:color w:val="000000"/>
                <w:sz w:val="14"/>
                <w:szCs w:val="14"/>
              </w:rPr>
            </w:pPr>
            <w:r w:rsidRPr="00CB5F81">
              <w:rPr>
                <w:rFonts w:ascii="Calibri" w:eastAsia="Times New Roman" w:hAnsi="Calibri" w:cs="Calibri"/>
                <w:color w:val="000000"/>
                <w:sz w:val="14"/>
                <w:szCs w:val="14"/>
              </w:rPr>
              <w:t xml:space="preserve">Facilitate abrogată prin Legea </w:t>
            </w:r>
            <w:r w:rsidR="00072610">
              <w:rPr>
                <w:rFonts w:ascii="Calibri" w:eastAsia="Times New Roman" w:hAnsi="Calibri" w:cs="Calibri"/>
                <w:color w:val="000000"/>
                <w:sz w:val="14"/>
                <w:szCs w:val="14"/>
              </w:rPr>
              <w:t>nr.</w:t>
            </w:r>
            <w:r w:rsidRPr="00CB5F81">
              <w:rPr>
                <w:rFonts w:ascii="Calibri" w:eastAsia="Times New Roman" w:hAnsi="Calibri" w:cs="Calibri"/>
                <w:color w:val="000000"/>
                <w:sz w:val="14"/>
                <w:szCs w:val="14"/>
              </w:rPr>
              <w:t>257 din 16.12.</w:t>
            </w:r>
            <w:r w:rsidR="00072610">
              <w:rPr>
                <w:rFonts w:ascii="Calibri" w:eastAsia="Times New Roman" w:hAnsi="Calibri" w:cs="Calibri"/>
                <w:color w:val="000000"/>
                <w:sz w:val="14"/>
                <w:szCs w:val="14"/>
              </w:rPr>
              <w:t>20</w:t>
            </w:r>
            <w:r w:rsidRPr="00CB5F81">
              <w:rPr>
                <w:rFonts w:ascii="Calibri" w:eastAsia="Times New Roman" w:hAnsi="Calibri" w:cs="Calibri"/>
                <w:color w:val="000000"/>
                <w:sz w:val="14"/>
                <w:szCs w:val="14"/>
              </w:rPr>
              <w:t>20,</w:t>
            </w:r>
            <w:r w:rsidR="00EC1EAF">
              <w:rPr>
                <w:rFonts w:ascii="Calibri" w:eastAsia="Times New Roman" w:hAnsi="Calibri" w:cs="Calibri"/>
                <w:color w:val="000000"/>
                <w:sz w:val="14"/>
                <w:szCs w:val="14"/>
              </w:rPr>
              <w:t xml:space="preserve"> </w:t>
            </w:r>
            <w:r w:rsidRPr="00CB5F81">
              <w:rPr>
                <w:rFonts w:ascii="Calibri" w:eastAsia="Times New Roman" w:hAnsi="Calibri" w:cs="Calibri"/>
                <w:color w:val="000000"/>
                <w:sz w:val="14"/>
                <w:szCs w:val="14"/>
              </w:rPr>
              <w:t>în vigoare din 01.05.</w:t>
            </w:r>
            <w:r w:rsidR="00072610">
              <w:rPr>
                <w:rFonts w:ascii="Calibri" w:eastAsia="Times New Roman" w:hAnsi="Calibri" w:cs="Calibri"/>
                <w:color w:val="000000"/>
                <w:sz w:val="14"/>
                <w:szCs w:val="14"/>
              </w:rPr>
              <w:t>20</w:t>
            </w:r>
            <w:r w:rsidRPr="00CB5F81">
              <w:rPr>
                <w:rFonts w:ascii="Calibri" w:eastAsia="Times New Roman" w:hAnsi="Calibri" w:cs="Calibri"/>
                <w:color w:val="000000"/>
                <w:sz w:val="14"/>
                <w:szCs w:val="14"/>
              </w:rPr>
              <w:t xml:space="preserve">21 </w:t>
            </w: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15</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Venitul fondului nestatal de pensii nu este supus impozitării, însă orice plăţi efectuate din acest fond se includ în venitul brut al beneficiarului</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CFIV062</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art.68</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31,743.73</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31,743.73</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072610"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16</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Impozitul pe venitul de la activitatea rezidenţilor în zona economică liberă, cu excepţia celei stabilite la lit. a), se percepe în proporţie de 75% din cota stabilită în Republica Moldova</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CFIV047</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art.49 lit.</w:t>
            </w:r>
            <w:r w:rsidR="00072610">
              <w:rPr>
                <w:rFonts w:ascii="Times New Roman" w:eastAsia="Times New Roman" w:hAnsi="Times New Roman" w:cs="Times New Roman"/>
                <w:sz w:val="12"/>
                <w:szCs w:val="12"/>
              </w:rPr>
              <w:t xml:space="preserve"> </w:t>
            </w:r>
            <w:r w:rsidRPr="00CB5F81">
              <w:rPr>
                <w:rFonts w:ascii="Times New Roman" w:eastAsia="Times New Roman" w:hAnsi="Times New Roman" w:cs="Times New Roman"/>
                <w:sz w:val="12"/>
                <w:szCs w:val="12"/>
              </w:rPr>
              <w:t>b)</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1,325,592.58</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1,327,514.89</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17</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Sunt scutite de impozit organizaţiile sindicale şi patronale</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CFIV060</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art.53</w:t>
            </w:r>
            <w:r w:rsidRPr="00CB5F81">
              <w:rPr>
                <w:rFonts w:ascii="Times New Roman" w:eastAsia="Times New Roman" w:hAnsi="Times New Roman" w:cs="Times New Roman"/>
                <w:sz w:val="12"/>
                <w:szCs w:val="12"/>
                <w:vertAlign w:val="superscript"/>
              </w:rPr>
              <w:t>3</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595,614.48</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1,082,741.38</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163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18</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Rezidenţii care au investit în mijloacele fixe ale întreprinderilor lor şi/sau în dezvoltarea infrastructurii zonei economice libere un capital echivalent cu cel puţin un milion de dolari SUA s</w:t>
            </w:r>
            <w:r w:rsidR="00462DD4">
              <w:rPr>
                <w:rFonts w:ascii="Times New Roman" w:eastAsia="Times New Roman" w:hAnsi="Times New Roman" w:cs="Times New Roman"/>
                <w:sz w:val="16"/>
                <w:szCs w:val="16"/>
              </w:rPr>
              <w:t>u</w:t>
            </w:r>
            <w:r w:rsidRPr="00CB5F81">
              <w:rPr>
                <w:rFonts w:ascii="Times New Roman" w:eastAsia="Times New Roman" w:hAnsi="Times New Roman" w:cs="Times New Roman"/>
                <w:sz w:val="16"/>
                <w:szCs w:val="16"/>
              </w:rPr>
              <w:t>nt scutiţi, pe o perioadă de 3 ani, încep</w:t>
            </w:r>
            <w:r w:rsidR="00462DD4">
              <w:rPr>
                <w:rFonts w:ascii="Times New Roman" w:eastAsia="Times New Roman" w:hAnsi="Times New Roman" w:cs="Times New Roman"/>
                <w:sz w:val="16"/>
                <w:szCs w:val="16"/>
              </w:rPr>
              <w:t>â</w:t>
            </w:r>
            <w:r w:rsidRPr="00CB5F81">
              <w:rPr>
                <w:rFonts w:ascii="Times New Roman" w:eastAsia="Times New Roman" w:hAnsi="Times New Roman" w:cs="Times New Roman"/>
                <w:sz w:val="16"/>
                <w:szCs w:val="16"/>
              </w:rPr>
              <w:t>nd cu trimestrul imediat următor trimestrului în care a fost atins volumul indicat de investiţii, de plata impozitului pe venitul de la exportul în afara teritoriului vamal al Republicii Moldova al mărfurilor (serviciilor) produse în zona economică liberă sau de la livrarea mărfurilor (serviciilor) produse în zona liberă către alţi rezidenţi ai zonelor economice libere pentru mărfurile (serviciile) orientate spre export</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CFIV048</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art.49 lit.</w:t>
            </w:r>
            <w:r w:rsidR="00072610">
              <w:rPr>
                <w:rFonts w:ascii="Times New Roman" w:eastAsia="Times New Roman" w:hAnsi="Times New Roman" w:cs="Times New Roman"/>
                <w:sz w:val="12"/>
                <w:szCs w:val="12"/>
              </w:rPr>
              <w:t xml:space="preserve"> </w:t>
            </w:r>
            <w:r w:rsidRPr="00CB5F81">
              <w:rPr>
                <w:rFonts w:ascii="Times New Roman" w:eastAsia="Times New Roman" w:hAnsi="Times New Roman" w:cs="Times New Roman"/>
                <w:sz w:val="12"/>
                <w:szCs w:val="12"/>
              </w:rPr>
              <w:t>c)</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1,395,049.79</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2,024,352.41</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696"/>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19</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Se scutesc de plata impozitului</w:t>
            </w:r>
            <w:r w:rsidRPr="00CB5F81">
              <w:rPr>
                <w:rFonts w:ascii="Times New Roman" w:eastAsia="Times New Roman" w:hAnsi="Times New Roman" w:cs="Times New Roman"/>
                <w:i/>
                <w:iCs/>
                <w:sz w:val="16"/>
                <w:szCs w:val="16"/>
              </w:rPr>
              <w:t xml:space="preserve"> </w:t>
            </w:r>
            <w:r w:rsidRPr="00CB5F81">
              <w:rPr>
                <w:rFonts w:ascii="Times New Roman" w:eastAsia="Times New Roman" w:hAnsi="Times New Roman" w:cs="Times New Roman"/>
                <w:sz w:val="16"/>
                <w:szCs w:val="16"/>
              </w:rPr>
              <w:t>atelierele curative de producţie (de muncă) de pe l</w:t>
            </w:r>
            <w:r w:rsidR="00462DD4">
              <w:rPr>
                <w:rFonts w:ascii="Times New Roman" w:eastAsia="Times New Roman" w:hAnsi="Times New Roman" w:cs="Times New Roman"/>
                <w:sz w:val="16"/>
                <w:szCs w:val="16"/>
              </w:rPr>
              <w:t>â</w:t>
            </w:r>
            <w:r w:rsidRPr="00CB5F81">
              <w:rPr>
                <w:rFonts w:ascii="Times New Roman" w:eastAsia="Times New Roman" w:hAnsi="Times New Roman" w:cs="Times New Roman"/>
                <w:sz w:val="16"/>
                <w:szCs w:val="16"/>
              </w:rPr>
              <w:t>ngă spitalele de psihiatrie ale Ministerului Sănătăţii, în care muncesc persoane handicapate</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L1164IV002</w:t>
            </w:r>
          </w:p>
        </w:tc>
        <w:tc>
          <w:tcPr>
            <w:tcW w:w="1238" w:type="dxa"/>
            <w:tcBorders>
              <w:top w:val="nil"/>
              <w:left w:val="nil"/>
              <w:bottom w:val="single" w:sz="4" w:space="0" w:color="auto"/>
              <w:right w:val="single" w:sz="4" w:space="0" w:color="auto"/>
            </w:tcBorders>
            <w:shd w:val="clear" w:color="auto" w:fill="auto"/>
            <w:hideMark/>
          </w:tcPr>
          <w:p w:rsidR="002D760E" w:rsidRPr="00E434B9" w:rsidRDefault="002D760E" w:rsidP="007B6C37">
            <w:pPr>
              <w:spacing w:after="0" w:line="240" w:lineRule="auto"/>
              <w:jc w:val="center"/>
              <w:rPr>
                <w:rFonts w:ascii="Times New Roman" w:eastAsia="Times New Roman" w:hAnsi="Times New Roman" w:cs="Times New Roman"/>
                <w:sz w:val="12"/>
                <w:szCs w:val="12"/>
              </w:rPr>
            </w:pPr>
            <w:r w:rsidRPr="00E434B9">
              <w:rPr>
                <w:rFonts w:ascii="Times New Roman" w:eastAsia="Times New Roman" w:hAnsi="Times New Roman" w:cs="Times New Roman"/>
                <w:sz w:val="12"/>
                <w:szCs w:val="12"/>
              </w:rPr>
              <w:t>Legea nr.1164-XIII din 24.04.</w:t>
            </w:r>
            <w:r w:rsidR="00836D76" w:rsidRPr="00E434B9">
              <w:rPr>
                <w:rFonts w:ascii="Times New Roman" w:eastAsia="Times New Roman" w:hAnsi="Times New Roman" w:cs="Times New Roman"/>
                <w:sz w:val="12"/>
                <w:szCs w:val="12"/>
              </w:rPr>
              <w:t>19</w:t>
            </w:r>
            <w:r w:rsidRPr="00E434B9">
              <w:rPr>
                <w:rFonts w:ascii="Times New Roman" w:eastAsia="Times New Roman" w:hAnsi="Times New Roman" w:cs="Times New Roman"/>
                <w:sz w:val="12"/>
                <w:szCs w:val="12"/>
              </w:rPr>
              <w:t>97, art.24 alin.(15) lit.</w:t>
            </w:r>
            <w:r w:rsidR="00072610" w:rsidRPr="00E434B9">
              <w:rPr>
                <w:rFonts w:ascii="Times New Roman" w:eastAsia="Times New Roman" w:hAnsi="Times New Roman" w:cs="Times New Roman"/>
                <w:sz w:val="12"/>
                <w:szCs w:val="12"/>
              </w:rPr>
              <w:t xml:space="preserve"> </w:t>
            </w:r>
            <w:r w:rsidRPr="00E434B9">
              <w:rPr>
                <w:rFonts w:ascii="Times New Roman" w:eastAsia="Times New Roman" w:hAnsi="Times New Roman" w:cs="Times New Roman"/>
                <w:sz w:val="12"/>
                <w:szCs w:val="12"/>
              </w:rPr>
              <w:t>a)</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63,808.12</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63,808.12</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072610"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040BCB" w:rsidRPr="00CB5F81" w:rsidTr="007D6CDF">
        <w:trPr>
          <w:trHeight w:val="109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20</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Se scutesc de plata impozitului</w:t>
            </w:r>
            <w:r w:rsidR="00EC1EAF">
              <w:rPr>
                <w:rFonts w:ascii="Times New Roman" w:eastAsia="Times New Roman" w:hAnsi="Times New Roman" w:cs="Times New Roman"/>
                <w:i/>
                <w:iCs/>
                <w:sz w:val="16"/>
                <w:szCs w:val="16"/>
              </w:rPr>
              <w:t xml:space="preserve"> </w:t>
            </w:r>
            <w:r w:rsidRPr="00CB5F81">
              <w:rPr>
                <w:rFonts w:ascii="Times New Roman" w:eastAsia="Times New Roman" w:hAnsi="Times New Roman" w:cs="Times New Roman"/>
                <w:sz w:val="16"/>
                <w:szCs w:val="16"/>
              </w:rPr>
              <w:t>oficiile cadastrale teritoriale – pe venitul destinat creării şi funcţionării fondului de garanţie al Agenţiei Relaţii Funciare şi Cadastru, precum şi pe venitul destinat acumulării de mijloace prevăzute pentru acoperirea cheltuielilor de deservire şi rambursare a creditului extern acordat în vederea implementării Primului Proiect de Cadastru</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L1164IV005</w:t>
            </w:r>
          </w:p>
        </w:tc>
        <w:tc>
          <w:tcPr>
            <w:tcW w:w="1238" w:type="dxa"/>
            <w:tcBorders>
              <w:top w:val="nil"/>
              <w:left w:val="nil"/>
              <w:bottom w:val="single" w:sz="4" w:space="0" w:color="auto"/>
              <w:right w:val="single" w:sz="4" w:space="0" w:color="auto"/>
            </w:tcBorders>
            <w:shd w:val="clear" w:color="auto" w:fill="auto"/>
            <w:hideMark/>
          </w:tcPr>
          <w:p w:rsidR="002D760E" w:rsidRPr="00E434B9" w:rsidRDefault="002D760E" w:rsidP="007B6C37">
            <w:pPr>
              <w:spacing w:after="0" w:line="240" w:lineRule="auto"/>
              <w:jc w:val="center"/>
              <w:rPr>
                <w:rFonts w:ascii="Times New Roman" w:eastAsia="Times New Roman" w:hAnsi="Times New Roman" w:cs="Times New Roman"/>
                <w:sz w:val="12"/>
                <w:szCs w:val="12"/>
              </w:rPr>
            </w:pPr>
            <w:r w:rsidRPr="00E434B9">
              <w:rPr>
                <w:rFonts w:ascii="Times New Roman" w:eastAsia="Times New Roman" w:hAnsi="Times New Roman" w:cs="Times New Roman"/>
                <w:sz w:val="12"/>
                <w:szCs w:val="12"/>
              </w:rPr>
              <w:t>Legea nr.1164-XIII din 24.04.</w:t>
            </w:r>
            <w:r w:rsidR="00836D76" w:rsidRPr="00E434B9">
              <w:rPr>
                <w:rFonts w:ascii="Times New Roman" w:eastAsia="Times New Roman" w:hAnsi="Times New Roman" w:cs="Times New Roman"/>
                <w:sz w:val="12"/>
                <w:szCs w:val="12"/>
              </w:rPr>
              <w:t>19</w:t>
            </w:r>
            <w:r w:rsidRPr="00E434B9">
              <w:rPr>
                <w:rFonts w:ascii="Times New Roman" w:eastAsia="Times New Roman" w:hAnsi="Times New Roman" w:cs="Times New Roman"/>
                <w:sz w:val="12"/>
                <w:szCs w:val="12"/>
              </w:rPr>
              <w:t>97, art.24 alin.(15) lit.</w:t>
            </w:r>
            <w:r w:rsidR="00072610" w:rsidRPr="00E434B9">
              <w:rPr>
                <w:rFonts w:ascii="Times New Roman" w:eastAsia="Times New Roman" w:hAnsi="Times New Roman" w:cs="Times New Roman"/>
                <w:sz w:val="12"/>
                <w:szCs w:val="12"/>
              </w:rPr>
              <w:t xml:space="preserve"> </w:t>
            </w:r>
            <w:r w:rsidRPr="00E434B9">
              <w:rPr>
                <w:rFonts w:ascii="Times New Roman" w:eastAsia="Times New Roman" w:hAnsi="Times New Roman" w:cs="Times New Roman"/>
                <w:sz w:val="12"/>
                <w:szCs w:val="12"/>
              </w:rPr>
              <w:t>d)</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159,734.05</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171,383.05</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072610"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040BCB" w:rsidRPr="00CB5F81" w:rsidTr="007D6CDF">
        <w:trPr>
          <w:trHeight w:val="62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21</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Se scutesc de plata impozitului</w:t>
            </w:r>
            <w:r w:rsidR="00EC1EAF">
              <w:rPr>
                <w:rFonts w:ascii="Times New Roman" w:eastAsia="Times New Roman" w:hAnsi="Times New Roman" w:cs="Times New Roman"/>
                <w:i/>
                <w:iCs/>
                <w:sz w:val="16"/>
                <w:szCs w:val="16"/>
              </w:rPr>
              <w:t xml:space="preserve"> </w:t>
            </w:r>
            <w:r w:rsidRPr="00CB5F81">
              <w:rPr>
                <w:rFonts w:ascii="Times New Roman" w:eastAsia="Times New Roman" w:hAnsi="Times New Roman" w:cs="Times New Roman"/>
                <w:sz w:val="16"/>
                <w:szCs w:val="16"/>
              </w:rPr>
              <w:t>întreprinderile penitenciarelor</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L1164IV004</w:t>
            </w:r>
          </w:p>
        </w:tc>
        <w:tc>
          <w:tcPr>
            <w:tcW w:w="1238" w:type="dxa"/>
            <w:tcBorders>
              <w:top w:val="nil"/>
              <w:left w:val="nil"/>
              <w:bottom w:val="single" w:sz="4" w:space="0" w:color="auto"/>
              <w:right w:val="single" w:sz="4" w:space="0" w:color="auto"/>
            </w:tcBorders>
            <w:shd w:val="clear" w:color="000000" w:fill="FFFFFF"/>
            <w:hideMark/>
          </w:tcPr>
          <w:p w:rsidR="002D760E" w:rsidRPr="00E434B9" w:rsidRDefault="002D760E" w:rsidP="007B6C37">
            <w:pPr>
              <w:spacing w:after="0" w:line="240" w:lineRule="auto"/>
              <w:jc w:val="center"/>
              <w:rPr>
                <w:rFonts w:ascii="Times New Roman" w:eastAsia="Times New Roman" w:hAnsi="Times New Roman" w:cs="Times New Roman"/>
                <w:sz w:val="12"/>
                <w:szCs w:val="12"/>
              </w:rPr>
            </w:pPr>
            <w:r w:rsidRPr="00E434B9">
              <w:rPr>
                <w:rFonts w:ascii="Times New Roman" w:eastAsia="Times New Roman" w:hAnsi="Times New Roman" w:cs="Times New Roman"/>
                <w:sz w:val="12"/>
                <w:szCs w:val="12"/>
              </w:rPr>
              <w:t>Legea nr.1164-XIII din 24.04.</w:t>
            </w:r>
            <w:r w:rsidR="00836D76" w:rsidRPr="00E434B9">
              <w:rPr>
                <w:rFonts w:ascii="Times New Roman" w:eastAsia="Times New Roman" w:hAnsi="Times New Roman" w:cs="Times New Roman"/>
                <w:sz w:val="12"/>
                <w:szCs w:val="12"/>
              </w:rPr>
              <w:t>19</w:t>
            </w:r>
            <w:r w:rsidRPr="00E434B9">
              <w:rPr>
                <w:rFonts w:ascii="Times New Roman" w:eastAsia="Times New Roman" w:hAnsi="Times New Roman" w:cs="Times New Roman"/>
                <w:sz w:val="12"/>
                <w:szCs w:val="12"/>
              </w:rPr>
              <w:t>97, art.24 alin.(15) lit.</w:t>
            </w:r>
            <w:r w:rsidR="00072610" w:rsidRPr="00E434B9">
              <w:rPr>
                <w:rFonts w:ascii="Times New Roman" w:eastAsia="Times New Roman" w:hAnsi="Times New Roman" w:cs="Times New Roman"/>
                <w:sz w:val="12"/>
                <w:szCs w:val="12"/>
              </w:rPr>
              <w:t xml:space="preserve"> </w:t>
            </w:r>
            <w:r w:rsidRPr="00E434B9">
              <w:rPr>
                <w:rFonts w:ascii="Times New Roman" w:eastAsia="Times New Roman" w:hAnsi="Times New Roman" w:cs="Times New Roman"/>
                <w:sz w:val="12"/>
                <w:szCs w:val="12"/>
              </w:rPr>
              <w:t>c)</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181,047.00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181,047.00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816"/>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22</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Impozitul pe venitul rezidenţilor, provenit din activitatea desfăşurată pe teritoriul Portului Internaţional</w:t>
            </w:r>
            <w:r w:rsidR="00A80884">
              <w:rPr>
                <w:rFonts w:ascii="Times New Roman" w:eastAsia="Times New Roman" w:hAnsi="Times New Roman" w:cs="Times New Roman"/>
                <w:sz w:val="16"/>
                <w:szCs w:val="16"/>
              </w:rPr>
              <w:t xml:space="preserve"> Liber „Giurgiulești”</w:t>
            </w:r>
            <w:r w:rsidRPr="00CB5F81">
              <w:rPr>
                <w:rFonts w:ascii="Times New Roman" w:eastAsia="Times New Roman" w:hAnsi="Times New Roman" w:cs="Times New Roman"/>
                <w:sz w:val="16"/>
                <w:szCs w:val="16"/>
              </w:rPr>
              <w:t>, se percepe</w:t>
            </w:r>
            <w:r w:rsidR="00EC1EAF">
              <w:rPr>
                <w:rFonts w:ascii="Times New Roman" w:eastAsia="Times New Roman" w:hAnsi="Times New Roman" w:cs="Times New Roman"/>
                <w:sz w:val="16"/>
                <w:szCs w:val="16"/>
              </w:rPr>
              <w:t xml:space="preserve"> </w:t>
            </w:r>
            <w:r w:rsidRPr="00CB5F81">
              <w:rPr>
                <w:rFonts w:ascii="Times New Roman" w:eastAsia="Times New Roman" w:hAnsi="Times New Roman" w:cs="Times New Roman"/>
                <w:sz w:val="16"/>
                <w:szCs w:val="16"/>
              </w:rPr>
              <w:t>pentru perioa</w:t>
            </w:r>
            <w:r w:rsidR="00462DD4">
              <w:rPr>
                <w:rFonts w:ascii="Times New Roman" w:eastAsia="Times New Roman" w:hAnsi="Times New Roman" w:cs="Times New Roman"/>
                <w:sz w:val="16"/>
                <w:szCs w:val="16"/>
              </w:rPr>
              <w:t xml:space="preserve">da </w:t>
            </w:r>
            <w:r w:rsidRPr="00CB5F81">
              <w:rPr>
                <w:rFonts w:ascii="Times New Roman" w:eastAsia="Times New Roman" w:hAnsi="Times New Roman" w:cs="Times New Roman"/>
                <w:sz w:val="16"/>
                <w:szCs w:val="16"/>
              </w:rPr>
              <w:t>primilor 10 ani, încep</w:t>
            </w:r>
            <w:r w:rsidR="00462DD4">
              <w:rPr>
                <w:rFonts w:ascii="Times New Roman" w:eastAsia="Times New Roman" w:hAnsi="Times New Roman" w:cs="Times New Roman"/>
                <w:sz w:val="16"/>
                <w:szCs w:val="16"/>
              </w:rPr>
              <w:t>â</w:t>
            </w:r>
            <w:r w:rsidRPr="00CB5F81">
              <w:rPr>
                <w:rFonts w:ascii="Times New Roman" w:eastAsia="Times New Roman" w:hAnsi="Times New Roman" w:cs="Times New Roman"/>
                <w:sz w:val="16"/>
                <w:szCs w:val="16"/>
              </w:rPr>
              <w:t xml:space="preserve">nd cu prima perioadă fiscală ulterioară perioadei fiscale în care </w:t>
            </w:r>
            <w:r w:rsidRPr="00CB5F81">
              <w:rPr>
                <w:rFonts w:ascii="Times New Roman" w:eastAsia="Times New Roman" w:hAnsi="Times New Roman" w:cs="Times New Roman"/>
                <w:sz w:val="16"/>
                <w:szCs w:val="16"/>
              </w:rPr>
              <w:lastRenderedPageBreak/>
              <w:t>a fost înregistrat venitul impozabil – în mărime de 25% din cota stabilită a impozitului pe venit</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lastRenderedPageBreak/>
              <w:t>L8IV001</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Legea nr.8-XV din 17.02.2005, art.8 alin.(2) lit.</w:t>
            </w:r>
            <w:r w:rsidR="00072610">
              <w:rPr>
                <w:rFonts w:ascii="Times New Roman" w:eastAsia="Times New Roman" w:hAnsi="Times New Roman" w:cs="Times New Roman"/>
                <w:sz w:val="12"/>
                <w:szCs w:val="12"/>
              </w:rPr>
              <w:t xml:space="preserve"> </w:t>
            </w:r>
            <w:r w:rsidRPr="00CB5F81">
              <w:rPr>
                <w:rFonts w:ascii="Times New Roman" w:eastAsia="Times New Roman" w:hAnsi="Times New Roman" w:cs="Times New Roman"/>
                <w:sz w:val="12"/>
                <w:szCs w:val="12"/>
              </w:rPr>
              <w:t>a)</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1,691,522.80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1,691,522.80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2040"/>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23</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La calcularea impozitului pe venit, agenţii economici au dreptul la reducerea venitului impozabil cu o sumă calculată prin înmulţirea salariului mediu anual pe ţară din anul precedent anului fiscal de gestiune la creşterea numărului scriptic mediu al salariaţilor în anul fiscal de gestiune faţă de anul precedent, dar nu mai mare de venitul impozabil. Salariul mediu anual pe ţară în anul precedent se stabileşte în baza comunicatului Biroului Naţional de Statistică. Creşterea numărului scriptic mediu al salariaţilor în anul fiscal de gestiune faţă de anul precedent acestuia se determină ca depăşire a numărului scriptic mediu al salariaţilor în anul fiscal de gestiune faţă de numărul scriptic mediu al salariaţilor din anul precedent</w:t>
            </w:r>
            <w:r w:rsidR="008902F0">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L1164IV008</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Legea nr.1164-XIII din 24.04</w:t>
            </w:r>
            <w:r w:rsidRPr="00E434B9">
              <w:rPr>
                <w:rFonts w:ascii="Times New Roman" w:eastAsia="Times New Roman" w:hAnsi="Times New Roman" w:cs="Times New Roman"/>
                <w:sz w:val="12"/>
                <w:szCs w:val="12"/>
              </w:rPr>
              <w:t>.</w:t>
            </w:r>
            <w:r w:rsidR="00836D76" w:rsidRPr="00E434B9">
              <w:rPr>
                <w:rFonts w:ascii="Times New Roman" w:eastAsia="Times New Roman" w:hAnsi="Times New Roman" w:cs="Times New Roman"/>
                <w:sz w:val="12"/>
                <w:szCs w:val="12"/>
              </w:rPr>
              <w:t>19</w:t>
            </w:r>
            <w:r w:rsidRPr="00E434B9">
              <w:rPr>
                <w:rFonts w:ascii="Times New Roman" w:eastAsia="Times New Roman" w:hAnsi="Times New Roman" w:cs="Times New Roman"/>
                <w:sz w:val="12"/>
                <w:szCs w:val="12"/>
              </w:rPr>
              <w:t>97, art</w:t>
            </w:r>
            <w:r w:rsidRPr="00CB5F81">
              <w:rPr>
                <w:rFonts w:ascii="Times New Roman" w:eastAsia="Times New Roman" w:hAnsi="Times New Roman" w:cs="Times New Roman"/>
                <w:sz w:val="12"/>
                <w:szCs w:val="12"/>
              </w:rPr>
              <w:t>.24 alin.(16)</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2,169,296.24</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2,169,296.24</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040BCB" w:rsidRPr="00CB5F81" w:rsidTr="007D6CDF">
        <w:trPr>
          <w:trHeight w:val="244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24</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Rezidenți</w:t>
            </w:r>
            <w:r w:rsidR="00B578AD">
              <w:rPr>
                <w:rFonts w:ascii="Times New Roman" w:eastAsia="Times New Roman" w:hAnsi="Times New Roman" w:cs="Times New Roman"/>
                <w:sz w:val="16"/>
                <w:szCs w:val="16"/>
              </w:rPr>
              <w:t>i</w:t>
            </w:r>
            <w:r w:rsidRPr="00CB5F81">
              <w:rPr>
                <w:rFonts w:ascii="Times New Roman" w:eastAsia="Times New Roman" w:hAnsi="Times New Roman" w:cs="Times New Roman"/>
                <w:sz w:val="16"/>
                <w:szCs w:val="16"/>
              </w:rPr>
              <w:t xml:space="preserve"> ZEL care au beneficiat de scutirile prevăzute la lit. c) și </w:t>
            </w:r>
            <w:r w:rsidR="00B578AD">
              <w:rPr>
                <w:rFonts w:ascii="Times New Roman" w:eastAsia="Times New Roman" w:hAnsi="Times New Roman" w:cs="Times New Roman"/>
                <w:sz w:val="16"/>
                <w:szCs w:val="16"/>
              </w:rPr>
              <w:t>lit.</w:t>
            </w:r>
            <w:r w:rsidRPr="00CB5F81">
              <w:rPr>
                <w:rFonts w:ascii="Times New Roman" w:eastAsia="Times New Roman" w:hAnsi="Times New Roman" w:cs="Times New Roman"/>
                <w:sz w:val="16"/>
                <w:szCs w:val="16"/>
              </w:rPr>
              <w:t>d) și care investesc suplimentar în mijloace fixe ale întreprinderilor lor și/sau în dezvoltarea infrastructurii zonei economice libere un capital echivalent cu cel puțin 5</w:t>
            </w:r>
            <w:r w:rsidR="00B578AD">
              <w:rPr>
                <w:rFonts w:ascii="Times New Roman" w:eastAsia="Times New Roman" w:hAnsi="Times New Roman" w:cs="Times New Roman"/>
                <w:sz w:val="16"/>
                <w:szCs w:val="16"/>
              </w:rPr>
              <w:t>,0</w:t>
            </w:r>
            <w:r w:rsidRPr="00CB5F81">
              <w:rPr>
                <w:rFonts w:ascii="Times New Roman" w:eastAsia="Times New Roman" w:hAnsi="Times New Roman" w:cs="Times New Roman"/>
                <w:sz w:val="16"/>
                <w:szCs w:val="16"/>
              </w:rPr>
              <w:t xml:space="preserve"> milioane de dolari SUA – scutire pe un termen de 5 ani. Au dreptul să beneficieze în mod repetat de scutiri de plata impozitului pe venitul de la exportul în afara teritoriului vamal al Republicii Moldova al mărfurilor (serviciilor) produse în zona economică liberă sau de la livrarea mărfurilor (serviciilor) produse în zona economică liberă către alţi rezidenţi ai zonelor economice libere încep</w:t>
            </w:r>
            <w:r w:rsidR="00B578AD">
              <w:rPr>
                <w:rFonts w:ascii="Times New Roman" w:eastAsia="Times New Roman" w:hAnsi="Times New Roman" w:cs="Times New Roman"/>
                <w:sz w:val="16"/>
                <w:szCs w:val="16"/>
              </w:rPr>
              <w:t>â</w:t>
            </w:r>
            <w:r w:rsidRPr="00CB5F81">
              <w:rPr>
                <w:rFonts w:ascii="Times New Roman" w:eastAsia="Times New Roman" w:hAnsi="Times New Roman" w:cs="Times New Roman"/>
                <w:sz w:val="16"/>
                <w:szCs w:val="16"/>
              </w:rPr>
              <w:t>nd cu trimestrul următor în care a fost atins volumul de investiţii suplimentare, cu condiţia că numărul mediu de angajaţi înregistrat în anul calendaristic următor anului atingerii volumului de investiţii suplimentare va depăşi cu 20% numărul mediu de angajaţi înregistrat în anul calendaristic precedent atingerii volumului de investiţii suplimentare.</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CFIV052</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CF, art.49 lit. e)</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2,841,956.71</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2,841,956.71</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122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25</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Întreprinderile care au efectuat, în cadrul Acordului de investiţii „Cu privire la Portul Internaţional Liber „Giurgiuleşti”, investiţii capitale în mărime ce depăşeşte suma echivalentă cu 5</w:t>
            </w:r>
            <w:r w:rsidR="00B578AD">
              <w:rPr>
                <w:rFonts w:ascii="Times New Roman" w:eastAsia="Times New Roman" w:hAnsi="Times New Roman" w:cs="Times New Roman"/>
                <w:sz w:val="16"/>
                <w:szCs w:val="16"/>
              </w:rPr>
              <w:t>,0</w:t>
            </w:r>
            <w:r w:rsidRPr="00CB5F81">
              <w:rPr>
                <w:rFonts w:ascii="Times New Roman" w:eastAsia="Times New Roman" w:hAnsi="Times New Roman" w:cs="Times New Roman"/>
                <w:sz w:val="16"/>
                <w:szCs w:val="16"/>
              </w:rPr>
              <w:t xml:space="preserve"> milioane dolari SUA se scutesc de plata impozitului pe venit pe o perioadă de 5 ani consecutivi ulteriori perioadei fiscale în care a fost atins volumul indicat de investiţii capitale, încep</w:t>
            </w:r>
            <w:r w:rsidR="00B578AD">
              <w:rPr>
                <w:rFonts w:ascii="Times New Roman" w:eastAsia="Times New Roman" w:hAnsi="Times New Roman" w:cs="Times New Roman"/>
                <w:sz w:val="16"/>
                <w:szCs w:val="16"/>
              </w:rPr>
              <w:t>â</w:t>
            </w:r>
            <w:r w:rsidRPr="00CB5F81">
              <w:rPr>
                <w:rFonts w:ascii="Times New Roman" w:eastAsia="Times New Roman" w:hAnsi="Times New Roman" w:cs="Times New Roman"/>
                <w:sz w:val="16"/>
                <w:szCs w:val="16"/>
              </w:rPr>
              <w:t>nd cu prima perioadă fiscală în care acestea au declarat venit impozabil.</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L1164IV009</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Legea nr.1164-XIII din 24.04.</w:t>
            </w:r>
            <w:r w:rsidR="00072610">
              <w:rPr>
                <w:rFonts w:ascii="Times New Roman" w:eastAsia="Times New Roman" w:hAnsi="Times New Roman" w:cs="Times New Roman"/>
                <w:sz w:val="12"/>
                <w:szCs w:val="12"/>
              </w:rPr>
              <w:t>19</w:t>
            </w:r>
            <w:r w:rsidRPr="00CB5F81">
              <w:rPr>
                <w:rFonts w:ascii="Times New Roman" w:eastAsia="Times New Roman" w:hAnsi="Times New Roman" w:cs="Times New Roman"/>
                <w:sz w:val="12"/>
                <w:szCs w:val="12"/>
              </w:rPr>
              <w:t>97, art.24 alin.(17)</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3,701,987.69</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3,701,987.69</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7D6CDF" w:rsidRPr="00CB5F81" w:rsidTr="007D6CDF">
        <w:trPr>
          <w:trHeight w:val="360"/>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vAlign w:val="center"/>
            <w:hideMark/>
          </w:tcPr>
          <w:p w:rsidR="002D760E" w:rsidRPr="00CB5F81" w:rsidRDefault="002D760E" w:rsidP="00103CA0">
            <w:pPr>
              <w:spacing w:after="0" w:line="240" w:lineRule="auto"/>
              <w:rPr>
                <w:rFonts w:ascii="Times New Roman" w:eastAsia="Times New Roman" w:hAnsi="Times New Roman" w:cs="Times New Roman"/>
                <w:i/>
                <w:iCs/>
                <w:sz w:val="18"/>
                <w:szCs w:val="18"/>
              </w:rPr>
            </w:pPr>
            <w:r w:rsidRPr="00CB5F81">
              <w:rPr>
                <w:rFonts w:ascii="Times New Roman" w:eastAsia="Times New Roman" w:hAnsi="Times New Roman" w:cs="Times New Roman"/>
                <w:i/>
                <w:iCs/>
                <w:sz w:val="18"/>
                <w:szCs w:val="18"/>
              </w:rPr>
              <w:t xml:space="preserve">III. </w:t>
            </w:r>
            <w:r w:rsidR="00103CA0" w:rsidRPr="00103CA0">
              <w:rPr>
                <w:rFonts w:ascii="Times New Roman" w:eastAsia="Times New Roman" w:hAnsi="Times New Roman" w:cs="Times New Roman"/>
                <w:i/>
                <w:iCs/>
                <w:sz w:val="18"/>
                <w:szCs w:val="18"/>
              </w:rPr>
              <w:t>T</w:t>
            </w:r>
            <w:r w:rsidRPr="00103CA0">
              <w:rPr>
                <w:rFonts w:ascii="Times New Roman" w:eastAsia="Times New Roman" w:hAnsi="Times New Roman" w:cs="Times New Roman"/>
                <w:i/>
                <w:iCs/>
                <w:sz w:val="18"/>
                <w:szCs w:val="18"/>
              </w:rPr>
              <w:t>otal</w:t>
            </w:r>
            <w:r w:rsidRPr="00CB5F81">
              <w:rPr>
                <w:rFonts w:ascii="Times New Roman" w:eastAsia="Times New Roman" w:hAnsi="Times New Roman" w:cs="Times New Roman"/>
                <w:i/>
                <w:iCs/>
                <w:sz w:val="18"/>
                <w:szCs w:val="18"/>
              </w:rPr>
              <w:t xml:space="preserve"> scutiri de accize</w:t>
            </w:r>
          </w:p>
        </w:tc>
        <w:tc>
          <w:tcPr>
            <w:tcW w:w="1151" w:type="dxa"/>
            <w:tcBorders>
              <w:top w:val="nil"/>
              <w:left w:val="nil"/>
              <w:bottom w:val="single" w:sz="4" w:space="0" w:color="auto"/>
              <w:right w:val="single" w:sz="4" w:space="0" w:color="auto"/>
            </w:tcBorders>
            <w:shd w:val="clear" w:color="000000" w:fill="D9E1F2"/>
            <w:vAlign w:val="center"/>
            <w:hideMark/>
          </w:tcPr>
          <w:p w:rsidR="002D760E" w:rsidRPr="00CB5F81" w:rsidRDefault="002D760E" w:rsidP="007B6C37">
            <w:pPr>
              <w:spacing w:after="0" w:line="240" w:lineRule="auto"/>
              <w:jc w:val="center"/>
              <w:rPr>
                <w:rFonts w:ascii="Times New Roman" w:eastAsia="Times New Roman" w:hAnsi="Times New Roman" w:cs="Times New Roman"/>
                <w:sz w:val="20"/>
                <w:szCs w:val="20"/>
              </w:rPr>
            </w:pPr>
            <w:r w:rsidRPr="00CB5F81">
              <w:rPr>
                <w:rFonts w:ascii="Times New Roman" w:eastAsia="Times New Roman" w:hAnsi="Times New Roman" w:cs="Times New Roman"/>
                <w:sz w:val="20"/>
                <w:szCs w:val="20"/>
              </w:rPr>
              <w:t>x</w:t>
            </w:r>
          </w:p>
        </w:tc>
        <w:tc>
          <w:tcPr>
            <w:tcW w:w="1238" w:type="dxa"/>
            <w:tcBorders>
              <w:top w:val="nil"/>
              <w:left w:val="nil"/>
              <w:bottom w:val="single" w:sz="4" w:space="0" w:color="auto"/>
              <w:right w:val="single" w:sz="4" w:space="0" w:color="auto"/>
            </w:tcBorders>
            <w:shd w:val="clear" w:color="000000" w:fill="D9E1F2"/>
            <w:vAlign w:val="center"/>
            <w:hideMark/>
          </w:tcPr>
          <w:p w:rsidR="002D760E" w:rsidRPr="00CB5F81" w:rsidRDefault="00072610" w:rsidP="007B6C37">
            <w:pPr>
              <w:spacing w:after="0" w:line="240" w:lineRule="auto"/>
              <w:jc w:val="center"/>
              <w:rPr>
                <w:rFonts w:ascii="Times New Roman" w:eastAsia="Times New Roman" w:hAnsi="Times New Roman" w:cs="Times New Roman"/>
                <w:sz w:val="12"/>
                <w:szCs w:val="12"/>
              </w:rPr>
            </w:pPr>
            <w:r w:rsidRPr="00CB5F81">
              <w:rPr>
                <w:rFonts w:ascii="Times New Roman" w:eastAsia="Times New Roman" w:hAnsi="Times New Roman" w:cs="Times New Roman"/>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238,330,830.00</w:t>
            </w:r>
          </w:p>
        </w:tc>
        <w:tc>
          <w:tcPr>
            <w:tcW w:w="1336" w:type="dxa"/>
            <w:tcBorders>
              <w:top w:val="nil"/>
              <w:left w:val="nil"/>
              <w:bottom w:val="single" w:sz="4" w:space="0" w:color="auto"/>
              <w:right w:val="nil"/>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238,330,830.00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040BCB" w:rsidRPr="00CB5F81" w:rsidTr="007D6CDF">
        <w:trPr>
          <w:trHeight w:val="636"/>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26</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Se scutește de acciz alcoolul etilic nedenaturat de la poziţiile tarifare 220710000 şi 220890910, destinat producerii farmaceutice şi utilizării în medicină, în limita volumului contingentului anual stabilit de Guvern.</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CFAC019</w:t>
            </w:r>
          </w:p>
        </w:tc>
        <w:tc>
          <w:tcPr>
            <w:tcW w:w="1238"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art.124 (15)</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28,403,600.00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28,403,600.00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1020"/>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27</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Alcoolul etilic nedenaturat de la poziţia tarifară 220710000, destinat utilizării în industria de parfumerie şi cosmetică, este scutit de plata accizelor în limita volumului stabilit de ministerul de ramură, coordonat cu Serviciul Fiscal de Stat şi Serviciul Vamal, în vederea realizării programului de activitate al industriei de parfumerie şi cosmetică pe anul respectiv.</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CFAC020</w:t>
            </w:r>
          </w:p>
        </w:tc>
        <w:tc>
          <w:tcPr>
            <w:tcW w:w="1238"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art.124 (16)</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200,936,800.00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200,936,800.00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465,686,829.40</w:t>
            </w:r>
          </w:p>
        </w:tc>
      </w:tr>
      <w:tr w:rsidR="00040BCB" w:rsidRPr="00CB5F81" w:rsidTr="007D6CDF">
        <w:trPr>
          <w:trHeight w:val="636"/>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28</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Mărfurile de la poziţiile tarifare 280430000 şi 280440000 produse pe teritoriul ţării s</w:t>
            </w:r>
            <w:r w:rsidR="007119C8">
              <w:rPr>
                <w:rFonts w:ascii="Times New Roman" w:eastAsia="Times New Roman" w:hAnsi="Times New Roman" w:cs="Times New Roman"/>
                <w:color w:val="000000"/>
                <w:sz w:val="16"/>
                <w:szCs w:val="16"/>
              </w:rPr>
              <w:t>u</w:t>
            </w:r>
            <w:r w:rsidRPr="00CB5F81">
              <w:rPr>
                <w:rFonts w:ascii="Times New Roman" w:eastAsia="Times New Roman" w:hAnsi="Times New Roman" w:cs="Times New Roman"/>
                <w:color w:val="000000"/>
                <w:sz w:val="16"/>
                <w:szCs w:val="16"/>
              </w:rPr>
              <w:t>nt scutite de plata accizului.</w:t>
            </w:r>
          </w:p>
        </w:tc>
        <w:tc>
          <w:tcPr>
            <w:tcW w:w="1151"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CFAC021</w:t>
            </w:r>
          </w:p>
        </w:tc>
        <w:tc>
          <w:tcPr>
            <w:tcW w:w="1238"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art.124 (17)</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8,990,430.00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8,990,430.00</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7D6CDF" w:rsidRPr="00CB5F81" w:rsidTr="007D6CDF">
        <w:trPr>
          <w:trHeight w:val="612"/>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vAlign w:val="center"/>
            <w:hideMark/>
          </w:tcPr>
          <w:p w:rsidR="002D760E" w:rsidRPr="00CB5F81" w:rsidRDefault="00103CA0" w:rsidP="00103CA0">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IV. </w:t>
            </w:r>
            <w:r w:rsidRPr="00103CA0">
              <w:rPr>
                <w:rFonts w:ascii="Times New Roman" w:eastAsia="Times New Roman" w:hAnsi="Times New Roman" w:cs="Times New Roman"/>
                <w:i/>
                <w:iCs/>
                <w:color w:val="000000"/>
                <w:sz w:val="18"/>
                <w:szCs w:val="18"/>
              </w:rPr>
              <w:t>T</w:t>
            </w:r>
            <w:r w:rsidR="002D760E" w:rsidRPr="00103CA0">
              <w:rPr>
                <w:rFonts w:ascii="Times New Roman" w:eastAsia="Times New Roman" w:hAnsi="Times New Roman" w:cs="Times New Roman"/>
                <w:i/>
                <w:iCs/>
                <w:color w:val="000000"/>
                <w:sz w:val="18"/>
                <w:szCs w:val="18"/>
              </w:rPr>
              <w:t>otal</w:t>
            </w:r>
            <w:r w:rsidR="002D760E" w:rsidRPr="00CB5F81">
              <w:rPr>
                <w:rFonts w:ascii="Times New Roman" w:eastAsia="Times New Roman" w:hAnsi="Times New Roman" w:cs="Times New Roman"/>
                <w:i/>
                <w:iCs/>
                <w:color w:val="000000"/>
                <w:sz w:val="18"/>
                <w:szCs w:val="18"/>
              </w:rPr>
              <w:t xml:space="preserve"> facilități fiscale aferente impozitului pe imobil și funciar</w:t>
            </w:r>
          </w:p>
        </w:tc>
        <w:tc>
          <w:tcPr>
            <w:tcW w:w="1151" w:type="dxa"/>
            <w:tcBorders>
              <w:top w:val="nil"/>
              <w:left w:val="nil"/>
              <w:bottom w:val="single" w:sz="4" w:space="0" w:color="auto"/>
              <w:right w:val="single" w:sz="4" w:space="0" w:color="auto"/>
            </w:tcBorders>
            <w:shd w:val="clear" w:color="000000" w:fill="D9E1F2"/>
            <w:noWrap/>
            <w:vAlign w:val="center"/>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x</w:t>
            </w:r>
          </w:p>
        </w:tc>
        <w:tc>
          <w:tcPr>
            <w:tcW w:w="1238" w:type="dxa"/>
            <w:tcBorders>
              <w:top w:val="nil"/>
              <w:left w:val="nil"/>
              <w:bottom w:val="single" w:sz="4" w:space="0" w:color="auto"/>
              <w:right w:val="single" w:sz="4" w:space="0" w:color="auto"/>
            </w:tcBorders>
            <w:shd w:val="clear" w:color="000000" w:fill="D9E1F2"/>
            <w:vAlign w:val="center"/>
            <w:hideMark/>
          </w:tcPr>
          <w:p w:rsidR="002D760E" w:rsidRPr="00CB5F81" w:rsidRDefault="00D04F57"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331,375,359.11</w:t>
            </w:r>
          </w:p>
        </w:tc>
        <w:tc>
          <w:tcPr>
            <w:tcW w:w="1336" w:type="dxa"/>
            <w:tcBorders>
              <w:top w:val="nil"/>
              <w:left w:val="nil"/>
              <w:bottom w:val="single" w:sz="4" w:space="0" w:color="auto"/>
              <w:right w:val="nil"/>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359,203,123.85</w:t>
            </w:r>
          </w:p>
        </w:tc>
        <w:tc>
          <w:tcPr>
            <w:tcW w:w="1379" w:type="dxa"/>
            <w:vMerge w:val="restart"/>
            <w:tcBorders>
              <w:top w:val="nil"/>
              <w:left w:val="single" w:sz="4" w:space="0" w:color="auto"/>
              <w:bottom w:val="single" w:sz="4" w:space="0" w:color="000000"/>
              <w:right w:val="single" w:sz="8" w:space="0" w:color="auto"/>
            </w:tcBorders>
            <w:shd w:val="clear" w:color="auto" w:fill="auto"/>
            <w:noWrap/>
            <w:hideMark/>
          </w:tcPr>
          <w:p w:rsidR="002D760E" w:rsidRPr="00CB5F81" w:rsidRDefault="002D760E" w:rsidP="007B6C37">
            <w:pPr>
              <w:spacing w:after="0" w:line="240" w:lineRule="auto"/>
              <w:jc w:val="center"/>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x</w:t>
            </w: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lastRenderedPageBreak/>
              <w:t>29</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421950">
              <w:rPr>
                <w:rFonts w:ascii="Times New Roman" w:eastAsia="Times New Roman" w:hAnsi="Times New Roman" w:cs="Times New Roman"/>
                <w:color w:val="000000"/>
                <w:sz w:val="16"/>
                <w:szCs w:val="16"/>
              </w:rPr>
              <w:t>Sunt scutite autorităţile publice şi instituţiile finanţate de la bugetele de toate nivelurile</w:t>
            </w:r>
            <w:r w:rsidR="007119C8" w:rsidRPr="00421950">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CFIBI002</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a)</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158,236,986.03</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165,975,460.10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30</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Contribuabilii care achită suma integrală a impozitului pentru anul fiscal în curs p</w:t>
            </w:r>
            <w:r w:rsidR="007119C8">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nă la 30 iunie a anului respectiv beneficiază de dreptul la o reducere cu 15% a sumei impozitului ce urmează a fi achitat</w:t>
            </w:r>
            <w:r w:rsidR="007119C8">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CFIBI001</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art.282 alin.(2)</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38,799,875.28</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39,089,690.87</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31</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atribuite permanent căilor ferate, drumurilor auto publice, porturilor fluviale şi pistelor de decolare</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CFIBI025</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f)</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7,271,675.84</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7,433,023.14</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32</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de uz public în localităţi</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CFIBI027</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h)</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6,995,377.90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7,231,342.08</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33</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familiile participanţilor căzuţi în acţiunile de luptă pentru apărarea integrităţii teritoriale şi independenţei Republicii Moldova şi persoanele care au fost întreţinute de aceştia</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CFIBI010</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i)</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2,259,695.45</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2,259,449.18</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50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34</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Este scutită Compania Naţională de Asigurări în Medicină şi agenţiile ei teritoriale</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CFIBI015</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n)</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1,912,756.77</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165,581.21</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35</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ocupate de rezervaţii, parcuri dendrologice şi naţionale, grădini botanice</w:t>
            </w:r>
            <w:r w:rsidR="00421950">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CFIBI019</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a)</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1,593,764.40</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1,593,764.40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36</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destinate fondului apelor în cazul în care nu s</w:t>
            </w:r>
            <w:r w:rsidR="00421950">
              <w:rPr>
                <w:rFonts w:ascii="Times New Roman" w:eastAsia="Times New Roman" w:hAnsi="Times New Roman" w:cs="Times New Roman"/>
                <w:color w:val="000000"/>
                <w:sz w:val="16"/>
                <w:szCs w:val="16"/>
              </w:rPr>
              <w:t>u</w:t>
            </w:r>
            <w:r w:rsidRPr="00CB5F81">
              <w:rPr>
                <w:rFonts w:ascii="Times New Roman" w:eastAsia="Times New Roman" w:hAnsi="Times New Roman" w:cs="Times New Roman"/>
                <w:color w:val="000000"/>
                <w:sz w:val="16"/>
                <w:szCs w:val="16"/>
              </w:rPr>
              <w:t>nt antrenate în activitatea de întreprinzător</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CFIBI021</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lit.b</w:t>
            </w:r>
            <w:r w:rsidRPr="00CB5F81">
              <w:rPr>
                <w:rFonts w:ascii="Times New Roman" w:eastAsia="Times New Roman" w:hAnsi="Times New Roman" w:cs="Times New Roman"/>
                <w:color w:val="000000"/>
                <w:sz w:val="12"/>
                <w:szCs w:val="12"/>
                <w:vertAlign w:val="superscript"/>
              </w:rPr>
              <w:t>1</w:t>
            </w:r>
            <w:r w:rsidRPr="00CB5F81">
              <w:rPr>
                <w:rFonts w:ascii="Times New Roman" w:eastAsia="Times New Roman" w:hAnsi="Times New Roman" w:cs="Times New Roman"/>
                <w:color w:val="000000"/>
                <w:sz w:val="12"/>
                <w:szCs w:val="12"/>
              </w:rPr>
              <w:t>)</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1,373,985.19</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1,751,235.49</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37</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folosite de organizaţiile ştiinţifice şi instituţiile de cercetări ştiinţifice cu profil agricol şi silvic în scopuri ştiinţifice şi instructive</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CFIBI022</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c)</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1,185,302.08</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1,184,555.42</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38</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ocupate de plantaţii multianuale p</w:t>
            </w:r>
            <w:r w:rsidR="00421950">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nă la intrarea pe rod</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CFIBI023</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d)</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1,091,666.32</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1,028,247.91</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39</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Este scutit Centrul Republican Experimental pentru Protezare, Ortopedie şi Reabilitare al Ministerului Muncii, Protecţiei Sociale şi Familiei</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CFIBI005</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d)</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419,272.08</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419,272.08</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40</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organizaţiile religioase - pentru bunurile imobiliare destinate riturilor de cult</w:t>
            </w:r>
            <w:r w:rsidR="00421950">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CFIBI007</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f)</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645,764.66</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1,354,333.01</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41</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atribuite pentru scopuri agricole, la momentul atribuirii fiind recunoscute distruse, dar ulterior restabilite – pe o perioadă de 5 ani</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CFIBI028</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i)</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310,462.98</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310,462.98</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3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42</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obiectivele de protecţie civilă</w:t>
            </w:r>
            <w:r w:rsidR="00421950">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CFIBI006</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e)</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275,931.54</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507,024.68</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43</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Sunt scutite organizaţiile necomerciale care corespund cerinţelor art.52, în cadrul cărora funcţionează instituţiile de asistenţă socială.</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CFIBI018</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s)</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268,804.97</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289,704.65</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44</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societăţile orbilor, surzilor şi invalizilor şi întreprinderile create pentru realizarea scopurilor statutare ale acestor societăţi</w:t>
            </w:r>
            <w:r w:rsidR="00421950">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CFIBI003</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b)</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227,578.21</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227,578.21</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45</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familiile militarilor căzuţi în acţiunile de luptă din Afganistan şi persoanele care au fost întreţinute de aceştia;</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CFIBI011</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j)</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183,411.16</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182,859.40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46</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familiile care au copii invalizi în v</w:t>
            </w:r>
            <w:r w:rsidR="00421950">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rstă de p</w:t>
            </w:r>
            <w:r w:rsidR="00421950">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nă la 18 ani şi membrii familiilor care au la întreţinere şi îngrijire permanentă persoane cu dezabilităţi</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CFIBI012</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k)</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180,982.87</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180,674.66</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47</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103CA0">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Autorităţile deliberative şi reprezentative ale administraţiei publice locale s</w:t>
            </w:r>
            <w:r w:rsidR="00421950">
              <w:rPr>
                <w:rFonts w:ascii="Times New Roman" w:eastAsia="Times New Roman" w:hAnsi="Times New Roman" w:cs="Times New Roman"/>
                <w:color w:val="000000"/>
                <w:sz w:val="16"/>
                <w:szCs w:val="16"/>
              </w:rPr>
              <w:t>u</w:t>
            </w:r>
            <w:r w:rsidRPr="00CB5F81">
              <w:rPr>
                <w:rFonts w:ascii="Times New Roman" w:eastAsia="Times New Roman" w:hAnsi="Times New Roman" w:cs="Times New Roman"/>
                <w:color w:val="000000"/>
                <w:sz w:val="16"/>
                <w:szCs w:val="16"/>
              </w:rPr>
              <w:t>nt în drept să acorde persoanelor fizice şi juridice scutiri sau am</w:t>
            </w:r>
            <w:r w:rsidR="00421950">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 xml:space="preserve">nări la plata impozitului pe bunurile imobiliare pe anul fiscal </w:t>
            </w:r>
            <w:r w:rsidRPr="00103CA0">
              <w:rPr>
                <w:rFonts w:ascii="Times New Roman" w:eastAsia="Times New Roman" w:hAnsi="Times New Roman" w:cs="Times New Roman"/>
                <w:color w:val="000000"/>
                <w:sz w:val="16"/>
                <w:szCs w:val="16"/>
              </w:rPr>
              <w:t>respectiv,</w:t>
            </w:r>
            <w:r w:rsidR="00103CA0" w:rsidRPr="00103CA0">
              <w:rPr>
                <w:rFonts w:ascii="Times New Roman" w:eastAsia="Times New Roman" w:hAnsi="Times New Roman" w:cs="Times New Roman"/>
                <w:color w:val="000000"/>
                <w:sz w:val="16"/>
                <w:szCs w:val="16"/>
              </w:rPr>
              <w:t xml:space="preserve"> </w:t>
            </w:r>
            <w:r w:rsidRPr="00103CA0">
              <w:rPr>
                <w:rFonts w:ascii="Times New Roman" w:eastAsia="Times New Roman" w:hAnsi="Times New Roman" w:cs="Times New Roman"/>
                <w:color w:val="000000"/>
                <w:sz w:val="16"/>
                <w:szCs w:val="16"/>
              </w:rPr>
              <w:t>în caz de:</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CFIBI030</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art.284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a)</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160,348.46</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160,348.46</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48</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atribuite zonelor frontierei de stat</w:t>
            </w:r>
            <w:r w:rsidR="00421950">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CFIBI026</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g)</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124,858.22</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121,592.72</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3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lastRenderedPageBreak/>
              <w:t>49</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Este scutită Banca Naţională a Moldovei</w:t>
            </w:r>
            <w:r w:rsidR="00421950">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CFIBI016</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o)</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116,185.30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116,185.30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50</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Autorităţile deliberative şi reprezentative ale administraţiei publice locale s</w:t>
            </w:r>
            <w:r w:rsidR="00421950">
              <w:rPr>
                <w:rFonts w:ascii="Times New Roman" w:eastAsia="Times New Roman" w:hAnsi="Times New Roman" w:cs="Times New Roman"/>
                <w:color w:val="000000"/>
                <w:sz w:val="16"/>
                <w:szCs w:val="16"/>
              </w:rPr>
              <w:t>u</w:t>
            </w:r>
            <w:r w:rsidRPr="00CB5F81">
              <w:rPr>
                <w:rFonts w:ascii="Times New Roman" w:eastAsia="Times New Roman" w:hAnsi="Times New Roman" w:cs="Times New Roman"/>
                <w:color w:val="000000"/>
                <w:sz w:val="16"/>
                <w:szCs w:val="16"/>
              </w:rPr>
              <w:t>nt în drept să acorde persoanelor fizice şi juridice scutiri sau am</w:t>
            </w:r>
            <w:r w:rsidR="003C2E02">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 xml:space="preserve">nări la plata impozitului pe bunurile imobiliare pe anul fiscal </w:t>
            </w:r>
            <w:r w:rsidRPr="00103CA0">
              <w:rPr>
                <w:rFonts w:ascii="Times New Roman" w:eastAsia="Times New Roman" w:hAnsi="Times New Roman" w:cs="Times New Roman"/>
                <w:color w:val="000000"/>
                <w:sz w:val="16"/>
                <w:szCs w:val="16"/>
              </w:rPr>
              <w:t>respectiv, în caz de:</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CFIBI032</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art.284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c)</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69,644.73</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69,644.73</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51</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scutiți proprietarii sau deţinătorii bunurilor rechiziţionate în interes public, pe perioada rechiziţiei, conform legislaţiei</w:t>
            </w:r>
            <w:r w:rsidR="003C2E02">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CFIBI017</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p)</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66,345.99</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66,345.99</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52</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familiile persoanelor decedate în urma unor boli cauzate de participarea lor la lucrările de lichidare a consecinţelor avariei de la C.A.E. Cernob</w:t>
            </w:r>
            <w:r w:rsidR="003C2E02">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l şi persoanele care au fost întreţinute de acestea</w:t>
            </w:r>
            <w:r w:rsidR="003C2E02">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CFIBI013</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l)</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34,082.39</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34,082.39</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3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53</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întreprinderile penitenciarelor</w:t>
            </w:r>
            <w:r w:rsidR="003C2E02">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CFIBI004</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c)</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30,048.34</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30,048.34</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54</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supuse poluării chimice, radioactive şi de altă natură</w:t>
            </w:r>
            <w:r w:rsidR="003C2E02">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dacă Guvernul a stabilit restricţii privind practicarea agriculturii pe aceste terenuri.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CFIBI029</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w:t>
            </w:r>
            <w:r w:rsidR="00072610">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j)</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4,509.00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4,509.00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55</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103CA0">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Autorităţile deliberative şi reprezentative ale administraţiei publice locale s</w:t>
            </w:r>
            <w:r w:rsidR="003C2E02">
              <w:rPr>
                <w:rFonts w:ascii="Times New Roman" w:eastAsia="Times New Roman" w:hAnsi="Times New Roman" w:cs="Times New Roman"/>
                <w:color w:val="000000"/>
                <w:sz w:val="16"/>
                <w:szCs w:val="16"/>
              </w:rPr>
              <w:t>u</w:t>
            </w:r>
            <w:r w:rsidRPr="00CB5F81">
              <w:rPr>
                <w:rFonts w:ascii="Times New Roman" w:eastAsia="Times New Roman" w:hAnsi="Times New Roman" w:cs="Times New Roman"/>
                <w:color w:val="000000"/>
                <w:sz w:val="16"/>
                <w:szCs w:val="16"/>
              </w:rPr>
              <w:t>nt în drept să acorde persoanelor fizice şi juridice scutiri sau am</w:t>
            </w:r>
            <w:r w:rsidR="003C2E02">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nări la plata impozitului pe bunurile imobi</w:t>
            </w:r>
            <w:r w:rsidR="00103CA0">
              <w:rPr>
                <w:rFonts w:ascii="Times New Roman" w:eastAsia="Times New Roman" w:hAnsi="Times New Roman" w:cs="Times New Roman"/>
                <w:color w:val="000000"/>
                <w:sz w:val="16"/>
                <w:szCs w:val="16"/>
              </w:rPr>
              <w:t>liare pe anul fiscal respectiv:</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CFIBI031</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072610">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art.284 alin.(1) lit</w:t>
            </w:r>
            <w:r w:rsidR="00D04F57">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b)</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249.36</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249.36</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816"/>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56</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Autorităţile deliberative şi reprezentative ale administraţiei publice locale s</w:t>
            </w:r>
            <w:r w:rsidR="003C2E02">
              <w:rPr>
                <w:rFonts w:ascii="Times New Roman" w:eastAsia="Times New Roman" w:hAnsi="Times New Roman" w:cs="Times New Roman"/>
                <w:color w:val="000000"/>
                <w:sz w:val="16"/>
                <w:szCs w:val="16"/>
              </w:rPr>
              <w:t>u</w:t>
            </w:r>
            <w:r w:rsidRPr="00CB5F81">
              <w:rPr>
                <w:rFonts w:ascii="Times New Roman" w:eastAsia="Times New Roman" w:hAnsi="Times New Roman" w:cs="Times New Roman"/>
                <w:color w:val="000000"/>
                <w:sz w:val="16"/>
                <w:szCs w:val="16"/>
              </w:rPr>
              <w:t>nt în drept să acorde scutiri la plata impozitului pe bunurile imobiliare pe anul fiscal respectiv persoanelor fizice deţinătoare de case de locuit sau de alte încăperi de locuit (folosite ca locuinţă de bază) în locaţiune din fondul public de locuinţe.</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CFIBI033</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art.284 alin.(1</w:t>
            </w:r>
            <w:r w:rsidRPr="00CB5F81">
              <w:rPr>
                <w:rFonts w:ascii="Times New Roman" w:eastAsia="Times New Roman" w:hAnsi="Times New Roman" w:cs="Times New Roman"/>
                <w:color w:val="000000"/>
                <w:sz w:val="12"/>
                <w:szCs w:val="12"/>
                <w:vertAlign w:val="superscript"/>
              </w:rPr>
              <w:t>1</w:t>
            </w:r>
            <w:r w:rsidRPr="00CB5F81">
              <w:rPr>
                <w:rFonts w:ascii="Times New Roman" w:eastAsia="Times New Roman" w:hAnsi="Times New Roman" w:cs="Times New Roman"/>
                <w:color w:val="000000"/>
                <w:sz w:val="12"/>
                <w:szCs w:val="12"/>
              </w:rPr>
              <w:t>)</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39.00</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214.39</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816"/>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57</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w:t>
            </w:r>
            <w:r w:rsidR="003C2E02">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CFIBI008</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D04F57">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g)</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11.51</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11.51</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58</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instituţiile medico-sanitare publice finanţate din fondurile asigurării obligatorii de asistenţă medicală</w:t>
            </w:r>
            <w:r w:rsidR="003C2E02">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CFIBI014</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lit.m)</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20,134,727.23</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20,964,875.29</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142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59</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sz w:val="16"/>
                <w:szCs w:val="16"/>
              </w:rPr>
            </w:pPr>
            <w:r w:rsidRPr="00CB5F81">
              <w:rPr>
                <w:rFonts w:ascii="Times New Roman" w:eastAsia="Times New Roman" w:hAnsi="Times New Roman" w:cs="Times New Roman"/>
                <w:sz w:val="16"/>
                <w:szCs w:val="16"/>
              </w:rPr>
              <w:t>Sunt scutiţi proprietarii şi beneficiarii ale căror terenuri şi loturi de pământ sunt destinate fondului silvic, în cazul în care nu sunt antrenate în activitatea de întreprinzător, cu excepţia întreprinderilor silvice la efectuarea tăierilor de reconstrucţie ecologică, a celor de conservare şi a celor secundare, la efectuarea amenajamentului silvic, a lucrărilor de cercetare şi de proiectare pentru necesităţile gospodăriei silvice, de lichidare a efectelor calamităţilor naturale, precum şi la efectuarea altor lucrări silvice legate de îngrijirea pădurilor</w:t>
            </w:r>
            <w:r w:rsidR="003C2E02">
              <w:rPr>
                <w:rFonts w:ascii="Times New Roman" w:eastAsia="Times New Roman" w:hAnsi="Times New Roman" w:cs="Times New Roman"/>
                <w:sz w:val="16"/>
                <w:szCs w:val="16"/>
              </w:rPr>
              <w: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CFIBI020</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lit.b)</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18,935,691.67</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19,089,735.69</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122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60</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scutite persoanele de v</w:t>
            </w:r>
            <w:r w:rsidR="003C2E02">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rstă pensionară, persoanele cu d</w:t>
            </w:r>
            <w:r w:rsidR="003C2E02">
              <w:rPr>
                <w:rFonts w:ascii="Times New Roman" w:eastAsia="Times New Roman" w:hAnsi="Times New Roman" w:cs="Times New Roman"/>
                <w:color w:val="000000"/>
                <w:sz w:val="16"/>
                <w:szCs w:val="16"/>
              </w:rPr>
              <w:t>i</w:t>
            </w:r>
            <w:r w:rsidRPr="00CB5F81">
              <w:rPr>
                <w:rFonts w:ascii="Times New Roman" w:eastAsia="Times New Roman" w:hAnsi="Times New Roman" w:cs="Times New Roman"/>
                <w:color w:val="000000"/>
                <w:sz w:val="16"/>
                <w:szCs w:val="16"/>
              </w:rPr>
              <w:t>zabilităţi severe şi accentuate, persoanele cu dizabilităţi din copilărie, persoanele cu dizabilităţi medii (participanţi la acţiunile de luptă pentru apărarea integrităţii teritoriale şi independenţei Republicii Moldova, participanţi la acţiunile de luptă din Afganistan, participanţi la lichidarea consecinţelor avariei de la C.A.E. Cernob</w:t>
            </w:r>
            <w:r w:rsidR="003C2E02">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l), precum şi persoanele supuse represiunilor şi ulterior reabilitate</w:t>
            </w:r>
            <w:r w:rsidR="003C2E02">
              <w:rPr>
                <w:rFonts w:ascii="Times New Roman" w:eastAsia="Times New Roman" w:hAnsi="Times New Roman" w:cs="Times New Roman"/>
                <w:color w:val="000000"/>
                <w:sz w:val="16"/>
                <w:szCs w:val="16"/>
              </w:rPr>
              <w:t>.</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CFIBI009</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alin.(1) lit.</w:t>
            </w:r>
            <w:r w:rsidR="00D04F57">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h)</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30,428,108.84</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48,891,893.95</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106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61</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Sunt scutiţi proprietarii şi beneficiarii ale căror terenuri şi loturi de pământ sunt ocupate de instituţiile de cultură, de artă, de cinematografie, de învăţăm</w:t>
            </w:r>
            <w:r w:rsidR="003C2E02">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nt, de ocrotire a sănătăţii</w:t>
            </w:r>
            <w:r w:rsidR="003C2E02">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de complexele sportive şi de agrement (cu excepţia celor ocupate de instituţiile balneare), precum şi de monumentele </w:t>
            </w:r>
            <w:r w:rsidRPr="00CB5F81">
              <w:rPr>
                <w:rFonts w:ascii="Times New Roman" w:eastAsia="Times New Roman" w:hAnsi="Times New Roman" w:cs="Times New Roman"/>
                <w:color w:val="000000"/>
                <w:sz w:val="16"/>
                <w:szCs w:val="16"/>
              </w:rPr>
              <w:lastRenderedPageBreak/>
              <w:t>naturii, istoriei şi culturii, a căror finanţare se face de la bugetul de stat sau din contul mijloacelor sindicatelor</w:t>
            </w:r>
            <w:r w:rsidR="003C2E02">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lastRenderedPageBreak/>
              <w:t>CFIBI024</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art.283 alin.(4) lit.</w:t>
            </w:r>
            <w:r w:rsidR="00D04F57">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e)</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28,663,679.95</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29,057,164.28</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040BCB" w:rsidRPr="00CB5F81" w:rsidTr="007D6CDF">
        <w:trPr>
          <w:trHeight w:val="122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62</w:t>
            </w:r>
          </w:p>
        </w:tc>
        <w:tc>
          <w:tcPr>
            <w:tcW w:w="3491" w:type="dxa"/>
            <w:tcBorders>
              <w:top w:val="nil"/>
              <w:left w:val="nil"/>
              <w:bottom w:val="single" w:sz="4" w:space="0" w:color="auto"/>
              <w:right w:val="single" w:sz="4" w:space="0" w:color="auto"/>
            </w:tcBorders>
            <w:shd w:val="clear" w:color="auto" w:fill="auto"/>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 xml:space="preserve">Persoanele specificate la lit.a) şi </w:t>
            </w:r>
            <w:r w:rsidR="003C2E02">
              <w:rPr>
                <w:rFonts w:ascii="Times New Roman" w:eastAsia="Times New Roman" w:hAnsi="Times New Roman" w:cs="Times New Roman"/>
                <w:color w:val="000000"/>
                <w:sz w:val="16"/>
                <w:szCs w:val="16"/>
              </w:rPr>
              <w:t>lit.</w:t>
            </w:r>
            <w:r w:rsidRPr="00CB5F81">
              <w:rPr>
                <w:rFonts w:ascii="Times New Roman" w:eastAsia="Times New Roman" w:hAnsi="Times New Roman" w:cs="Times New Roman"/>
                <w:color w:val="000000"/>
                <w:sz w:val="16"/>
                <w:szCs w:val="16"/>
              </w:rPr>
              <w:t>b) din prezentul alineat achită impozitul funciar în bugetul unităţii administrativ-teritoriale respective, în părţi egale, cel t</w:t>
            </w:r>
            <w:r w:rsidR="003C2E02">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rziu la 15 august şi 15 octombrie a anului fiscal în curs, iar în cazul achitării sumei integrale a impozitului funciar pentru anul fiscal în curs p</w:t>
            </w:r>
            <w:r w:rsidR="003C2E02">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nă la data de 30 iunie a anului respectiv, aceste persoane beneficiază de dreptul la o reducere cu 15% a sumei impozitului ce urmează a fi achitat.</w:t>
            </w:r>
          </w:p>
        </w:tc>
        <w:tc>
          <w:tcPr>
            <w:tcW w:w="1151"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b/>
                <w:bCs/>
                <w:sz w:val="16"/>
                <w:szCs w:val="16"/>
              </w:rPr>
            </w:pPr>
            <w:r w:rsidRPr="00CB5F81">
              <w:rPr>
                <w:rFonts w:ascii="Times New Roman" w:eastAsia="Times New Roman" w:hAnsi="Times New Roman" w:cs="Times New Roman"/>
                <w:b/>
                <w:bCs/>
                <w:sz w:val="16"/>
                <w:szCs w:val="16"/>
              </w:rPr>
              <w:t>L1056IBI001</w:t>
            </w:r>
          </w:p>
        </w:tc>
        <w:tc>
          <w:tcPr>
            <w:tcW w:w="1238" w:type="dxa"/>
            <w:tcBorders>
              <w:top w:val="nil"/>
              <w:left w:val="nil"/>
              <w:bottom w:val="single" w:sz="4" w:space="0" w:color="auto"/>
              <w:right w:val="single" w:sz="4" w:space="0" w:color="auto"/>
            </w:tcBorders>
            <w:shd w:val="clear" w:color="auto" w:fill="auto"/>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Legea nr.1056-XIV din 16.06.2000, art.4 alin.(7) lit.</w:t>
            </w:r>
            <w:r w:rsidR="00D04F57">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c)</w:t>
            </w:r>
          </w:p>
        </w:tc>
        <w:tc>
          <w:tcPr>
            <w:tcW w:w="1336" w:type="dxa"/>
            <w:tcBorders>
              <w:top w:val="nil"/>
              <w:left w:val="nil"/>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9,373,535.41</w:t>
            </w:r>
          </w:p>
        </w:tc>
        <w:tc>
          <w:tcPr>
            <w:tcW w:w="1336" w:type="dxa"/>
            <w:tcBorders>
              <w:top w:val="nil"/>
              <w:left w:val="nil"/>
              <w:bottom w:val="single" w:sz="4" w:space="0" w:color="auto"/>
              <w:right w:val="nil"/>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9,411,962.99</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Times New Roman" w:eastAsia="Times New Roman" w:hAnsi="Times New Roman" w:cs="Times New Roman"/>
                <w:sz w:val="16"/>
                <w:szCs w:val="16"/>
              </w:rPr>
            </w:pPr>
          </w:p>
        </w:tc>
      </w:tr>
      <w:tr w:rsidR="007D6CDF" w:rsidRPr="00CB5F81" w:rsidTr="007D6CDF">
        <w:trPr>
          <w:trHeight w:val="372"/>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vAlign w:val="center"/>
            <w:hideMark/>
          </w:tcPr>
          <w:p w:rsidR="002D760E" w:rsidRPr="00CB5F81" w:rsidRDefault="002D760E" w:rsidP="00103CA0">
            <w:pPr>
              <w:spacing w:after="0" w:line="240" w:lineRule="auto"/>
              <w:rPr>
                <w:rFonts w:ascii="Times New Roman" w:eastAsia="Times New Roman" w:hAnsi="Times New Roman" w:cs="Times New Roman"/>
                <w:i/>
                <w:iCs/>
                <w:sz w:val="18"/>
                <w:szCs w:val="18"/>
              </w:rPr>
            </w:pPr>
            <w:r w:rsidRPr="00CB5F81">
              <w:rPr>
                <w:rFonts w:ascii="Times New Roman" w:eastAsia="Times New Roman" w:hAnsi="Times New Roman" w:cs="Times New Roman"/>
                <w:i/>
                <w:iCs/>
                <w:sz w:val="18"/>
                <w:szCs w:val="18"/>
              </w:rPr>
              <w:t xml:space="preserve">V. </w:t>
            </w:r>
            <w:r w:rsidR="00103CA0" w:rsidRPr="00103CA0">
              <w:rPr>
                <w:rFonts w:ascii="Times New Roman" w:eastAsia="Times New Roman" w:hAnsi="Times New Roman" w:cs="Times New Roman"/>
                <w:i/>
                <w:iCs/>
                <w:sz w:val="18"/>
                <w:szCs w:val="18"/>
              </w:rPr>
              <w:t>T</w:t>
            </w:r>
            <w:r w:rsidRPr="00103CA0">
              <w:rPr>
                <w:rFonts w:ascii="Times New Roman" w:eastAsia="Times New Roman" w:hAnsi="Times New Roman" w:cs="Times New Roman"/>
                <w:i/>
                <w:iCs/>
                <w:sz w:val="18"/>
                <w:szCs w:val="18"/>
              </w:rPr>
              <w:t>otal</w:t>
            </w:r>
            <w:r w:rsidRPr="00CB5F81">
              <w:rPr>
                <w:rFonts w:ascii="Times New Roman" w:eastAsia="Times New Roman" w:hAnsi="Times New Roman" w:cs="Times New Roman"/>
                <w:i/>
                <w:iCs/>
                <w:sz w:val="18"/>
                <w:szCs w:val="18"/>
              </w:rPr>
              <w:t xml:space="preserve"> facilități fiscale aferente taxelor locale</w:t>
            </w:r>
          </w:p>
        </w:tc>
        <w:tc>
          <w:tcPr>
            <w:tcW w:w="1151" w:type="dxa"/>
            <w:tcBorders>
              <w:top w:val="nil"/>
              <w:left w:val="nil"/>
              <w:bottom w:val="single" w:sz="4" w:space="0" w:color="auto"/>
              <w:right w:val="single" w:sz="4" w:space="0" w:color="auto"/>
            </w:tcBorders>
            <w:shd w:val="clear" w:color="000000" w:fill="D9E1F2"/>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x</w:t>
            </w:r>
          </w:p>
        </w:tc>
        <w:tc>
          <w:tcPr>
            <w:tcW w:w="1238" w:type="dxa"/>
            <w:tcBorders>
              <w:top w:val="nil"/>
              <w:left w:val="nil"/>
              <w:bottom w:val="single" w:sz="4" w:space="0" w:color="auto"/>
              <w:right w:val="single" w:sz="4" w:space="0" w:color="auto"/>
            </w:tcBorders>
            <w:shd w:val="clear" w:color="000000" w:fill="D9E1F2"/>
            <w:hideMark/>
          </w:tcPr>
          <w:p w:rsidR="002D760E" w:rsidRPr="00CB5F81" w:rsidRDefault="00D04F57"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8,995,208.15</w:t>
            </w:r>
          </w:p>
        </w:tc>
        <w:tc>
          <w:tcPr>
            <w:tcW w:w="1336" w:type="dxa"/>
            <w:tcBorders>
              <w:top w:val="nil"/>
              <w:left w:val="nil"/>
              <w:bottom w:val="single" w:sz="4" w:space="0" w:color="auto"/>
              <w:right w:val="nil"/>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11,252,069.74</w:t>
            </w:r>
          </w:p>
        </w:tc>
        <w:tc>
          <w:tcPr>
            <w:tcW w:w="1379" w:type="dxa"/>
            <w:vMerge w:val="restart"/>
            <w:tcBorders>
              <w:top w:val="nil"/>
              <w:left w:val="single" w:sz="4" w:space="0" w:color="auto"/>
              <w:bottom w:val="single" w:sz="4" w:space="0" w:color="000000"/>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x</w:t>
            </w: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63</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Scutirea de taxa de organizare a licitaţiilor şi loteriilor pe teritoriul unităţii administrativ-teritoriale</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CFTL002</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80.00</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640.00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040BCB" w:rsidRPr="00CB5F81" w:rsidTr="007D6CDF">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64</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Scutirea de taxa pentru cazare</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CFTL007</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3,417.35</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3,417.35</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040BCB" w:rsidRPr="00CB5F81" w:rsidTr="007D6CDF">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65</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Scutirea de taxa de plasare (amplasare) a publicităţii (reclamei)</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CFTL003</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500.00</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620.00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040BCB" w:rsidRPr="00CB5F81" w:rsidTr="007D6CDF">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66</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Scutirea de taxa pentru parcare</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CFTL010</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86,123.00</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86,123.00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67</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 xml:space="preserve">Scutirea de taxa pentru prestarea serviciilor de transport auto de călători pe teritoriul municipiilor, oraşelor şi satelor (comunelor); </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CFTL009</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358,529.50</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352,704.50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040BCB" w:rsidRPr="00CB5F81" w:rsidTr="007D6CDF">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68</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Scutirea de taxa pentru amenajarea teritoriului</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CFTL001</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903,100.61</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1,032,929.20</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040BCB" w:rsidRPr="00CB5F81" w:rsidTr="007D6CDF">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69</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Scutirea de taxa de piață</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CFTL006</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548,823.74</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606,732.74</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70</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Scutirea de taxa pentru unităţile comerciale şi/sau prestări de servicii de deservire socială</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CFTL005</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2,111,187.03</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2,279,821.77</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040BCB" w:rsidRPr="00CB5F81" w:rsidTr="007D6CDF">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71</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Scutirea de taxa pentru dispozitivele publicitare</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CFTL014</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1,970,990.85</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1,970,990.85</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72</w:t>
            </w:r>
          </w:p>
        </w:tc>
        <w:tc>
          <w:tcPr>
            <w:tcW w:w="349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 xml:space="preserve">Autoritatea </w:t>
            </w:r>
            <w:r w:rsidR="00CB5F81" w:rsidRPr="00CB5F81">
              <w:rPr>
                <w:rFonts w:ascii="Times New Roman" w:eastAsia="Times New Roman" w:hAnsi="Times New Roman" w:cs="Times New Roman"/>
                <w:color w:val="000000"/>
                <w:sz w:val="16"/>
                <w:szCs w:val="16"/>
              </w:rPr>
              <w:t>administrației</w:t>
            </w:r>
            <w:r w:rsidRPr="00CB5F81">
              <w:rPr>
                <w:rFonts w:ascii="Times New Roman" w:eastAsia="Times New Roman" w:hAnsi="Times New Roman" w:cs="Times New Roman"/>
                <w:color w:val="000000"/>
                <w:sz w:val="16"/>
                <w:szCs w:val="16"/>
              </w:rPr>
              <w:t xml:space="preserve"> publice locale, dacă efectuează concomitent modificările corespunzătoare în bugetul unit</w:t>
            </w:r>
            <w:r w:rsidR="00103CA0">
              <w:rPr>
                <w:rFonts w:ascii="Times New Roman" w:eastAsia="Times New Roman" w:hAnsi="Times New Roman" w:cs="Times New Roman"/>
                <w:color w:val="000000"/>
                <w:sz w:val="16"/>
                <w:szCs w:val="16"/>
              </w:rPr>
              <w:t>ăţii administrativ-teritoriale.</w:t>
            </w:r>
          </w:p>
        </w:tc>
        <w:tc>
          <w:tcPr>
            <w:tcW w:w="1151"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CFTL015</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art.296</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3,012,456.07</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4,918,090.33</w:t>
            </w:r>
          </w:p>
        </w:tc>
        <w:tc>
          <w:tcPr>
            <w:tcW w:w="1379" w:type="dxa"/>
            <w:vMerge/>
            <w:tcBorders>
              <w:top w:val="nil"/>
              <w:left w:val="single" w:sz="4" w:space="0" w:color="auto"/>
              <w:bottom w:val="single" w:sz="4" w:space="0" w:color="000000"/>
              <w:right w:val="single" w:sz="8" w:space="0" w:color="auto"/>
            </w:tcBorders>
            <w:vAlign w:val="center"/>
            <w:hideMark/>
          </w:tcPr>
          <w:p w:rsidR="002D760E" w:rsidRPr="00CB5F81" w:rsidRDefault="002D760E" w:rsidP="007B6C37">
            <w:pPr>
              <w:spacing w:after="0" w:line="240" w:lineRule="auto"/>
              <w:rPr>
                <w:rFonts w:ascii="Calibri" w:eastAsia="Times New Roman" w:hAnsi="Calibri" w:cs="Calibri"/>
                <w:color w:val="000000"/>
                <w:sz w:val="16"/>
                <w:szCs w:val="16"/>
              </w:rPr>
            </w:pPr>
          </w:p>
        </w:tc>
      </w:tr>
      <w:tr w:rsidR="007D6CDF" w:rsidRPr="00CB5F81" w:rsidTr="007D6CDF">
        <w:trPr>
          <w:trHeight w:val="384"/>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vAlign w:val="center"/>
            <w:hideMark/>
          </w:tcPr>
          <w:p w:rsidR="002D760E" w:rsidRPr="00CB5F81" w:rsidRDefault="002D760E" w:rsidP="00103CA0">
            <w:pPr>
              <w:spacing w:after="0" w:line="240" w:lineRule="auto"/>
              <w:rPr>
                <w:rFonts w:ascii="Times New Roman" w:eastAsia="Times New Roman" w:hAnsi="Times New Roman" w:cs="Times New Roman"/>
                <w:i/>
                <w:iCs/>
                <w:color w:val="000000"/>
                <w:sz w:val="18"/>
                <w:szCs w:val="18"/>
              </w:rPr>
            </w:pPr>
            <w:r w:rsidRPr="00CB5F81">
              <w:rPr>
                <w:rFonts w:ascii="Times New Roman" w:eastAsia="Times New Roman" w:hAnsi="Times New Roman" w:cs="Times New Roman"/>
                <w:i/>
                <w:iCs/>
                <w:color w:val="000000"/>
                <w:sz w:val="18"/>
                <w:szCs w:val="18"/>
              </w:rPr>
              <w:t xml:space="preserve">VI. </w:t>
            </w:r>
            <w:r w:rsidR="00103CA0" w:rsidRPr="00103CA0">
              <w:rPr>
                <w:rFonts w:ascii="Times New Roman" w:eastAsia="Times New Roman" w:hAnsi="Times New Roman" w:cs="Times New Roman"/>
                <w:i/>
                <w:iCs/>
                <w:color w:val="000000"/>
                <w:sz w:val="18"/>
                <w:szCs w:val="18"/>
              </w:rPr>
              <w:t>To</w:t>
            </w:r>
            <w:r w:rsidRPr="00103CA0">
              <w:rPr>
                <w:rFonts w:ascii="Times New Roman" w:eastAsia="Times New Roman" w:hAnsi="Times New Roman" w:cs="Times New Roman"/>
                <w:i/>
                <w:iCs/>
                <w:color w:val="000000"/>
                <w:sz w:val="18"/>
                <w:szCs w:val="18"/>
              </w:rPr>
              <w:t>tal f</w:t>
            </w:r>
            <w:r w:rsidRPr="00CB5F81">
              <w:rPr>
                <w:rFonts w:ascii="Times New Roman" w:eastAsia="Times New Roman" w:hAnsi="Times New Roman" w:cs="Times New Roman"/>
                <w:i/>
                <w:iCs/>
                <w:color w:val="000000"/>
                <w:sz w:val="18"/>
                <w:szCs w:val="18"/>
              </w:rPr>
              <w:t xml:space="preserve">acilități fiscale aferente taxelor pe resurse naturale </w:t>
            </w:r>
          </w:p>
        </w:tc>
        <w:tc>
          <w:tcPr>
            <w:tcW w:w="1151" w:type="dxa"/>
            <w:tcBorders>
              <w:top w:val="nil"/>
              <w:left w:val="nil"/>
              <w:bottom w:val="single" w:sz="4" w:space="0" w:color="auto"/>
              <w:right w:val="single" w:sz="4" w:space="0" w:color="auto"/>
            </w:tcBorders>
            <w:shd w:val="clear" w:color="000000" w:fill="D9E1F2"/>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x</w:t>
            </w:r>
          </w:p>
        </w:tc>
        <w:tc>
          <w:tcPr>
            <w:tcW w:w="1238" w:type="dxa"/>
            <w:tcBorders>
              <w:top w:val="nil"/>
              <w:left w:val="nil"/>
              <w:bottom w:val="single" w:sz="4" w:space="0" w:color="auto"/>
              <w:right w:val="single" w:sz="4" w:space="0" w:color="auto"/>
            </w:tcBorders>
            <w:shd w:val="clear" w:color="000000" w:fill="D9E1F2"/>
            <w:hideMark/>
          </w:tcPr>
          <w:p w:rsidR="002D760E" w:rsidRPr="00CB5F81" w:rsidRDefault="00D04F57" w:rsidP="007B6C37">
            <w:pPr>
              <w:spacing w:after="0" w:line="240" w:lineRule="auto"/>
              <w:jc w:val="center"/>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20,622,859.49</w:t>
            </w:r>
          </w:p>
        </w:tc>
        <w:tc>
          <w:tcPr>
            <w:tcW w:w="1336" w:type="dxa"/>
            <w:tcBorders>
              <w:top w:val="nil"/>
              <w:left w:val="nil"/>
              <w:bottom w:val="single" w:sz="4" w:space="0" w:color="auto"/>
              <w:right w:val="nil"/>
            </w:tcBorders>
            <w:shd w:val="clear" w:color="000000" w:fill="D9E1F2"/>
            <w:noWrap/>
            <w:vAlign w:val="center"/>
            <w:hideMark/>
          </w:tcPr>
          <w:p w:rsidR="002D760E" w:rsidRPr="00CB5F81" w:rsidRDefault="002D760E" w:rsidP="007B6C37">
            <w:pPr>
              <w:spacing w:after="0" w:line="240" w:lineRule="auto"/>
              <w:jc w:val="right"/>
              <w:rPr>
                <w:rFonts w:ascii="Times New Roman" w:eastAsia="Times New Roman" w:hAnsi="Times New Roman" w:cs="Times New Roman"/>
                <w:b/>
                <w:bCs/>
                <w:i/>
                <w:iCs/>
                <w:sz w:val="16"/>
                <w:szCs w:val="16"/>
              </w:rPr>
            </w:pPr>
            <w:r w:rsidRPr="00CB5F81">
              <w:rPr>
                <w:rFonts w:ascii="Times New Roman" w:eastAsia="Times New Roman" w:hAnsi="Times New Roman" w:cs="Times New Roman"/>
                <w:b/>
                <w:bCs/>
                <w:i/>
                <w:iCs/>
                <w:sz w:val="16"/>
                <w:szCs w:val="16"/>
              </w:rPr>
              <w:t>20,758,539.11</w:t>
            </w:r>
          </w:p>
        </w:tc>
        <w:tc>
          <w:tcPr>
            <w:tcW w:w="1379" w:type="dxa"/>
            <w:tcBorders>
              <w:top w:val="nil"/>
              <w:left w:val="single" w:sz="4" w:space="0" w:color="auto"/>
              <w:bottom w:val="single" w:sz="4" w:space="0" w:color="auto"/>
              <w:right w:val="single" w:sz="8" w:space="0" w:color="auto"/>
            </w:tcBorders>
            <w:shd w:val="clear" w:color="000000" w:fill="D9E1F2"/>
            <w:hideMark/>
          </w:tcPr>
          <w:p w:rsidR="002D760E" w:rsidRPr="00CB5F81" w:rsidRDefault="002D760E" w:rsidP="007B6C37">
            <w:pPr>
              <w:spacing w:after="0" w:line="240" w:lineRule="auto"/>
              <w:jc w:val="center"/>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0</w:t>
            </w: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73</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Se scutesc de taxa pentru extragerea mineralelor utile întreprinderile din cadrul sistemului penitenciar.</w:t>
            </w:r>
          </w:p>
        </w:tc>
        <w:tc>
          <w:tcPr>
            <w:tcW w:w="115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CFTRN007</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art.319</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410,672.53</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sz w:val="16"/>
                <w:szCs w:val="16"/>
              </w:rPr>
            </w:pPr>
            <w:r w:rsidRPr="00CB5F81">
              <w:rPr>
                <w:rFonts w:ascii="Calibri" w:eastAsia="Times New Roman" w:hAnsi="Calibri" w:cs="Calibri"/>
                <w:sz w:val="16"/>
                <w:szCs w:val="16"/>
              </w:rPr>
              <w:t>410,672.53</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1020"/>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74</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278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Se scutesc de taxa pentru exploatarea construcţiilor subterane în scopul desfăşurării activităţii de întreprinzător, altele dec</w:t>
            </w:r>
            <w:r w:rsidR="00727837">
              <w:rPr>
                <w:rFonts w:ascii="Times New Roman" w:eastAsia="Times New Roman" w:hAnsi="Times New Roman" w:cs="Times New Roman"/>
                <w:color w:val="000000"/>
                <w:sz w:val="16"/>
                <w:szCs w:val="16"/>
              </w:rPr>
              <w:t>â</w:t>
            </w:r>
            <w:r w:rsidRPr="00CB5F81">
              <w:rPr>
                <w:rFonts w:ascii="Times New Roman" w:eastAsia="Times New Roman" w:hAnsi="Times New Roman" w:cs="Times New Roman"/>
                <w:color w:val="000000"/>
                <w:sz w:val="16"/>
                <w:szCs w:val="16"/>
              </w:rPr>
              <w:t xml:space="preserve">t cele destinate extracţiei mineralelor utile, întreprinderile din cadrul sistemului penitenciar şi întreprinderile ce reprezintă o valoare ştiinţifică, culturală şi educaţională deosebită, </w:t>
            </w:r>
            <w:r w:rsidR="00727837">
              <w:rPr>
                <w:rFonts w:ascii="Times New Roman" w:eastAsia="Times New Roman" w:hAnsi="Times New Roman" w:cs="Times New Roman"/>
                <w:color w:val="000000"/>
                <w:sz w:val="16"/>
                <w:szCs w:val="16"/>
              </w:rPr>
              <w:t>a căror</w:t>
            </w:r>
            <w:r w:rsidR="00727837" w:rsidRPr="00CB5F81">
              <w:rPr>
                <w:rFonts w:ascii="Times New Roman" w:eastAsia="Times New Roman" w:hAnsi="Times New Roman" w:cs="Times New Roman"/>
                <w:color w:val="000000"/>
                <w:sz w:val="16"/>
                <w:szCs w:val="16"/>
              </w:rPr>
              <w:t xml:space="preserve"> </w:t>
            </w:r>
            <w:r w:rsidRPr="00CB5F81">
              <w:rPr>
                <w:rFonts w:ascii="Times New Roman" w:eastAsia="Times New Roman" w:hAnsi="Times New Roman" w:cs="Times New Roman"/>
                <w:color w:val="000000"/>
                <w:sz w:val="16"/>
                <w:szCs w:val="16"/>
              </w:rPr>
              <w:t>list</w:t>
            </w:r>
            <w:r w:rsidR="00727837">
              <w:rPr>
                <w:rFonts w:ascii="Times New Roman" w:eastAsia="Times New Roman" w:hAnsi="Times New Roman" w:cs="Times New Roman"/>
                <w:color w:val="000000"/>
                <w:sz w:val="16"/>
                <w:szCs w:val="16"/>
              </w:rPr>
              <w:t xml:space="preserve">ă </w:t>
            </w:r>
            <w:r w:rsidRPr="00CB5F81">
              <w:rPr>
                <w:rFonts w:ascii="Times New Roman" w:eastAsia="Times New Roman" w:hAnsi="Times New Roman" w:cs="Times New Roman"/>
                <w:color w:val="000000"/>
                <w:sz w:val="16"/>
                <w:szCs w:val="16"/>
              </w:rPr>
              <w:t xml:space="preserve">se aprobă de </w:t>
            </w:r>
            <w:r w:rsidR="00727837">
              <w:rPr>
                <w:rFonts w:ascii="Times New Roman" w:eastAsia="Times New Roman" w:hAnsi="Times New Roman" w:cs="Times New Roman"/>
                <w:color w:val="000000"/>
                <w:sz w:val="16"/>
                <w:szCs w:val="16"/>
              </w:rPr>
              <w:t xml:space="preserve">către </w:t>
            </w:r>
            <w:r w:rsidRPr="00CB5F81">
              <w:rPr>
                <w:rFonts w:ascii="Times New Roman" w:eastAsia="Times New Roman" w:hAnsi="Times New Roman" w:cs="Times New Roman"/>
                <w:color w:val="000000"/>
                <w:sz w:val="16"/>
                <w:szCs w:val="16"/>
              </w:rPr>
              <w:t>Guvern.</w:t>
            </w:r>
          </w:p>
        </w:tc>
        <w:tc>
          <w:tcPr>
            <w:tcW w:w="115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CFTRN009</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art.329</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317,088.96</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sz w:val="16"/>
                <w:szCs w:val="16"/>
              </w:rPr>
            </w:pPr>
            <w:r w:rsidRPr="00CB5F81">
              <w:rPr>
                <w:rFonts w:ascii="Calibri" w:eastAsia="Times New Roman" w:hAnsi="Calibri" w:cs="Calibri"/>
                <w:sz w:val="16"/>
                <w:szCs w:val="16"/>
              </w:rPr>
              <w:t>317,088.96</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75</w:t>
            </w:r>
          </w:p>
        </w:tc>
        <w:tc>
          <w:tcPr>
            <w:tcW w:w="349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 xml:space="preserve">Taxa pentru </w:t>
            </w:r>
            <w:r w:rsidRPr="00E434B9">
              <w:rPr>
                <w:rFonts w:ascii="Times New Roman" w:eastAsia="Times New Roman" w:hAnsi="Times New Roman" w:cs="Times New Roman"/>
                <w:color w:val="000000"/>
                <w:sz w:val="16"/>
                <w:szCs w:val="16"/>
              </w:rPr>
              <w:t xml:space="preserve">lemnul eliberat pe picior nu se aplică în cazul în care acesta a fost </w:t>
            </w:r>
            <w:r w:rsidR="00E434B9" w:rsidRPr="00E434B9">
              <w:rPr>
                <w:rFonts w:ascii="Times New Roman" w:eastAsia="Times New Roman" w:hAnsi="Times New Roman" w:cs="Times New Roman"/>
                <w:color w:val="000000"/>
                <w:sz w:val="16"/>
                <w:szCs w:val="16"/>
              </w:rPr>
              <w:t>recoltat.</w:t>
            </w:r>
          </w:p>
        </w:tc>
        <w:tc>
          <w:tcPr>
            <w:tcW w:w="1151" w:type="dxa"/>
            <w:tcBorders>
              <w:top w:val="nil"/>
              <w:left w:val="nil"/>
              <w:bottom w:val="single" w:sz="4" w:space="0" w:color="auto"/>
              <w:right w:val="single" w:sz="4" w:space="0" w:color="auto"/>
            </w:tcBorders>
            <w:shd w:val="clear" w:color="000000" w:fill="FFFFFF"/>
            <w:vAlign w:val="center"/>
            <w:hideMark/>
          </w:tcPr>
          <w:p w:rsidR="002D760E" w:rsidRPr="00CB5F81" w:rsidRDefault="002D760E" w:rsidP="007B6C37">
            <w:pPr>
              <w:spacing w:after="0" w:line="240" w:lineRule="auto"/>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CFTRN010</w:t>
            </w:r>
          </w:p>
        </w:tc>
        <w:tc>
          <w:tcPr>
            <w:tcW w:w="1238" w:type="dxa"/>
            <w:tcBorders>
              <w:top w:val="nil"/>
              <w:left w:val="nil"/>
              <w:bottom w:val="single" w:sz="4" w:space="0" w:color="auto"/>
              <w:right w:val="single" w:sz="4" w:space="0" w:color="auto"/>
            </w:tcBorders>
            <w:shd w:val="clear" w:color="000000" w:fill="FFFFFF"/>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art.334</w:t>
            </w:r>
          </w:p>
        </w:tc>
        <w:tc>
          <w:tcPr>
            <w:tcW w:w="1336" w:type="dxa"/>
            <w:tcBorders>
              <w:top w:val="nil"/>
              <w:left w:val="nil"/>
              <w:bottom w:val="single" w:sz="4"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174,105.41</w:t>
            </w:r>
          </w:p>
        </w:tc>
        <w:tc>
          <w:tcPr>
            <w:tcW w:w="1336" w:type="dxa"/>
            <w:tcBorders>
              <w:top w:val="nil"/>
              <w:left w:val="nil"/>
              <w:bottom w:val="single" w:sz="4"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205,088.43</w:t>
            </w:r>
          </w:p>
        </w:tc>
        <w:tc>
          <w:tcPr>
            <w:tcW w:w="1379" w:type="dxa"/>
            <w:tcBorders>
              <w:top w:val="nil"/>
              <w:left w:val="single" w:sz="4" w:space="0" w:color="auto"/>
              <w:bottom w:val="single" w:sz="4"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040BCB" w:rsidRPr="00CB5F81" w:rsidTr="007D6CDF">
        <w:trPr>
          <w:trHeight w:val="2448"/>
        </w:trPr>
        <w:tc>
          <w:tcPr>
            <w:tcW w:w="379" w:type="dxa"/>
            <w:tcBorders>
              <w:top w:val="nil"/>
              <w:left w:val="single" w:sz="8" w:space="0" w:color="auto"/>
              <w:bottom w:val="single" w:sz="8" w:space="0" w:color="auto"/>
              <w:right w:val="single" w:sz="4" w:space="0" w:color="auto"/>
            </w:tcBorders>
            <w:shd w:val="clear" w:color="auto" w:fill="auto"/>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76</w:t>
            </w:r>
          </w:p>
        </w:tc>
        <w:tc>
          <w:tcPr>
            <w:tcW w:w="3491" w:type="dxa"/>
            <w:tcBorders>
              <w:top w:val="nil"/>
              <w:left w:val="nil"/>
              <w:bottom w:val="single" w:sz="8" w:space="0" w:color="auto"/>
              <w:right w:val="single" w:sz="4" w:space="0" w:color="auto"/>
            </w:tcBorders>
            <w:shd w:val="clear" w:color="000000" w:fill="FFFFFF"/>
            <w:vAlign w:val="center"/>
            <w:hideMark/>
          </w:tcPr>
          <w:p w:rsidR="002D760E" w:rsidRPr="00CB5F81" w:rsidRDefault="002D760E" w:rsidP="007B6C37">
            <w:pPr>
              <w:spacing w:after="0" w:line="240" w:lineRule="auto"/>
              <w:jc w:val="both"/>
              <w:rPr>
                <w:rFonts w:ascii="Times New Roman" w:eastAsia="Times New Roman" w:hAnsi="Times New Roman" w:cs="Times New Roman"/>
                <w:color w:val="000000"/>
                <w:sz w:val="16"/>
                <w:szCs w:val="16"/>
              </w:rPr>
            </w:pPr>
            <w:r w:rsidRPr="00CB5F81">
              <w:rPr>
                <w:rFonts w:ascii="Times New Roman" w:eastAsia="Times New Roman" w:hAnsi="Times New Roman" w:cs="Times New Roman"/>
                <w:color w:val="000000"/>
                <w:sz w:val="16"/>
                <w:szCs w:val="16"/>
              </w:rPr>
              <w:t>Taxa nu se aplică pentru:</w:t>
            </w:r>
            <w:r w:rsidRPr="00CB5F81">
              <w:rPr>
                <w:rFonts w:ascii="Times New Roman" w:eastAsia="Times New Roman" w:hAnsi="Times New Roman" w:cs="Times New Roman"/>
                <w:color w:val="000000"/>
                <w:sz w:val="16"/>
                <w:szCs w:val="16"/>
              </w:rPr>
              <w:br/>
              <w:t>a) apa extrasă din subsol concomitent cu minereurile utile sau extrasă pentru prevenirea (lichidarea) acţiunii dăunătoare a acestor ape;</w:t>
            </w:r>
            <w:r w:rsidRPr="00CB5F81">
              <w:rPr>
                <w:rFonts w:ascii="Times New Roman" w:eastAsia="Times New Roman" w:hAnsi="Times New Roman" w:cs="Times New Roman"/>
                <w:color w:val="000000"/>
                <w:sz w:val="16"/>
                <w:szCs w:val="16"/>
              </w:rPr>
              <w:br/>
              <w:t>b) apa extrasă şi livrată direct</w:t>
            </w:r>
            <w:r w:rsidR="00727837">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sau prin intermediul unor agenţi economici</w:t>
            </w:r>
            <w:r w:rsidR="00727837">
              <w:rPr>
                <w:rFonts w:ascii="Times New Roman" w:eastAsia="Times New Roman" w:hAnsi="Times New Roman" w:cs="Times New Roman"/>
                <w:color w:val="000000"/>
                <w:sz w:val="16"/>
                <w:szCs w:val="16"/>
              </w:rPr>
              <w:t>,</w:t>
            </w:r>
            <w:r w:rsidRPr="00CB5F81">
              <w:rPr>
                <w:rFonts w:ascii="Times New Roman" w:eastAsia="Times New Roman" w:hAnsi="Times New Roman" w:cs="Times New Roman"/>
                <w:color w:val="000000"/>
                <w:sz w:val="16"/>
                <w:szCs w:val="16"/>
              </w:rPr>
              <w:t xml:space="preserve"> populaţiei, autorităţilor publice şi instituţiilor finanţate de la bugetele de toate nivelurile;</w:t>
            </w:r>
            <w:r w:rsidRPr="00CB5F81">
              <w:rPr>
                <w:rFonts w:ascii="Times New Roman" w:eastAsia="Times New Roman" w:hAnsi="Times New Roman" w:cs="Times New Roman"/>
                <w:color w:val="000000"/>
                <w:sz w:val="16"/>
                <w:szCs w:val="16"/>
              </w:rPr>
              <w:br/>
              <w:t>c) apa extrasă pentru stingerea incendiilor sau livrată pentru aceste scopuri direct sau prin intermediul unor agenţi economici;</w:t>
            </w:r>
            <w:r w:rsidRPr="00CB5F81">
              <w:rPr>
                <w:rFonts w:ascii="Times New Roman" w:eastAsia="Times New Roman" w:hAnsi="Times New Roman" w:cs="Times New Roman"/>
                <w:color w:val="000000"/>
                <w:sz w:val="16"/>
                <w:szCs w:val="16"/>
              </w:rPr>
              <w:br/>
              <w:t>d) apa extrasă de întreprinderile societăţilor orbilor, surzilor, invalizilor şi instituţiile medico-sanitare publice sau livrată acestora direct sau prin intermediul unor agenţi economici;</w:t>
            </w:r>
            <w:r w:rsidRPr="00CB5F81">
              <w:rPr>
                <w:rFonts w:ascii="Times New Roman" w:eastAsia="Times New Roman" w:hAnsi="Times New Roman" w:cs="Times New Roman"/>
                <w:color w:val="000000"/>
                <w:sz w:val="16"/>
                <w:szCs w:val="16"/>
              </w:rPr>
              <w:br/>
              <w:t>e) apa extrasă de întreprinderile din cadrul sistemului penitenciar sau livrată acestora direct sau prin intermediul unor agenţi economici.</w:t>
            </w:r>
          </w:p>
        </w:tc>
        <w:tc>
          <w:tcPr>
            <w:tcW w:w="1151" w:type="dxa"/>
            <w:tcBorders>
              <w:top w:val="nil"/>
              <w:left w:val="nil"/>
              <w:bottom w:val="single" w:sz="8" w:space="0" w:color="auto"/>
              <w:right w:val="single" w:sz="4" w:space="0" w:color="auto"/>
            </w:tcBorders>
            <w:shd w:val="clear" w:color="000000" w:fill="FFFFFF"/>
            <w:vAlign w:val="center"/>
            <w:hideMark/>
          </w:tcPr>
          <w:p w:rsidR="002D760E" w:rsidRPr="00CB5F81" w:rsidRDefault="002D760E" w:rsidP="007B6C37">
            <w:pPr>
              <w:spacing w:after="0" w:line="240" w:lineRule="auto"/>
              <w:rPr>
                <w:rFonts w:ascii="Times New Roman" w:eastAsia="Times New Roman" w:hAnsi="Times New Roman" w:cs="Times New Roman"/>
                <w:b/>
                <w:bCs/>
                <w:color w:val="000000"/>
                <w:sz w:val="16"/>
                <w:szCs w:val="16"/>
              </w:rPr>
            </w:pPr>
            <w:r w:rsidRPr="00CB5F81">
              <w:rPr>
                <w:rFonts w:ascii="Times New Roman" w:eastAsia="Times New Roman" w:hAnsi="Times New Roman" w:cs="Times New Roman"/>
                <w:b/>
                <w:bCs/>
                <w:color w:val="000000"/>
                <w:sz w:val="16"/>
                <w:szCs w:val="16"/>
              </w:rPr>
              <w:t>CFTRN001 - CFTRN005</w:t>
            </w:r>
          </w:p>
        </w:tc>
        <w:tc>
          <w:tcPr>
            <w:tcW w:w="1238" w:type="dxa"/>
            <w:tcBorders>
              <w:top w:val="nil"/>
              <w:left w:val="nil"/>
              <w:bottom w:val="single" w:sz="8" w:space="0" w:color="auto"/>
              <w:right w:val="single" w:sz="4" w:space="0" w:color="auto"/>
            </w:tcBorders>
            <w:shd w:val="clear" w:color="000000" w:fill="FFFFFF"/>
            <w:hideMark/>
          </w:tcPr>
          <w:p w:rsidR="002D760E" w:rsidRPr="00CB5F81" w:rsidRDefault="002D760E" w:rsidP="007B6C37">
            <w:pPr>
              <w:spacing w:after="0" w:line="240" w:lineRule="auto"/>
              <w:rPr>
                <w:rFonts w:ascii="Times New Roman" w:eastAsia="Times New Roman" w:hAnsi="Times New Roman" w:cs="Times New Roman"/>
                <w:color w:val="000000"/>
                <w:sz w:val="12"/>
                <w:szCs w:val="12"/>
              </w:rPr>
            </w:pPr>
            <w:r w:rsidRPr="00CB5F81">
              <w:rPr>
                <w:rFonts w:ascii="Times New Roman" w:eastAsia="Times New Roman" w:hAnsi="Times New Roman" w:cs="Times New Roman"/>
                <w:color w:val="000000"/>
                <w:sz w:val="12"/>
                <w:szCs w:val="12"/>
              </w:rPr>
              <w:t>CF, art.306 lit.</w:t>
            </w:r>
            <w:r w:rsidR="00D04F57">
              <w:rPr>
                <w:rFonts w:ascii="Times New Roman" w:eastAsia="Times New Roman" w:hAnsi="Times New Roman" w:cs="Times New Roman"/>
                <w:color w:val="000000"/>
                <w:sz w:val="12"/>
                <w:szCs w:val="12"/>
              </w:rPr>
              <w:t xml:space="preserve"> </w:t>
            </w:r>
            <w:r w:rsidRPr="00CB5F81">
              <w:rPr>
                <w:rFonts w:ascii="Times New Roman" w:eastAsia="Times New Roman" w:hAnsi="Times New Roman" w:cs="Times New Roman"/>
                <w:color w:val="000000"/>
                <w:sz w:val="12"/>
                <w:szCs w:val="12"/>
              </w:rPr>
              <w:t>a)</w:t>
            </w:r>
          </w:p>
        </w:tc>
        <w:tc>
          <w:tcPr>
            <w:tcW w:w="1336" w:type="dxa"/>
            <w:tcBorders>
              <w:top w:val="nil"/>
              <w:left w:val="nil"/>
              <w:bottom w:val="single" w:sz="8" w:space="0" w:color="auto"/>
              <w:right w:val="single" w:sz="4" w:space="0" w:color="auto"/>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19,720,992.59</w:t>
            </w:r>
          </w:p>
        </w:tc>
        <w:tc>
          <w:tcPr>
            <w:tcW w:w="1336" w:type="dxa"/>
            <w:tcBorders>
              <w:top w:val="nil"/>
              <w:left w:val="nil"/>
              <w:bottom w:val="single" w:sz="8" w:space="0" w:color="auto"/>
              <w:right w:val="nil"/>
            </w:tcBorders>
            <w:shd w:val="clear" w:color="000000" w:fill="FFFFFF"/>
            <w:noWrap/>
            <w:hideMark/>
          </w:tcPr>
          <w:p w:rsidR="002D760E" w:rsidRPr="00CB5F81" w:rsidRDefault="002D760E" w:rsidP="007B6C37">
            <w:pPr>
              <w:spacing w:after="0" w:line="240" w:lineRule="auto"/>
              <w:jc w:val="right"/>
              <w:rPr>
                <w:rFonts w:ascii="Calibri" w:eastAsia="Times New Roman" w:hAnsi="Calibri" w:cs="Calibri"/>
                <w:color w:val="000000"/>
                <w:sz w:val="16"/>
                <w:szCs w:val="16"/>
              </w:rPr>
            </w:pPr>
            <w:r w:rsidRPr="00CB5F81">
              <w:rPr>
                <w:rFonts w:ascii="Calibri" w:eastAsia="Times New Roman" w:hAnsi="Calibri" w:cs="Calibri"/>
                <w:color w:val="000000"/>
                <w:sz w:val="16"/>
                <w:szCs w:val="16"/>
              </w:rPr>
              <w:t>19,825,689.19</w:t>
            </w:r>
          </w:p>
        </w:tc>
        <w:tc>
          <w:tcPr>
            <w:tcW w:w="1379" w:type="dxa"/>
            <w:tcBorders>
              <w:top w:val="nil"/>
              <w:left w:val="single" w:sz="4" w:space="0" w:color="auto"/>
              <w:bottom w:val="single" w:sz="8" w:space="0" w:color="auto"/>
              <w:right w:val="single" w:sz="8" w:space="0" w:color="auto"/>
            </w:tcBorders>
            <w:shd w:val="clear" w:color="auto" w:fill="auto"/>
            <w:noWrap/>
            <w:hideMark/>
          </w:tcPr>
          <w:p w:rsidR="002D760E" w:rsidRPr="00CB5F81" w:rsidRDefault="002D760E" w:rsidP="007B6C37">
            <w:pPr>
              <w:spacing w:after="0" w:line="240" w:lineRule="auto"/>
              <w:jc w:val="center"/>
              <w:rPr>
                <w:rFonts w:ascii="Calibri" w:eastAsia="Times New Roman" w:hAnsi="Calibri" w:cs="Calibri"/>
                <w:color w:val="000000"/>
                <w:sz w:val="16"/>
                <w:szCs w:val="16"/>
              </w:rPr>
            </w:pPr>
            <w:r w:rsidRPr="00CB5F81">
              <w:rPr>
                <w:rFonts w:ascii="Calibri" w:eastAsia="Times New Roman" w:hAnsi="Calibri" w:cs="Calibri"/>
                <w:color w:val="000000"/>
                <w:sz w:val="16"/>
                <w:szCs w:val="16"/>
              </w:rPr>
              <w:t>0</w:t>
            </w:r>
          </w:p>
        </w:tc>
      </w:tr>
      <w:tr w:rsidR="00D26C64" w:rsidRPr="00CB5F81" w:rsidTr="007D6CDF">
        <w:trPr>
          <w:trHeight w:val="48"/>
        </w:trPr>
        <w:tc>
          <w:tcPr>
            <w:tcW w:w="10310" w:type="dxa"/>
            <w:gridSpan w:val="7"/>
            <w:tcBorders>
              <w:top w:val="nil"/>
              <w:left w:val="nil"/>
              <w:bottom w:val="nil"/>
              <w:right w:val="nil"/>
            </w:tcBorders>
            <w:shd w:val="clear" w:color="auto" w:fill="auto"/>
            <w:noWrap/>
            <w:vAlign w:val="bottom"/>
            <w:hideMark/>
          </w:tcPr>
          <w:p w:rsidR="00D26C64" w:rsidRPr="00CB5F81" w:rsidRDefault="00D26C64" w:rsidP="007B6C37">
            <w:pPr>
              <w:spacing w:after="0" w:line="240" w:lineRule="auto"/>
              <w:rPr>
                <w:rFonts w:ascii="Calibri" w:eastAsia="Times New Roman" w:hAnsi="Calibri" w:cs="Calibri"/>
                <w:i/>
                <w:iCs/>
                <w:color w:val="000000"/>
                <w:sz w:val="16"/>
                <w:szCs w:val="16"/>
              </w:rPr>
            </w:pPr>
            <w:r w:rsidRPr="00D05E06">
              <w:rPr>
                <w:rFonts w:ascii="Calibri" w:eastAsia="Times New Roman" w:hAnsi="Calibri" w:cs="Calibri"/>
                <w:b/>
                <w:i/>
                <w:iCs/>
                <w:color w:val="000000"/>
                <w:sz w:val="16"/>
                <w:szCs w:val="16"/>
              </w:rPr>
              <w:t>Notă:</w:t>
            </w:r>
            <w:r w:rsidRPr="00CB5F81">
              <w:rPr>
                <w:rFonts w:ascii="Calibri" w:eastAsia="Times New Roman" w:hAnsi="Calibri" w:cs="Calibri"/>
                <w:i/>
                <w:iCs/>
                <w:color w:val="000000"/>
                <w:sz w:val="16"/>
                <w:szCs w:val="16"/>
              </w:rPr>
              <w:t xml:space="preserve"> Extrasul </w:t>
            </w:r>
            <w:r w:rsidRPr="00103CA0">
              <w:rPr>
                <w:rFonts w:ascii="Calibri" w:eastAsia="Times New Roman" w:hAnsi="Calibri" w:cs="Calibri"/>
                <w:i/>
                <w:iCs/>
                <w:color w:val="000000"/>
                <w:sz w:val="16"/>
                <w:szCs w:val="16"/>
              </w:rPr>
              <w:t>Registrului unic al facilităților conține</w:t>
            </w:r>
            <w:r w:rsidRPr="00CB5F81">
              <w:rPr>
                <w:rFonts w:ascii="Calibri" w:eastAsia="Times New Roman" w:hAnsi="Calibri" w:cs="Calibri"/>
                <w:i/>
                <w:iCs/>
                <w:color w:val="000000"/>
                <w:sz w:val="16"/>
                <w:szCs w:val="16"/>
              </w:rPr>
              <w:t xml:space="preserve"> doar spectrul de înlesniri cuantificate și administrate de SFS în anul 2020</w:t>
            </w:r>
            <w:r w:rsidR="00D04F57">
              <w:rPr>
                <w:rFonts w:ascii="Calibri" w:eastAsia="Times New Roman" w:hAnsi="Calibri" w:cs="Calibri"/>
                <w:i/>
                <w:iCs/>
                <w:color w:val="000000"/>
                <w:sz w:val="16"/>
                <w:szCs w:val="16"/>
              </w:rPr>
              <w:t>.</w:t>
            </w:r>
          </w:p>
        </w:tc>
      </w:tr>
    </w:tbl>
    <w:p w:rsidR="00D06AEB" w:rsidRPr="00CB5F81" w:rsidRDefault="00D06AEB" w:rsidP="00D06AEB">
      <w:pPr>
        <w:spacing w:after="0" w:line="276" w:lineRule="auto"/>
        <w:jc w:val="right"/>
        <w:rPr>
          <w:rFonts w:asciiTheme="majorHAnsi" w:hAnsiTheme="majorHAnsi" w:cstheme="majorHAnsi"/>
          <w:i/>
          <w:sz w:val="24"/>
          <w:szCs w:val="24"/>
        </w:rPr>
      </w:pPr>
      <w:r w:rsidRPr="00CB5F81">
        <w:rPr>
          <w:rFonts w:asciiTheme="majorHAnsi" w:hAnsiTheme="majorHAnsi" w:cstheme="majorHAnsi"/>
          <w:i/>
          <w:sz w:val="24"/>
          <w:szCs w:val="24"/>
        </w:rPr>
        <w:lastRenderedPageBreak/>
        <w:t>Anexa nr. 4</w:t>
      </w:r>
    </w:p>
    <w:p w:rsidR="00D06AEB" w:rsidRPr="00704C33" w:rsidRDefault="00D06AEB" w:rsidP="00D06AEB">
      <w:pPr>
        <w:jc w:val="center"/>
        <w:rPr>
          <w:b/>
          <w:sz w:val="24"/>
          <w:szCs w:val="24"/>
        </w:rPr>
      </w:pPr>
      <w:r w:rsidRPr="00704C33">
        <w:rPr>
          <w:b/>
          <w:sz w:val="24"/>
          <w:szCs w:val="24"/>
        </w:rPr>
        <w:t>Analiza privind valoarea cotei de alcool scutită de plata accizului de care au beneficiat agenții economici solicitanți de scutire, precum și suma impozitelor și taxelor achitate la buget de către aceștia în anul 2020</w:t>
      </w:r>
    </w:p>
    <w:tbl>
      <w:tblPr>
        <w:tblW w:w="9440" w:type="dxa"/>
        <w:tblLook w:val="04A0" w:firstRow="1" w:lastRow="0" w:firstColumn="1" w:lastColumn="0" w:noHBand="0" w:noVBand="1"/>
      </w:tblPr>
      <w:tblGrid>
        <w:gridCol w:w="636"/>
        <w:gridCol w:w="2431"/>
        <w:gridCol w:w="1709"/>
        <w:gridCol w:w="1281"/>
        <w:gridCol w:w="1759"/>
        <w:gridCol w:w="1624"/>
      </w:tblGrid>
      <w:tr w:rsidR="00D06AEB" w:rsidRPr="00CB5F81" w:rsidTr="00EC1EAF">
        <w:trPr>
          <w:trHeight w:val="852"/>
        </w:trPr>
        <w:tc>
          <w:tcPr>
            <w:tcW w:w="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ascii="Times New Roman" w:eastAsia="Times New Roman" w:hAnsi="Times New Roman" w:cs="Times New Roman"/>
                <w:b/>
                <w:bCs/>
                <w:color w:val="464949"/>
                <w:sz w:val="18"/>
                <w:szCs w:val="18"/>
              </w:rPr>
            </w:pPr>
            <w:r w:rsidRPr="00CB5F81">
              <w:rPr>
                <w:rFonts w:ascii="Times New Roman" w:eastAsia="Times New Roman" w:hAnsi="Times New Roman" w:cs="Times New Roman"/>
                <w:b/>
                <w:bCs/>
                <w:color w:val="464949"/>
                <w:sz w:val="18"/>
                <w:szCs w:val="18"/>
              </w:rPr>
              <w:t>Nr.</w:t>
            </w:r>
            <w:r w:rsidR="00D04F57">
              <w:rPr>
                <w:rFonts w:ascii="Times New Roman" w:eastAsia="Times New Roman" w:hAnsi="Times New Roman" w:cs="Times New Roman"/>
                <w:b/>
                <w:bCs/>
                <w:color w:val="464949"/>
                <w:sz w:val="18"/>
                <w:szCs w:val="18"/>
              </w:rPr>
              <w:t xml:space="preserve"> d/o</w:t>
            </w:r>
          </w:p>
        </w:tc>
        <w:tc>
          <w:tcPr>
            <w:tcW w:w="2431" w:type="dxa"/>
            <w:tcBorders>
              <w:top w:val="single" w:sz="4" w:space="0" w:color="auto"/>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ascii="Times New Roman" w:eastAsia="Times New Roman" w:hAnsi="Times New Roman" w:cs="Times New Roman"/>
                <w:b/>
                <w:bCs/>
                <w:color w:val="464949"/>
                <w:sz w:val="18"/>
                <w:szCs w:val="18"/>
              </w:rPr>
            </w:pPr>
            <w:r w:rsidRPr="00CB5F81">
              <w:rPr>
                <w:rFonts w:ascii="Times New Roman" w:eastAsia="Times New Roman" w:hAnsi="Times New Roman" w:cs="Times New Roman"/>
                <w:b/>
                <w:bCs/>
                <w:color w:val="464949"/>
                <w:sz w:val="18"/>
                <w:szCs w:val="18"/>
              </w:rPr>
              <w:t>Denumirea întreprinderii</w:t>
            </w:r>
          </w:p>
        </w:tc>
        <w:tc>
          <w:tcPr>
            <w:tcW w:w="1709" w:type="dxa"/>
            <w:tcBorders>
              <w:top w:val="single" w:sz="4" w:space="0" w:color="auto"/>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ascii="Times New Roman" w:eastAsia="Times New Roman" w:hAnsi="Times New Roman" w:cs="Times New Roman"/>
                <w:b/>
                <w:bCs/>
                <w:color w:val="464949"/>
                <w:sz w:val="18"/>
                <w:szCs w:val="18"/>
              </w:rPr>
            </w:pPr>
            <w:r w:rsidRPr="00CB5F81">
              <w:rPr>
                <w:rFonts w:ascii="Times New Roman" w:eastAsia="Times New Roman" w:hAnsi="Times New Roman" w:cs="Times New Roman"/>
                <w:b/>
                <w:bCs/>
                <w:color w:val="464949"/>
                <w:sz w:val="18"/>
                <w:szCs w:val="18"/>
              </w:rPr>
              <w:t>Codul fiscal</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ascii="Times New Roman" w:eastAsia="Times New Roman" w:hAnsi="Times New Roman" w:cs="Times New Roman"/>
                <w:b/>
                <w:bCs/>
                <w:color w:val="464949"/>
                <w:sz w:val="18"/>
                <w:szCs w:val="18"/>
              </w:rPr>
            </w:pPr>
            <w:r w:rsidRPr="00CB5F81">
              <w:rPr>
                <w:rFonts w:ascii="Times New Roman" w:eastAsia="Times New Roman" w:hAnsi="Times New Roman" w:cs="Times New Roman"/>
                <w:b/>
                <w:bCs/>
                <w:color w:val="464949"/>
                <w:sz w:val="18"/>
                <w:szCs w:val="18"/>
              </w:rPr>
              <w:t xml:space="preserve">Cota de alcool nedenaturat stabilită, </w:t>
            </w:r>
            <w:r w:rsidRPr="00704C33">
              <w:rPr>
                <w:rFonts w:ascii="Times New Roman" w:eastAsia="Times New Roman" w:hAnsi="Times New Roman" w:cs="Times New Roman"/>
                <w:b/>
                <w:bCs/>
                <w:color w:val="464949"/>
                <w:sz w:val="18"/>
                <w:szCs w:val="18"/>
              </w:rPr>
              <w:t>dai</w:t>
            </w:r>
          </w:p>
        </w:tc>
        <w:tc>
          <w:tcPr>
            <w:tcW w:w="1777" w:type="dxa"/>
            <w:tcBorders>
              <w:top w:val="single" w:sz="4" w:space="0" w:color="auto"/>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ascii="Times New Roman" w:eastAsia="Times New Roman" w:hAnsi="Times New Roman" w:cs="Times New Roman"/>
                <w:b/>
                <w:bCs/>
                <w:color w:val="464949"/>
                <w:sz w:val="18"/>
                <w:szCs w:val="18"/>
              </w:rPr>
            </w:pPr>
            <w:r w:rsidRPr="00CB5F81">
              <w:rPr>
                <w:rFonts w:ascii="Times New Roman" w:eastAsia="Times New Roman" w:hAnsi="Times New Roman" w:cs="Times New Roman"/>
                <w:b/>
                <w:bCs/>
                <w:color w:val="464949"/>
                <w:sz w:val="18"/>
                <w:szCs w:val="18"/>
              </w:rPr>
              <w:t>Valoarea cotei de alcool scutită de plata accizului stabilită</w:t>
            </w:r>
            <w:r w:rsidRPr="00CB5F81">
              <w:rPr>
                <w:rFonts w:ascii="Times New Roman" w:eastAsia="Times New Roman" w:hAnsi="Times New Roman" w:cs="Times New Roman"/>
                <w:b/>
                <w:bCs/>
                <w:color w:val="464949"/>
                <w:sz w:val="18"/>
                <w:szCs w:val="18"/>
              </w:rPr>
              <w:br/>
              <w:t>(mii lei)</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ascii="Times New Roman" w:eastAsia="Times New Roman" w:hAnsi="Times New Roman" w:cs="Times New Roman"/>
                <w:b/>
                <w:bCs/>
                <w:color w:val="464949"/>
                <w:sz w:val="18"/>
                <w:szCs w:val="18"/>
              </w:rPr>
            </w:pPr>
            <w:r w:rsidRPr="00CB5F81">
              <w:rPr>
                <w:rFonts w:ascii="Times New Roman" w:eastAsia="Times New Roman" w:hAnsi="Times New Roman" w:cs="Times New Roman"/>
                <w:b/>
                <w:bCs/>
                <w:color w:val="464949"/>
                <w:sz w:val="18"/>
                <w:szCs w:val="18"/>
              </w:rPr>
              <w:t>Suma impozitelor și taxelor achitate în anul 2020</w:t>
            </w:r>
            <w:r w:rsidRPr="00CB5F81">
              <w:rPr>
                <w:rFonts w:ascii="Times New Roman" w:eastAsia="Times New Roman" w:hAnsi="Times New Roman" w:cs="Times New Roman"/>
                <w:b/>
                <w:bCs/>
                <w:color w:val="464949"/>
                <w:sz w:val="18"/>
                <w:szCs w:val="18"/>
              </w:rPr>
              <w:br/>
              <w:t>(mii lei)</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1</w:t>
            </w:r>
          </w:p>
        </w:tc>
        <w:tc>
          <w:tcPr>
            <w:tcW w:w="2431" w:type="dxa"/>
            <w:tcBorders>
              <w:top w:val="nil"/>
              <w:left w:val="nil"/>
              <w:bottom w:val="single" w:sz="4" w:space="0" w:color="auto"/>
              <w:right w:val="single" w:sz="4" w:space="0" w:color="auto"/>
            </w:tcBorders>
            <w:shd w:val="clear" w:color="auto" w:fill="auto"/>
            <w:vAlign w:val="center"/>
            <w:hideMark/>
          </w:tcPr>
          <w:p w:rsidR="00D06AEB" w:rsidRPr="00CB5F81" w:rsidRDefault="00CB5F81" w:rsidP="00CB5F81">
            <w:pPr>
              <w:spacing w:after="0" w:line="240" w:lineRule="auto"/>
              <w:rPr>
                <w:rFonts w:eastAsia="Times New Roman" w:cstheme="minorHAnsi"/>
                <w:sz w:val="18"/>
                <w:szCs w:val="18"/>
              </w:rPr>
            </w:pPr>
            <w:r w:rsidRPr="00CB5F81">
              <w:rPr>
                <w:rFonts w:eastAsia="Times New Roman" w:cstheme="minorHAnsi"/>
                <w:sz w:val="18"/>
                <w:szCs w:val="18"/>
              </w:rPr>
              <w:t>SA „</w:t>
            </w:r>
            <w:r w:rsidR="00D06AEB" w:rsidRPr="00CB5F81">
              <w:rPr>
                <w:rFonts w:eastAsia="Times New Roman" w:cstheme="minorHAnsi"/>
                <w:sz w:val="18"/>
                <w:szCs w:val="18"/>
              </w:rPr>
              <w:t xml:space="preserve">Farmaco" </w:t>
            </w:r>
          </w:p>
        </w:tc>
        <w:tc>
          <w:tcPr>
            <w:tcW w:w="1709"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color w:val="000000"/>
                <w:sz w:val="18"/>
                <w:szCs w:val="18"/>
              </w:rPr>
            </w:pPr>
            <w:r w:rsidRPr="00CB5F81">
              <w:rPr>
                <w:rFonts w:eastAsia="Times New Roman" w:cstheme="minorHAnsi"/>
                <w:color w:val="000000"/>
                <w:sz w:val="18"/>
                <w:szCs w:val="18"/>
              </w:rPr>
              <w:t>1003600035059</w:t>
            </w:r>
          </w:p>
        </w:tc>
        <w:tc>
          <w:tcPr>
            <w:tcW w:w="128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5000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5,007.8</w:t>
            </w:r>
          </w:p>
        </w:tc>
        <w:tc>
          <w:tcPr>
            <w:tcW w:w="1624" w:type="dxa"/>
            <w:tcBorders>
              <w:top w:val="nil"/>
              <w:left w:val="nil"/>
              <w:bottom w:val="single" w:sz="4" w:space="0" w:color="auto"/>
              <w:right w:val="single" w:sz="4" w:space="0" w:color="auto"/>
            </w:tcBorders>
            <w:shd w:val="clear" w:color="auto" w:fill="auto"/>
            <w:noWrap/>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9.6</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2</w:t>
            </w:r>
          </w:p>
        </w:tc>
        <w:tc>
          <w:tcPr>
            <w:tcW w:w="2431"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rPr>
                <w:rFonts w:eastAsia="Times New Roman" w:cstheme="minorHAnsi"/>
                <w:sz w:val="18"/>
                <w:szCs w:val="18"/>
              </w:rPr>
            </w:pPr>
            <w:r w:rsidRPr="00CB5F81">
              <w:rPr>
                <w:rFonts w:eastAsia="Times New Roman" w:cstheme="minorHAnsi"/>
                <w:sz w:val="18"/>
                <w:szCs w:val="18"/>
              </w:rPr>
              <w:t>SRL „Marigold"</w:t>
            </w:r>
          </w:p>
        </w:tc>
        <w:tc>
          <w:tcPr>
            <w:tcW w:w="1709"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color w:val="000000"/>
                <w:sz w:val="18"/>
                <w:szCs w:val="18"/>
              </w:rPr>
            </w:pPr>
            <w:r w:rsidRPr="00CB5F81">
              <w:rPr>
                <w:rFonts w:eastAsia="Times New Roman" w:cstheme="minorHAnsi"/>
                <w:color w:val="000000"/>
                <w:sz w:val="18"/>
                <w:szCs w:val="18"/>
              </w:rPr>
              <w:t>1006611003257</w:t>
            </w:r>
          </w:p>
        </w:tc>
        <w:tc>
          <w:tcPr>
            <w:tcW w:w="128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6300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6,309.9</w:t>
            </w:r>
          </w:p>
        </w:tc>
        <w:tc>
          <w:tcPr>
            <w:tcW w:w="1624" w:type="dxa"/>
            <w:tcBorders>
              <w:top w:val="nil"/>
              <w:left w:val="nil"/>
              <w:bottom w:val="single" w:sz="4" w:space="0" w:color="auto"/>
              <w:right w:val="single" w:sz="4" w:space="0" w:color="auto"/>
            </w:tcBorders>
            <w:shd w:val="clear" w:color="auto" w:fill="auto"/>
            <w:noWrap/>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46.5</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3</w:t>
            </w:r>
          </w:p>
        </w:tc>
        <w:tc>
          <w:tcPr>
            <w:tcW w:w="2431"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rPr>
                <w:rFonts w:eastAsia="Times New Roman" w:cstheme="minorHAnsi"/>
                <w:sz w:val="18"/>
                <w:szCs w:val="18"/>
              </w:rPr>
            </w:pPr>
            <w:r w:rsidRPr="00CB5F81">
              <w:rPr>
                <w:rFonts w:eastAsia="Times New Roman" w:cstheme="minorHAnsi"/>
                <w:sz w:val="18"/>
                <w:szCs w:val="18"/>
              </w:rPr>
              <w:t>SRL „Leonardo Cellars”</w:t>
            </w:r>
          </w:p>
        </w:tc>
        <w:tc>
          <w:tcPr>
            <w:tcW w:w="1709"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1014600009199</w:t>
            </w:r>
          </w:p>
        </w:tc>
        <w:tc>
          <w:tcPr>
            <w:tcW w:w="128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10000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10,015.7</w:t>
            </w:r>
          </w:p>
        </w:tc>
        <w:tc>
          <w:tcPr>
            <w:tcW w:w="1624"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20.9</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4</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rPr>
                <w:rFonts w:eastAsia="Times New Roman" w:cstheme="minorHAnsi"/>
                <w:sz w:val="18"/>
                <w:szCs w:val="18"/>
              </w:rPr>
            </w:pPr>
            <w:r w:rsidRPr="00CB5F81">
              <w:rPr>
                <w:rFonts w:eastAsia="Times New Roman" w:cstheme="minorHAnsi"/>
                <w:sz w:val="18"/>
                <w:szCs w:val="18"/>
              </w:rPr>
              <w:t>SA „Viorica-Cosmetic"</w:t>
            </w:r>
          </w:p>
        </w:tc>
        <w:tc>
          <w:tcPr>
            <w:tcW w:w="1709"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1002600033793</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555000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555,870.2</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12,276.1</w:t>
            </w:r>
          </w:p>
        </w:tc>
      </w:tr>
      <w:tr w:rsidR="00D06AEB" w:rsidRPr="00CB5F81" w:rsidTr="00EC1EAF">
        <w:trPr>
          <w:trHeight w:val="552"/>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5</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rPr>
                <w:rFonts w:eastAsia="Times New Roman" w:cstheme="minorHAnsi"/>
                <w:sz w:val="18"/>
                <w:szCs w:val="18"/>
              </w:rPr>
            </w:pPr>
            <w:r w:rsidRPr="00CB5F81">
              <w:rPr>
                <w:rFonts w:eastAsia="Times New Roman" w:cstheme="minorHAnsi"/>
                <w:sz w:val="18"/>
                <w:szCs w:val="18"/>
              </w:rPr>
              <w:t xml:space="preserve">SRL „Viantic </w:t>
            </w:r>
            <w:r w:rsidR="00CB5F81" w:rsidRPr="00CB5F81">
              <w:rPr>
                <w:rFonts w:eastAsia="Times New Roman" w:cstheme="minorHAnsi"/>
                <w:sz w:val="18"/>
                <w:szCs w:val="18"/>
              </w:rPr>
              <w:t>Internațional</w:t>
            </w:r>
            <w:r w:rsidRPr="00CB5F81">
              <w:rPr>
                <w:rFonts w:eastAsia="Times New Roman" w:cstheme="minorHAnsi"/>
                <w:sz w:val="18"/>
                <w:szCs w:val="18"/>
              </w:rPr>
              <w:t>'’</w:t>
            </w:r>
          </w:p>
        </w:tc>
        <w:tc>
          <w:tcPr>
            <w:tcW w:w="1709"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1011600031416</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13000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13,020.4</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551.3</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6</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rPr>
                <w:rFonts w:eastAsia="Times New Roman" w:cstheme="minorHAnsi"/>
                <w:sz w:val="18"/>
                <w:szCs w:val="18"/>
              </w:rPr>
            </w:pPr>
            <w:r w:rsidRPr="00CB5F81">
              <w:rPr>
                <w:rFonts w:eastAsia="Times New Roman" w:cstheme="minorHAnsi"/>
                <w:sz w:val="18"/>
                <w:szCs w:val="18"/>
              </w:rPr>
              <w:t>SRL „Rodital-Lux”</w:t>
            </w:r>
          </w:p>
        </w:tc>
        <w:tc>
          <w:tcPr>
            <w:tcW w:w="1709"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1002600050071</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8500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8,513.3</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1,773.1</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7</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CB5F81" w:rsidP="00CB5F81">
            <w:pPr>
              <w:spacing w:after="0" w:line="240" w:lineRule="auto"/>
              <w:rPr>
                <w:rFonts w:eastAsia="Times New Roman" w:cstheme="minorHAnsi"/>
                <w:sz w:val="18"/>
                <w:szCs w:val="18"/>
              </w:rPr>
            </w:pPr>
            <w:r w:rsidRPr="00CB5F81">
              <w:rPr>
                <w:rFonts w:eastAsia="Times New Roman" w:cstheme="minorHAnsi"/>
                <w:sz w:val="18"/>
                <w:szCs w:val="18"/>
              </w:rPr>
              <w:t xml:space="preserve">SRL </w:t>
            </w:r>
            <w:r w:rsidR="00D06AEB" w:rsidRPr="00CB5F81">
              <w:rPr>
                <w:rFonts w:eastAsia="Times New Roman" w:cstheme="minorHAnsi"/>
                <w:sz w:val="18"/>
                <w:szCs w:val="18"/>
              </w:rPr>
              <w:t>„Ekokemika”.</w:t>
            </w:r>
          </w:p>
        </w:tc>
        <w:tc>
          <w:tcPr>
            <w:tcW w:w="1709"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1014600003153</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5000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5,007.8</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1,085.9</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8</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4F57" w:rsidP="00CB5F81">
            <w:pPr>
              <w:spacing w:after="0" w:line="240" w:lineRule="auto"/>
              <w:rPr>
                <w:rFonts w:eastAsia="Times New Roman" w:cstheme="minorHAnsi"/>
                <w:sz w:val="18"/>
                <w:szCs w:val="18"/>
              </w:rPr>
            </w:pPr>
            <w:r>
              <w:rPr>
                <w:rFonts w:eastAsia="Times New Roman" w:cstheme="minorHAnsi"/>
                <w:sz w:val="18"/>
                <w:szCs w:val="18"/>
              </w:rPr>
              <w:t>SRL</w:t>
            </w:r>
            <w:r w:rsidR="00CB5F81" w:rsidRPr="00CB5F81">
              <w:rPr>
                <w:rFonts w:eastAsia="Times New Roman" w:cstheme="minorHAnsi"/>
                <w:sz w:val="18"/>
                <w:szCs w:val="18"/>
              </w:rPr>
              <w:t xml:space="preserve"> </w:t>
            </w:r>
            <w:r w:rsidR="00D06AEB" w:rsidRPr="00CB5F81">
              <w:rPr>
                <w:rFonts w:eastAsia="Times New Roman" w:cstheme="minorHAnsi"/>
                <w:sz w:val="18"/>
                <w:szCs w:val="18"/>
              </w:rPr>
              <w:t xml:space="preserve">„Ros Cosmetic” </w:t>
            </w:r>
          </w:p>
        </w:tc>
        <w:tc>
          <w:tcPr>
            <w:tcW w:w="1709"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1014600043744</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2000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2,003.1</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105.3</w:t>
            </w:r>
          </w:p>
        </w:tc>
      </w:tr>
      <w:tr w:rsidR="00D06AEB" w:rsidRPr="00CB5F81" w:rsidTr="00EC1EAF">
        <w:trPr>
          <w:trHeight w:val="552"/>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9</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4F57" w:rsidP="00EC1EAF">
            <w:pPr>
              <w:spacing w:after="0" w:line="240" w:lineRule="auto"/>
              <w:rPr>
                <w:rFonts w:eastAsia="Times New Roman" w:cstheme="minorHAnsi"/>
                <w:sz w:val="18"/>
                <w:szCs w:val="18"/>
              </w:rPr>
            </w:pPr>
            <w:r>
              <w:rPr>
                <w:rFonts w:eastAsia="Times New Roman" w:cstheme="minorHAnsi"/>
                <w:sz w:val="18"/>
                <w:szCs w:val="18"/>
              </w:rPr>
              <w:t>SRL</w:t>
            </w:r>
            <w:r w:rsidR="00D06AEB" w:rsidRPr="00CB5F81">
              <w:rPr>
                <w:rFonts w:eastAsia="Times New Roman" w:cstheme="minorHAnsi"/>
                <w:sz w:val="18"/>
                <w:szCs w:val="18"/>
              </w:rPr>
              <w:t xml:space="preserve"> „MC Pharmaceuticals”</w:t>
            </w:r>
          </w:p>
        </w:tc>
        <w:tc>
          <w:tcPr>
            <w:tcW w:w="1709"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color w:val="000000"/>
                <w:sz w:val="18"/>
                <w:szCs w:val="18"/>
              </w:rPr>
            </w:pPr>
            <w:r w:rsidRPr="00CB5F81">
              <w:rPr>
                <w:rFonts w:eastAsia="Times New Roman" w:cstheme="minorHAnsi"/>
                <w:color w:val="000000"/>
                <w:sz w:val="18"/>
                <w:szCs w:val="18"/>
              </w:rPr>
              <w:t>1019600017571</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26680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26,721.8</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810.0</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10</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4F57" w:rsidP="00CB5F81">
            <w:pPr>
              <w:spacing w:after="0" w:line="240" w:lineRule="auto"/>
              <w:rPr>
                <w:rFonts w:eastAsia="Times New Roman" w:cstheme="minorHAnsi"/>
                <w:sz w:val="18"/>
                <w:szCs w:val="18"/>
              </w:rPr>
            </w:pPr>
            <w:r>
              <w:rPr>
                <w:rFonts w:eastAsia="Times New Roman" w:cstheme="minorHAnsi"/>
                <w:sz w:val="18"/>
                <w:szCs w:val="18"/>
              </w:rPr>
              <w:t>SRL</w:t>
            </w:r>
            <w:r w:rsidR="00CB5F81" w:rsidRPr="00CB5F81">
              <w:rPr>
                <w:rFonts w:eastAsia="Times New Roman" w:cstheme="minorHAnsi"/>
                <w:sz w:val="18"/>
                <w:szCs w:val="18"/>
              </w:rPr>
              <w:t xml:space="preserve"> </w:t>
            </w:r>
            <w:r w:rsidR="00D06AEB" w:rsidRPr="00CB5F81">
              <w:rPr>
                <w:rFonts w:eastAsia="Times New Roman" w:cstheme="minorHAnsi"/>
                <w:sz w:val="18"/>
                <w:szCs w:val="18"/>
              </w:rPr>
              <w:t xml:space="preserve">„Magichim” </w:t>
            </w:r>
          </w:p>
        </w:tc>
        <w:tc>
          <w:tcPr>
            <w:tcW w:w="1709"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color w:val="000000"/>
                <w:sz w:val="18"/>
                <w:szCs w:val="18"/>
              </w:rPr>
            </w:pPr>
            <w:r w:rsidRPr="00CB5F81">
              <w:rPr>
                <w:rFonts w:eastAsia="Times New Roman" w:cstheme="minorHAnsi"/>
                <w:color w:val="000000"/>
                <w:sz w:val="18"/>
                <w:szCs w:val="18"/>
              </w:rPr>
              <w:t>1018600050638</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7100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7,111.1</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1,538.1</w:t>
            </w:r>
          </w:p>
        </w:tc>
      </w:tr>
      <w:tr w:rsidR="00D06AEB" w:rsidRPr="00CB5F81" w:rsidTr="00EC1EAF">
        <w:trPr>
          <w:trHeight w:val="552"/>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11</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4F57" w:rsidP="00CB5F81">
            <w:pPr>
              <w:spacing w:after="0" w:line="240" w:lineRule="auto"/>
              <w:rPr>
                <w:rFonts w:eastAsia="Times New Roman" w:cstheme="minorHAnsi"/>
                <w:sz w:val="18"/>
                <w:szCs w:val="18"/>
              </w:rPr>
            </w:pPr>
            <w:r>
              <w:rPr>
                <w:rFonts w:eastAsia="Times New Roman" w:cstheme="minorHAnsi"/>
                <w:sz w:val="18"/>
                <w:szCs w:val="18"/>
              </w:rPr>
              <w:t>SRL</w:t>
            </w:r>
            <w:r w:rsidR="00CB5F81" w:rsidRPr="00CB5F81">
              <w:rPr>
                <w:rFonts w:eastAsia="Times New Roman" w:cstheme="minorHAnsi"/>
                <w:sz w:val="18"/>
                <w:szCs w:val="18"/>
              </w:rPr>
              <w:t xml:space="preserve"> </w:t>
            </w:r>
            <w:r w:rsidR="00D06AEB" w:rsidRPr="00CB5F81">
              <w:rPr>
                <w:rFonts w:eastAsia="Times New Roman" w:cstheme="minorHAnsi"/>
                <w:sz w:val="18"/>
                <w:szCs w:val="18"/>
              </w:rPr>
              <w:t xml:space="preserve">„Spirits and Distilled Trade" </w:t>
            </w:r>
          </w:p>
        </w:tc>
        <w:tc>
          <w:tcPr>
            <w:tcW w:w="1709" w:type="dxa"/>
            <w:tcBorders>
              <w:top w:val="nil"/>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color w:val="000000"/>
                <w:sz w:val="18"/>
                <w:szCs w:val="18"/>
              </w:rPr>
            </w:pPr>
            <w:r w:rsidRPr="00CB5F81">
              <w:rPr>
                <w:rFonts w:eastAsia="Times New Roman" w:cstheme="minorHAnsi"/>
                <w:color w:val="000000"/>
                <w:sz w:val="18"/>
                <w:szCs w:val="18"/>
              </w:rPr>
              <w:t>1014600009096</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2000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2,003.1</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1,925.2</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12</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4F57" w:rsidP="00EC1EAF">
            <w:pPr>
              <w:spacing w:after="0" w:line="240" w:lineRule="auto"/>
              <w:rPr>
                <w:rFonts w:eastAsia="Times New Roman" w:cstheme="minorHAnsi"/>
                <w:sz w:val="18"/>
                <w:szCs w:val="18"/>
              </w:rPr>
            </w:pPr>
            <w:r>
              <w:rPr>
                <w:rFonts w:eastAsia="Times New Roman" w:cstheme="minorHAnsi"/>
                <w:sz w:val="18"/>
                <w:szCs w:val="18"/>
              </w:rPr>
              <w:t>SRL</w:t>
            </w:r>
            <w:r w:rsidR="00D06AEB" w:rsidRPr="00CB5F81">
              <w:rPr>
                <w:rFonts w:eastAsia="Times New Roman" w:cstheme="minorHAnsi"/>
                <w:sz w:val="18"/>
                <w:szCs w:val="18"/>
              </w:rPr>
              <w:t xml:space="preserve"> „Catol Lux”</w:t>
            </w:r>
          </w:p>
        </w:tc>
        <w:tc>
          <w:tcPr>
            <w:tcW w:w="1709" w:type="dxa"/>
            <w:tcBorders>
              <w:top w:val="nil"/>
              <w:left w:val="nil"/>
              <w:bottom w:val="nil"/>
              <w:right w:val="nil"/>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color w:val="000000"/>
                <w:sz w:val="18"/>
                <w:szCs w:val="18"/>
              </w:rPr>
            </w:pPr>
            <w:r w:rsidRPr="00CB5F81">
              <w:rPr>
                <w:rFonts w:eastAsia="Times New Roman" w:cstheme="minorHAnsi"/>
                <w:color w:val="000000"/>
                <w:sz w:val="18"/>
                <w:szCs w:val="18"/>
              </w:rPr>
              <w:t>1003600053091</w:t>
            </w:r>
          </w:p>
        </w:tc>
        <w:tc>
          <w:tcPr>
            <w:tcW w:w="1284" w:type="dxa"/>
            <w:tcBorders>
              <w:top w:val="nil"/>
              <w:left w:val="single" w:sz="4" w:space="0" w:color="auto"/>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18000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18,028.2</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8,476.3</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13</w:t>
            </w:r>
          </w:p>
        </w:tc>
        <w:tc>
          <w:tcPr>
            <w:tcW w:w="2431" w:type="dxa"/>
            <w:tcBorders>
              <w:top w:val="nil"/>
              <w:left w:val="nil"/>
              <w:bottom w:val="single" w:sz="4" w:space="0" w:color="auto"/>
              <w:right w:val="single" w:sz="4" w:space="0" w:color="auto"/>
            </w:tcBorders>
            <w:shd w:val="clear" w:color="auto" w:fill="auto"/>
            <w:noWrap/>
            <w:vAlign w:val="bottom"/>
            <w:hideMark/>
          </w:tcPr>
          <w:p w:rsidR="00D06AEB" w:rsidRPr="00CB5F81" w:rsidRDefault="00D04F57" w:rsidP="00EC1EAF">
            <w:pPr>
              <w:spacing w:after="0" w:line="240" w:lineRule="auto"/>
              <w:rPr>
                <w:rFonts w:eastAsia="Times New Roman" w:cstheme="minorHAnsi"/>
                <w:color w:val="000000"/>
                <w:sz w:val="18"/>
                <w:szCs w:val="18"/>
              </w:rPr>
            </w:pPr>
            <w:r>
              <w:rPr>
                <w:rFonts w:eastAsia="Times New Roman" w:cstheme="minorHAnsi"/>
                <w:color w:val="000000"/>
                <w:sz w:val="18"/>
                <w:szCs w:val="18"/>
              </w:rPr>
              <w:t>SRL</w:t>
            </w:r>
            <w:r w:rsidR="00CB5F81" w:rsidRPr="00CB5F81">
              <w:rPr>
                <w:rFonts w:eastAsia="Times New Roman" w:cstheme="minorHAnsi"/>
                <w:color w:val="000000"/>
                <w:sz w:val="18"/>
                <w:szCs w:val="18"/>
              </w:rPr>
              <w:t xml:space="preserve"> „</w:t>
            </w:r>
            <w:r w:rsidR="00D06AEB" w:rsidRPr="00CB5F81">
              <w:rPr>
                <w:rFonts w:eastAsia="Times New Roman" w:cstheme="minorHAnsi"/>
                <w:color w:val="000000"/>
                <w:sz w:val="18"/>
                <w:szCs w:val="18"/>
              </w:rPr>
              <w:t>Quatro-Service”</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color w:val="000000"/>
                <w:sz w:val="18"/>
                <w:szCs w:val="18"/>
              </w:rPr>
            </w:pPr>
            <w:r w:rsidRPr="00CB5F81">
              <w:rPr>
                <w:rFonts w:eastAsia="Times New Roman" w:cstheme="minorHAnsi"/>
                <w:color w:val="000000"/>
                <w:sz w:val="18"/>
                <w:szCs w:val="18"/>
              </w:rPr>
              <w:t>1013600016882</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500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500.8</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446.7</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14</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4F57" w:rsidP="00EC1EAF">
            <w:pPr>
              <w:spacing w:after="0" w:line="240" w:lineRule="auto"/>
              <w:rPr>
                <w:rFonts w:eastAsia="Times New Roman" w:cstheme="minorHAnsi"/>
                <w:sz w:val="18"/>
                <w:szCs w:val="18"/>
              </w:rPr>
            </w:pPr>
            <w:r>
              <w:rPr>
                <w:rFonts w:eastAsia="Times New Roman" w:cstheme="minorHAnsi"/>
                <w:sz w:val="18"/>
                <w:szCs w:val="18"/>
              </w:rPr>
              <w:t>SRL</w:t>
            </w:r>
            <w:r w:rsidR="00D06AEB" w:rsidRPr="00CB5F81">
              <w:rPr>
                <w:rFonts w:eastAsia="Times New Roman" w:cstheme="minorHAnsi"/>
                <w:sz w:val="18"/>
                <w:szCs w:val="18"/>
              </w:rPr>
              <w:t xml:space="preserve"> „Golub Stil"</w:t>
            </w:r>
          </w:p>
        </w:tc>
        <w:tc>
          <w:tcPr>
            <w:tcW w:w="1709"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1009600029863</w:t>
            </w:r>
          </w:p>
        </w:tc>
        <w:tc>
          <w:tcPr>
            <w:tcW w:w="1284" w:type="dxa"/>
            <w:tcBorders>
              <w:top w:val="nil"/>
              <w:left w:val="nil"/>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500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500.8</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387.5</w:t>
            </w:r>
          </w:p>
        </w:tc>
      </w:tr>
      <w:tr w:rsidR="00D06AEB" w:rsidRPr="00CB5F81" w:rsidTr="00EC1EAF">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ind w:firstLineChars="100" w:firstLine="210"/>
              <w:rPr>
                <w:rFonts w:ascii="Times New Roman" w:eastAsia="Times New Roman" w:hAnsi="Times New Roman" w:cs="Times New Roman"/>
                <w:color w:val="636567"/>
                <w:sz w:val="21"/>
                <w:szCs w:val="21"/>
              </w:rPr>
            </w:pPr>
            <w:r w:rsidRPr="00CB5F81">
              <w:rPr>
                <w:rFonts w:ascii="Times New Roman" w:eastAsia="Times New Roman" w:hAnsi="Times New Roman" w:cs="Times New Roman"/>
                <w:color w:val="636567"/>
                <w:sz w:val="21"/>
                <w:szCs w:val="21"/>
              </w:rPr>
              <w:t>15</w:t>
            </w:r>
          </w:p>
        </w:tc>
        <w:tc>
          <w:tcPr>
            <w:tcW w:w="2431" w:type="dxa"/>
            <w:tcBorders>
              <w:top w:val="nil"/>
              <w:left w:val="nil"/>
              <w:bottom w:val="single" w:sz="4" w:space="0" w:color="auto"/>
              <w:right w:val="single" w:sz="4" w:space="0" w:color="auto"/>
            </w:tcBorders>
            <w:shd w:val="clear" w:color="000000" w:fill="FFFFFF"/>
            <w:vAlign w:val="center"/>
            <w:hideMark/>
          </w:tcPr>
          <w:p w:rsidR="00D06AEB" w:rsidRPr="00CB5F81" w:rsidRDefault="00D04F57" w:rsidP="00EC1EAF">
            <w:pPr>
              <w:spacing w:after="0" w:line="240" w:lineRule="auto"/>
              <w:rPr>
                <w:rFonts w:eastAsia="Times New Roman" w:cstheme="minorHAnsi"/>
                <w:sz w:val="18"/>
                <w:szCs w:val="18"/>
              </w:rPr>
            </w:pPr>
            <w:r>
              <w:rPr>
                <w:rFonts w:eastAsia="Times New Roman" w:cstheme="minorHAnsi"/>
                <w:sz w:val="18"/>
                <w:szCs w:val="18"/>
              </w:rPr>
              <w:t>SRL</w:t>
            </w:r>
            <w:r w:rsidR="00D06AEB" w:rsidRPr="00CB5F81">
              <w:rPr>
                <w:rFonts w:eastAsia="Times New Roman" w:cstheme="minorHAnsi"/>
                <w:sz w:val="18"/>
                <w:szCs w:val="18"/>
              </w:rPr>
              <w:t xml:space="preserve"> „Chemix Grupp”</w:t>
            </w:r>
          </w:p>
        </w:tc>
        <w:tc>
          <w:tcPr>
            <w:tcW w:w="1709" w:type="dxa"/>
            <w:tcBorders>
              <w:top w:val="nil"/>
              <w:left w:val="nil"/>
              <w:bottom w:val="nil"/>
              <w:right w:val="nil"/>
            </w:tcBorders>
            <w:shd w:val="clear" w:color="auto" w:fill="auto"/>
            <w:noWrap/>
            <w:vAlign w:val="bottom"/>
            <w:hideMark/>
          </w:tcPr>
          <w:p w:rsidR="00D06AEB" w:rsidRPr="00CB5F81" w:rsidRDefault="00D06AEB" w:rsidP="00EC1EAF">
            <w:pPr>
              <w:spacing w:after="0" w:line="240" w:lineRule="auto"/>
              <w:jc w:val="right"/>
              <w:rPr>
                <w:rFonts w:eastAsia="Times New Roman" w:cstheme="minorHAnsi"/>
                <w:color w:val="000000"/>
                <w:sz w:val="18"/>
                <w:szCs w:val="18"/>
              </w:rPr>
            </w:pPr>
            <w:r w:rsidRPr="00CB5F81">
              <w:rPr>
                <w:rFonts w:eastAsia="Times New Roman" w:cstheme="minorHAnsi"/>
                <w:color w:val="000000"/>
                <w:sz w:val="18"/>
                <w:szCs w:val="18"/>
              </w:rPr>
              <w:t>1008600021848</w:t>
            </w:r>
          </w:p>
        </w:tc>
        <w:tc>
          <w:tcPr>
            <w:tcW w:w="1284" w:type="dxa"/>
            <w:tcBorders>
              <w:top w:val="nil"/>
              <w:left w:val="single" w:sz="4" w:space="0" w:color="auto"/>
              <w:bottom w:val="single" w:sz="4" w:space="0" w:color="auto"/>
              <w:right w:val="single" w:sz="4" w:space="0" w:color="auto"/>
            </w:tcBorders>
            <w:shd w:val="clear" w:color="000000" w:fill="FFFFFF"/>
            <w:vAlign w:val="center"/>
            <w:hideMark/>
          </w:tcPr>
          <w:p w:rsidR="00D06AEB" w:rsidRPr="00CB5F81" w:rsidRDefault="00D06AEB" w:rsidP="00EC1EAF">
            <w:pPr>
              <w:spacing w:after="0" w:line="240" w:lineRule="auto"/>
              <w:jc w:val="center"/>
              <w:rPr>
                <w:rFonts w:eastAsia="Times New Roman" w:cstheme="minorHAnsi"/>
                <w:sz w:val="18"/>
                <w:szCs w:val="18"/>
              </w:rPr>
            </w:pPr>
            <w:r w:rsidRPr="00CB5F81">
              <w:rPr>
                <w:rFonts w:eastAsia="Times New Roman" w:cstheme="minorHAnsi"/>
                <w:sz w:val="18"/>
                <w:szCs w:val="18"/>
              </w:rPr>
              <w:t>6000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6,009.4</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eastAsia="Times New Roman" w:cstheme="minorHAnsi"/>
                <w:sz w:val="18"/>
                <w:szCs w:val="18"/>
              </w:rPr>
            </w:pPr>
            <w:r w:rsidRPr="00CB5F81">
              <w:rPr>
                <w:rFonts w:eastAsia="Times New Roman" w:cstheme="minorHAnsi"/>
                <w:sz w:val="18"/>
                <w:szCs w:val="18"/>
              </w:rPr>
              <w:t>451.0</w:t>
            </w:r>
          </w:p>
        </w:tc>
      </w:tr>
      <w:tr w:rsidR="00D06AEB" w:rsidRPr="00CB5F81" w:rsidTr="00EC1EAF">
        <w:trPr>
          <w:trHeight w:val="456"/>
        </w:trPr>
        <w:tc>
          <w:tcPr>
            <w:tcW w:w="47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6AEB" w:rsidRPr="00CB5F81" w:rsidRDefault="00D06AEB" w:rsidP="00EC1EAF">
            <w:pPr>
              <w:spacing w:after="0" w:line="240" w:lineRule="auto"/>
              <w:jc w:val="center"/>
              <w:rPr>
                <w:rFonts w:ascii="Times New Roman" w:eastAsia="Times New Roman" w:hAnsi="Times New Roman" w:cs="Times New Roman"/>
                <w:b/>
                <w:bCs/>
                <w:color w:val="464949"/>
              </w:rPr>
            </w:pPr>
            <w:r w:rsidRPr="00CB5F81">
              <w:rPr>
                <w:rFonts w:ascii="Times New Roman" w:eastAsia="Times New Roman" w:hAnsi="Times New Roman" w:cs="Times New Roman"/>
                <w:b/>
                <w:bCs/>
                <w:color w:val="464949"/>
              </w:rPr>
              <w:t>Total</w:t>
            </w:r>
          </w:p>
        </w:tc>
        <w:tc>
          <w:tcPr>
            <w:tcW w:w="128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center"/>
              <w:rPr>
                <w:rFonts w:ascii="Times New Roman" w:eastAsia="Times New Roman" w:hAnsi="Times New Roman" w:cs="Times New Roman"/>
                <w:b/>
                <w:bCs/>
                <w:color w:val="464949"/>
              </w:rPr>
            </w:pPr>
            <w:r w:rsidRPr="00CB5F81">
              <w:rPr>
                <w:rFonts w:ascii="Times New Roman" w:eastAsia="Times New Roman" w:hAnsi="Times New Roman" w:cs="Times New Roman"/>
                <w:b/>
                <w:bCs/>
                <w:color w:val="464949"/>
              </w:rPr>
              <w:t>665580</w:t>
            </w:r>
          </w:p>
        </w:tc>
        <w:tc>
          <w:tcPr>
            <w:tcW w:w="1777"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ascii="Times New Roman" w:eastAsia="Times New Roman" w:hAnsi="Times New Roman" w:cs="Times New Roman"/>
                <w:b/>
                <w:bCs/>
                <w:color w:val="464949"/>
              </w:rPr>
            </w:pPr>
            <w:r w:rsidRPr="00CB5F81">
              <w:rPr>
                <w:rFonts w:ascii="Times New Roman" w:eastAsia="Times New Roman" w:hAnsi="Times New Roman" w:cs="Times New Roman"/>
                <w:b/>
                <w:bCs/>
                <w:color w:val="464949"/>
              </w:rPr>
              <w:t>666,623.6</w:t>
            </w:r>
          </w:p>
        </w:tc>
        <w:tc>
          <w:tcPr>
            <w:tcW w:w="1624" w:type="dxa"/>
            <w:tcBorders>
              <w:top w:val="nil"/>
              <w:left w:val="nil"/>
              <w:bottom w:val="single" w:sz="4" w:space="0" w:color="auto"/>
              <w:right w:val="single" w:sz="4" w:space="0" w:color="auto"/>
            </w:tcBorders>
            <w:shd w:val="clear" w:color="auto" w:fill="auto"/>
            <w:vAlign w:val="center"/>
            <w:hideMark/>
          </w:tcPr>
          <w:p w:rsidR="00D06AEB" w:rsidRPr="00CB5F81" w:rsidRDefault="00D06AEB" w:rsidP="00EC1EAF">
            <w:pPr>
              <w:spacing w:after="0" w:line="240" w:lineRule="auto"/>
              <w:jc w:val="right"/>
              <w:rPr>
                <w:rFonts w:ascii="Times New Roman" w:eastAsia="Times New Roman" w:hAnsi="Times New Roman" w:cs="Times New Roman"/>
                <w:b/>
                <w:bCs/>
                <w:color w:val="464949"/>
              </w:rPr>
            </w:pPr>
            <w:r w:rsidRPr="00CB5F81">
              <w:rPr>
                <w:rFonts w:ascii="Times New Roman" w:eastAsia="Times New Roman" w:hAnsi="Times New Roman" w:cs="Times New Roman"/>
                <w:b/>
                <w:bCs/>
                <w:color w:val="464949"/>
              </w:rPr>
              <w:t>29,903.5</w:t>
            </w:r>
          </w:p>
        </w:tc>
      </w:tr>
    </w:tbl>
    <w:p w:rsidR="00D06AEB" w:rsidRPr="00CB5F81" w:rsidRDefault="00D06AEB" w:rsidP="00D06AEB">
      <w:pPr>
        <w:jc w:val="center"/>
        <w:rPr>
          <w:i/>
          <w:sz w:val="24"/>
          <w:szCs w:val="24"/>
        </w:rPr>
      </w:pPr>
    </w:p>
    <w:p w:rsidR="002D760E" w:rsidRPr="00CB5F81" w:rsidRDefault="002D760E" w:rsidP="002D760E">
      <w:pPr>
        <w:pStyle w:val="NormalWeb"/>
        <w:spacing w:after="120"/>
        <w:ind w:firstLine="0"/>
        <w:rPr>
          <w:rFonts w:asciiTheme="majorHAnsi" w:eastAsia="Times New Roman" w:hAnsiTheme="majorHAnsi" w:cstheme="majorHAnsi"/>
          <w:b/>
          <w:bCs/>
          <w:lang w:val="ro-MD"/>
        </w:rPr>
      </w:pPr>
    </w:p>
    <w:p w:rsidR="005E5602" w:rsidRDefault="005E5602">
      <w:pPr>
        <w:pStyle w:val="NormalWeb"/>
        <w:spacing w:after="120"/>
        <w:ind w:firstLine="0"/>
        <w:rPr>
          <w:rFonts w:asciiTheme="majorHAnsi" w:eastAsia="Times New Roman" w:hAnsiTheme="majorHAnsi" w:cstheme="majorHAnsi"/>
          <w:b/>
          <w:bCs/>
          <w:lang w:val="ro-MD"/>
        </w:rPr>
      </w:pPr>
    </w:p>
    <w:p w:rsidR="003D1465" w:rsidRDefault="003D1465">
      <w:pPr>
        <w:pStyle w:val="NormalWeb"/>
        <w:spacing w:after="120"/>
        <w:ind w:firstLine="0"/>
        <w:rPr>
          <w:rFonts w:asciiTheme="majorHAnsi" w:eastAsia="Times New Roman" w:hAnsiTheme="majorHAnsi" w:cstheme="majorHAnsi"/>
          <w:b/>
          <w:bCs/>
          <w:lang w:val="ro-MD"/>
        </w:rPr>
      </w:pPr>
    </w:p>
    <w:p w:rsidR="003D1465" w:rsidRDefault="003D1465">
      <w:pPr>
        <w:pStyle w:val="NormalWeb"/>
        <w:spacing w:after="120"/>
        <w:ind w:firstLine="0"/>
        <w:rPr>
          <w:rFonts w:asciiTheme="majorHAnsi" w:eastAsia="Times New Roman" w:hAnsiTheme="majorHAnsi" w:cstheme="majorHAnsi"/>
          <w:b/>
          <w:bCs/>
          <w:lang w:val="ro-MD"/>
        </w:rPr>
      </w:pPr>
    </w:p>
    <w:p w:rsidR="003D1465" w:rsidRDefault="003D1465">
      <w:pPr>
        <w:pStyle w:val="NormalWeb"/>
        <w:spacing w:after="120"/>
        <w:ind w:firstLine="0"/>
        <w:rPr>
          <w:rFonts w:asciiTheme="majorHAnsi" w:eastAsia="Times New Roman" w:hAnsiTheme="majorHAnsi" w:cstheme="majorHAnsi"/>
          <w:b/>
          <w:bCs/>
          <w:lang w:val="ro-MD"/>
        </w:rPr>
      </w:pPr>
    </w:p>
    <w:p w:rsidR="003D1465" w:rsidRDefault="003D1465">
      <w:pPr>
        <w:pStyle w:val="NormalWeb"/>
        <w:spacing w:after="120"/>
        <w:ind w:firstLine="0"/>
        <w:rPr>
          <w:rFonts w:asciiTheme="majorHAnsi" w:eastAsia="Times New Roman" w:hAnsiTheme="majorHAnsi" w:cstheme="majorHAnsi"/>
          <w:b/>
          <w:bCs/>
          <w:lang w:val="ro-MD"/>
        </w:rPr>
      </w:pPr>
    </w:p>
    <w:p w:rsidR="003D1465" w:rsidRDefault="003D1465">
      <w:pPr>
        <w:pStyle w:val="NormalWeb"/>
        <w:spacing w:after="120"/>
        <w:ind w:firstLine="0"/>
        <w:rPr>
          <w:rFonts w:asciiTheme="majorHAnsi" w:eastAsia="Times New Roman" w:hAnsiTheme="majorHAnsi" w:cstheme="majorHAnsi"/>
          <w:b/>
          <w:bCs/>
          <w:lang w:val="ro-MD"/>
        </w:rPr>
      </w:pPr>
    </w:p>
    <w:p w:rsidR="003D1465" w:rsidRDefault="003D1465">
      <w:pPr>
        <w:pStyle w:val="NormalWeb"/>
        <w:spacing w:after="120"/>
        <w:ind w:firstLine="0"/>
        <w:rPr>
          <w:rFonts w:asciiTheme="majorHAnsi" w:eastAsia="Times New Roman" w:hAnsiTheme="majorHAnsi" w:cstheme="majorHAnsi"/>
          <w:b/>
          <w:bCs/>
          <w:lang w:val="ro-MD"/>
        </w:rPr>
      </w:pPr>
    </w:p>
    <w:p w:rsidR="003D1465" w:rsidRDefault="003D1465">
      <w:pPr>
        <w:pStyle w:val="NormalWeb"/>
        <w:spacing w:after="120"/>
        <w:ind w:firstLine="0"/>
        <w:rPr>
          <w:rFonts w:asciiTheme="majorHAnsi" w:eastAsia="Times New Roman" w:hAnsiTheme="majorHAnsi" w:cstheme="majorHAnsi"/>
          <w:b/>
          <w:bCs/>
          <w:lang w:val="ro-MD"/>
        </w:rPr>
      </w:pPr>
    </w:p>
    <w:p w:rsidR="003D1465" w:rsidRDefault="003D1465">
      <w:pPr>
        <w:pStyle w:val="NormalWeb"/>
        <w:spacing w:after="120"/>
        <w:ind w:firstLine="0"/>
        <w:rPr>
          <w:rFonts w:asciiTheme="majorHAnsi" w:eastAsia="Times New Roman" w:hAnsiTheme="majorHAnsi" w:cstheme="majorHAnsi"/>
          <w:b/>
          <w:bCs/>
          <w:lang w:val="ro-MD"/>
        </w:rPr>
      </w:pPr>
    </w:p>
    <w:p w:rsidR="003D1465" w:rsidRDefault="003D1465">
      <w:pPr>
        <w:pStyle w:val="NormalWeb"/>
        <w:spacing w:after="120"/>
        <w:ind w:firstLine="0"/>
        <w:rPr>
          <w:rFonts w:asciiTheme="majorHAnsi" w:eastAsia="Times New Roman" w:hAnsiTheme="majorHAnsi" w:cstheme="majorHAnsi"/>
          <w:b/>
          <w:bCs/>
          <w:lang w:val="ro-MD"/>
        </w:rPr>
      </w:pPr>
    </w:p>
    <w:p w:rsidR="003D1465" w:rsidRPr="009E7E07" w:rsidRDefault="003D1465" w:rsidP="003D1465">
      <w:pPr>
        <w:spacing w:after="0"/>
        <w:jc w:val="right"/>
        <w:rPr>
          <w:rFonts w:asciiTheme="majorHAnsi" w:hAnsiTheme="majorHAnsi" w:cstheme="majorHAnsi"/>
          <w:i/>
          <w:sz w:val="24"/>
          <w:szCs w:val="24"/>
        </w:rPr>
      </w:pPr>
      <w:r w:rsidRPr="009E7E07">
        <w:rPr>
          <w:rFonts w:asciiTheme="majorHAnsi" w:hAnsiTheme="majorHAnsi" w:cstheme="majorHAnsi"/>
          <w:i/>
          <w:sz w:val="24"/>
          <w:szCs w:val="24"/>
        </w:rPr>
        <w:lastRenderedPageBreak/>
        <w:t>Anexa nr.</w:t>
      </w:r>
      <w:r>
        <w:rPr>
          <w:rFonts w:asciiTheme="majorHAnsi" w:hAnsiTheme="majorHAnsi" w:cstheme="majorHAnsi"/>
          <w:i/>
          <w:sz w:val="24"/>
          <w:szCs w:val="24"/>
        </w:rPr>
        <w:t xml:space="preserve"> 5</w:t>
      </w:r>
      <w:r w:rsidRPr="009E7E07">
        <w:rPr>
          <w:rFonts w:asciiTheme="majorHAnsi" w:hAnsiTheme="majorHAnsi" w:cstheme="majorHAnsi"/>
          <w:i/>
          <w:sz w:val="24"/>
          <w:szCs w:val="24"/>
        </w:rPr>
        <w:t xml:space="preserve"> </w:t>
      </w:r>
    </w:p>
    <w:p w:rsidR="003D1465" w:rsidRPr="00D05E06" w:rsidRDefault="003D1465" w:rsidP="003D1465">
      <w:pPr>
        <w:spacing w:after="0"/>
        <w:jc w:val="center"/>
        <w:rPr>
          <w:b/>
          <w:sz w:val="24"/>
          <w:szCs w:val="24"/>
        </w:rPr>
      </w:pPr>
      <w:r w:rsidRPr="00D05E06">
        <w:rPr>
          <w:b/>
          <w:sz w:val="24"/>
          <w:szCs w:val="24"/>
        </w:rPr>
        <w:t>Lista ajutoarelor de stat raportate de SFS către Consiliul Concurenței în anul 2020</w:t>
      </w:r>
    </w:p>
    <w:tbl>
      <w:tblPr>
        <w:tblStyle w:val="TableGrid"/>
        <w:tblW w:w="9901" w:type="dxa"/>
        <w:tblLook w:val="04A0" w:firstRow="1" w:lastRow="0" w:firstColumn="1" w:lastColumn="0" w:noHBand="0" w:noVBand="1"/>
      </w:tblPr>
      <w:tblGrid>
        <w:gridCol w:w="542"/>
        <w:gridCol w:w="3558"/>
        <w:gridCol w:w="1142"/>
        <w:gridCol w:w="1171"/>
        <w:gridCol w:w="1132"/>
        <w:gridCol w:w="2356"/>
      </w:tblGrid>
      <w:tr w:rsidR="003D1465" w:rsidRPr="00603AA5" w:rsidTr="008D20D5">
        <w:tc>
          <w:tcPr>
            <w:tcW w:w="542" w:type="dxa"/>
            <w:shd w:val="clear" w:color="auto" w:fill="EDEDED" w:themeFill="accent3" w:themeFillTint="33"/>
          </w:tcPr>
          <w:p w:rsidR="003D1465" w:rsidRPr="00837B62" w:rsidRDefault="003D1465" w:rsidP="008D20D5">
            <w:pPr>
              <w:rPr>
                <w:rFonts w:cstheme="minorHAnsi"/>
                <w:b/>
                <w:sz w:val="16"/>
                <w:szCs w:val="16"/>
              </w:rPr>
            </w:pPr>
            <w:r w:rsidRPr="00837B62">
              <w:rPr>
                <w:rFonts w:cstheme="minorHAnsi"/>
                <w:b/>
                <w:sz w:val="16"/>
                <w:szCs w:val="16"/>
              </w:rPr>
              <w:t>N</w:t>
            </w:r>
            <w:r w:rsidR="00874B3D">
              <w:rPr>
                <w:rFonts w:cstheme="minorHAnsi"/>
                <w:b/>
                <w:sz w:val="16"/>
                <w:szCs w:val="16"/>
              </w:rPr>
              <w:t>r. d</w:t>
            </w:r>
            <w:r w:rsidRPr="00837B62">
              <w:rPr>
                <w:rFonts w:cstheme="minorHAnsi"/>
                <w:b/>
                <w:sz w:val="16"/>
                <w:szCs w:val="16"/>
              </w:rPr>
              <w:t>/o</w:t>
            </w:r>
          </w:p>
        </w:tc>
        <w:tc>
          <w:tcPr>
            <w:tcW w:w="3565" w:type="dxa"/>
            <w:shd w:val="clear" w:color="auto" w:fill="EDEDED" w:themeFill="accent3" w:themeFillTint="33"/>
          </w:tcPr>
          <w:p w:rsidR="003D1465" w:rsidRPr="00837B62" w:rsidRDefault="003D1465" w:rsidP="008D20D5">
            <w:pPr>
              <w:jc w:val="center"/>
              <w:rPr>
                <w:rFonts w:cstheme="minorHAnsi"/>
                <w:b/>
                <w:sz w:val="16"/>
                <w:szCs w:val="16"/>
              </w:rPr>
            </w:pPr>
            <w:r w:rsidRPr="00837B62">
              <w:rPr>
                <w:rFonts w:cstheme="minorHAnsi"/>
                <w:b/>
                <w:sz w:val="16"/>
                <w:szCs w:val="16"/>
              </w:rPr>
              <w:t>Tipul ajutorului de stat</w:t>
            </w:r>
          </w:p>
        </w:tc>
        <w:tc>
          <w:tcPr>
            <w:tcW w:w="1142" w:type="dxa"/>
            <w:shd w:val="clear" w:color="auto" w:fill="EDEDED" w:themeFill="accent3" w:themeFillTint="33"/>
          </w:tcPr>
          <w:p w:rsidR="003D1465" w:rsidRPr="00837B62" w:rsidRDefault="003D1465" w:rsidP="008D20D5">
            <w:pPr>
              <w:jc w:val="center"/>
              <w:rPr>
                <w:rFonts w:cstheme="minorHAnsi"/>
                <w:b/>
                <w:sz w:val="16"/>
                <w:szCs w:val="16"/>
              </w:rPr>
            </w:pPr>
            <w:r w:rsidRPr="00837B62">
              <w:rPr>
                <w:rFonts w:cstheme="minorHAnsi"/>
                <w:b/>
                <w:sz w:val="16"/>
                <w:szCs w:val="16"/>
              </w:rPr>
              <w:t>Cod formular prezentat de SFS către CC</w:t>
            </w:r>
          </w:p>
        </w:tc>
        <w:tc>
          <w:tcPr>
            <w:tcW w:w="1161" w:type="dxa"/>
            <w:shd w:val="clear" w:color="auto" w:fill="EDEDED" w:themeFill="accent3" w:themeFillTint="33"/>
            <w:vAlign w:val="center"/>
          </w:tcPr>
          <w:p w:rsidR="003D1465" w:rsidRPr="00837B62" w:rsidRDefault="003D1465" w:rsidP="008D20D5">
            <w:pPr>
              <w:jc w:val="center"/>
              <w:rPr>
                <w:rFonts w:eastAsia="Times New Roman" w:cstheme="minorHAnsi"/>
                <w:b/>
                <w:bCs/>
                <w:color w:val="000000"/>
                <w:sz w:val="16"/>
                <w:szCs w:val="16"/>
              </w:rPr>
            </w:pPr>
            <w:r w:rsidRPr="00837B62">
              <w:rPr>
                <w:rFonts w:eastAsia="Times New Roman" w:cstheme="minorHAnsi"/>
                <w:b/>
                <w:bCs/>
                <w:color w:val="000000"/>
                <w:sz w:val="16"/>
                <w:szCs w:val="16"/>
              </w:rPr>
              <w:t>Temei</w:t>
            </w:r>
            <w:r w:rsidR="00874B3D">
              <w:rPr>
                <w:rFonts w:eastAsia="Times New Roman" w:cstheme="minorHAnsi"/>
                <w:b/>
                <w:bCs/>
                <w:color w:val="000000"/>
                <w:sz w:val="16"/>
                <w:szCs w:val="16"/>
              </w:rPr>
              <w:t>ul</w:t>
            </w:r>
            <w:r w:rsidRPr="00837B62">
              <w:rPr>
                <w:rFonts w:eastAsia="Times New Roman" w:cstheme="minorHAnsi"/>
                <w:b/>
                <w:bCs/>
                <w:color w:val="000000"/>
                <w:sz w:val="16"/>
                <w:szCs w:val="16"/>
              </w:rPr>
              <w:t xml:space="preserve"> legal de acordare </w:t>
            </w:r>
          </w:p>
        </w:tc>
        <w:tc>
          <w:tcPr>
            <w:tcW w:w="1132" w:type="dxa"/>
            <w:shd w:val="clear" w:color="auto" w:fill="EDEDED" w:themeFill="accent3" w:themeFillTint="33"/>
          </w:tcPr>
          <w:p w:rsidR="003D1465" w:rsidRPr="00837B62" w:rsidRDefault="003D1465" w:rsidP="008D20D5">
            <w:pPr>
              <w:jc w:val="center"/>
              <w:rPr>
                <w:rFonts w:cstheme="minorHAnsi"/>
                <w:b/>
                <w:sz w:val="16"/>
                <w:szCs w:val="16"/>
              </w:rPr>
            </w:pPr>
            <w:r w:rsidRPr="00837B62">
              <w:rPr>
                <w:rFonts w:cstheme="minorHAnsi"/>
                <w:b/>
                <w:sz w:val="16"/>
                <w:szCs w:val="16"/>
              </w:rPr>
              <w:t>Anul 2020, mii lei</w:t>
            </w:r>
          </w:p>
        </w:tc>
        <w:tc>
          <w:tcPr>
            <w:tcW w:w="2359" w:type="dxa"/>
            <w:shd w:val="clear" w:color="auto" w:fill="EDEDED" w:themeFill="accent3" w:themeFillTint="33"/>
          </w:tcPr>
          <w:p w:rsidR="003D1465" w:rsidRPr="00837B62" w:rsidRDefault="003D1465" w:rsidP="008D20D5">
            <w:pPr>
              <w:tabs>
                <w:tab w:val="center" w:pos="1228"/>
              </w:tabs>
              <w:jc w:val="center"/>
              <w:rPr>
                <w:rFonts w:cstheme="minorHAnsi"/>
                <w:b/>
                <w:sz w:val="16"/>
                <w:szCs w:val="16"/>
              </w:rPr>
            </w:pPr>
            <w:r w:rsidRPr="00837B62">
              <w:rPr>
                <w:rFonts w:cstheme="minorHAnsi"/>
                <w:b/>
                <w:sz w:val="16"/>
                <w:szCs w:val="16"/>
              </w:rPr>
              <w:t>Comentarii</w:t>
            </w:r>
            <w:r>
              <w:rPr>
                <w:rFonts w:cstheme="minorHAnsi"/>
                <w:b/>
                <w:sz w:val="16"/>
                <w:szCs w:val="16"/>
              </w:rPr>
              <w:t xml:space="preserve"> de audit</w:t>
            </w:r>
          </w:p>
        </w:tc>
      </w:tr>
      <w:tr w:rsidR="003D1465" w:rsidRPr="00603AA5" w:rsidTr="008D20D5">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1</w:t>
            </w:r>
          </w:p>
        </w:tc>
        <w:tc>
          <w:tcPr>
            <w:tcW w:w="3565" w:type="dxa"/>
          </w:tcPr>
          <w:p w:rsidR="003D1465" w:rsidRPr="00603AA5" w:rsidRDefault="003D1465" w:rsidP="008D20D5">
            <w:pPr>
              <w:rPr>
                <w:sz w:val="16"/>
                <w:szCs w:val="16"/>
              </w:rPr>
            </w:pPr>
            <w:r w:rsidRPr="00603AA5">
              <w:rPr>
                <w:rFonts w:eastAsia="Times New Roman" w:cstheme="minorHAnsi"/>
                <w:sz w:val="16"/>
                <w:szCs w:val="16"/>
              </w:rPr>
              <w:t>Scutirea de plată a TVA aferentă mărfurilor produse și serviciilor prestate de către organizațiile și întreprinderile societăților orbilor, societăților surzilor și societăților invalizilor</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RG11881</w:t>
            </w:r>
          </w:p>
        </w:tc>
        <w:tc>
          <w:tcPr>
            <w:tcW w:w="1161" w:type="dxa"/>
          </w:tcPr>
          <w:p w:rsidR="003D1465" w:rsidRDefault="003D1465" w:rsidP="008D20D5">
            <w:pPr>
              <w:ind w:left="-72" w:right="-42"/>
              <w:jc w:val="center"/>
              <w:rPr>
                <w:rFonts w:ascii="Times New Roman" w:eastAsia="Times New Roman" w:hAnsi="Times New Roman" w:cs="Times New Roman"/>
                <w:sz w:val="14"/>
                <w:szCs w:val="14"/>
              </w:rPr>
            </w:pPr>
            <w:r w:rsidRPr="001B0B0B">
              <w:rPr>
                <w:rFonts w:ascii="Times New Roman" w:eastAsia="Times New Roman" w:hAnsi="Times New Roman" w:cs="Times New Roman"/>
                <w:sz w:val="14"/>
                <w:szCs w:val="14"/>
              </w:rPr>
              <w:t>Legea nr. 1417-XIII din 17</w:t>
            </w:r>
            <w:r>
              <w:rPr>
                <w:rFonts w:ascii="Times New Roman" w:eastAsia="Times New Roman" w:hAnsi="Times New Roman" w:cs="Times New Roman"/>
                <w:sz w:val="14"/>
                <w:szCs w:val="14"/>
              </w:rPr>
              <w:t>.12</w:t>
            </w:r>
            <w:r w:rsidR="00FF1FE9">
              <w:rPr>
                <w:rFonts w:ascii="Times New Roman" w:eastAsia="Times New Roman" w:hAnsi="Times New Roman" w:cs="Times New Roman"/>
                <w:sz w:val="14"/>
                <w:szCs w:val="14"/>
              </w:rPr>
              <w:t>.</w:t>
            </w:r>
            <w:r w:rsidRPr="001B0B0B">
              <w:rPr>
                <w:rFonts w:ascii="Times New Roman" w:eastAsia="Times New Roman" w:hAnsi="Times New Roman" w:cs="Times New Roman"/>
                <w:sz w:val="14"/>
                <w:szCs w:val="14"/>
              </w:rPr>
              <w:t>1997</w:t>
            </w:r>
            <w:r>
              <w:rPr>
                <w:rFonts w:ascii="Times New Roman" w:eastAsia="Times New Roman" w:hAnsi="Times New Roman" w:cs="Times New Roman"/>
                <w:sz w:val="14"/>
                <w:szCs w:val="14"/>
              </w:rPr>
              <w:t xml:space="preserve">, </w:t>
            </w:r>
          </w:p>
          <w:p w:rsidR="003D1465" w:rsidRPr="001B0B0B" w:rsidRDefault="003D1465" w:rsidP="008D20D5">
            <w:pPr>
              <w:ind w:left="-72" w:right="-42"/>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art. 4 alin. (18) lit. b)</w:t>
            </w:r>
          </w:p>
        </w:tc>
        <w:tc>
          <w:tcPr>
            <w:tcW w:w="1132" w:type="dxa"/>
          </w:tcPr>
          <w:p w:rsidR="003D1465" w:rsidRPr="00603AA5" w:rsidRDefault="003D1465" w:rsidP="008D20D5">
            <w:pPr>
              <w:ind w:right="-18"/>
              <w:jc w:val="right"/>
              <w:rPr>
                <w:sz w:val="20"/>
                <w:szCs w:val="20"/>
              </w:rPr>
            </w:pPr>
            <w:r w:rsidRPr="00603AA5">
              <w:rPr>
                <w:sz w:val="20"/>
                <w:szCs w:val="20"/>
              </w:rPr>
              <w:t>11189,8</w:t>
            </w:r>
          </w:p>
        </w:tc>
        <w:tc>
          <w:tcPr>
            <w:tcW w:w="2359" w:type="dxa"/>
          </w:tcPr>
          <w:p w:rsidR="003D1465" w:rsidRDefault="003D1465" w:rsidP="008D20D5">
            <w:pPr>
              <w:jc w:val="center"/>
              <w:rPr>
                <w:sz w:val="16"/>
                <w:szCs w:val="16"/>
              </w:rPr>
            </w:pPr>
            <w:r w:rsidRPr="00603AA5">
              <w:rPr>
                <w:sz w:val="16"/>
                <w:szCs w:val="16"/>
              </w:rPr>
              <w:t xml:space="preserve">Anulat în anul 2021 (abrogat prin Legea </w:t>
            </w:r>
            <w:r w:rsidR="00FF1FE9">
              <w:rPr>
                <w:sz w:val="16"/>
                <w:szCs w:val="16"/>
              </w:rPr>
              <w:t>nr.</w:t>
            </w:r>
            <w:r w:rsidRPr="00603AA5">
              <w:rPr>
                <w:sz w:val="16"/>
                <w:szCs w:val="16"/>
              </w:rPr>
              <w:t>257 din 16.12.</w:t>
            </w:r>
            <w:r w:rsidR="00FF1FE9">
              <w:rPr>
                <w:sz w:val="16"/>
                <w:szCs w:val="16"/>
              </w:rPr>
              <w:t>20</w:t>
            </w:r>
            <w:r w:rsidRPr="00603AA5">
              <w:rPr>
                <w:sz w:val="16"/>
                <w:szCs w:val="16"/>
              </w:rPr>
              <w:t>20,  în vigoare din 01.05.</w:t>
            </w:r>
            <w:r w:rsidR="00FF1FE9">
              <w:rPr>
                <w:sz w:val="16"/>
                <w:szCs w:val="16"/>
              </w:rPr>
              <w:t>20</w:t>
            </w:r>
            <w:r w:rsidRPr="00603AA5">
              <w:rPr>
                <w:sz w:val="16"/>
                <w:szCs w:val="16"/>
              </w:rPr>
              <w:t>21)</w:t>
            </w:r>
            <w:r>
              <w:rPr>
                <w:sz w:val="16"/>
                <w:szCs w:val="16"/>
              </w:rPr>
              <w:t>.</w:t>
            </w:r>
          </w:p>
          <w:p w:rsidR="003D1465" w:rsidRPr="00135194" w:rsidRDefault="003D1465" w:rsidP="008D20D5">
            <w:pPr>
              <w:jc w:val="center"/>
              <w:rPr>
                <w:i/>
                <w:sz w:val="16"/>
                <w:szCs w:val="16"/>
              </w:rPr>
            </w:pPr>
            <w:r w:rsidRPr="00135194">
              <w:rPr>
                <w:i/>
                <w:sz w:val="16"/>
                <w:szCs w:val="16"/>
              </w:rPr>
              <w:t xml:space="preserve">Nu este necesară alinierea </w:t>
            </w:r>
          </w:p>
        </w:tc>
      </w:tr>
      <w:tr w:rsidR="003D1465" w:rsidRPr="00603AA5" w:rsidTr="008D20D5">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2</w:t>
            </w:r>
          </w:p>
        </w:tc>
        <w:tc>
          <w:tcPr>
            <w:tcW w:w="3565" w:type="dxa"/>
          </w:tcPr>
          <w:p w:rsidR="003D1465" w:rsidRPr="00603AA5" w:rsidRDefault="003D1465" w:rsidP="008D20D5">
            <w:pPr>
              <w:rPr>
                <w:rFonts w:eastAsia="Times New Roman" w:cstheme="minorHAnsi"/>
                <w:sz w:val="16"/>
                <w:szCs w:val="16"/>
              </w:rPr>
            </w:pPr>
            <w:r w:rsidRPr="00603AA5">
              <w:rPr>
                <w:rFonts w:eastAsia="Times New Roman" w:cstheme="minorHAnsi"/>
                <w:sz w:val="16"/>
                <w:szCs w:val="16"/>
              </w:rPr>
              <w:t>Scutirea de acciză a alcoolului etilic nedenaturat de la poziţiile tarifare 220710000 şi 220890910, destinat producerii farmaceutice şi utilizării în medicină, în limita volumului contingentului anual stabilit de Guvern</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RG11882</w:t>
            </w:r>
          </w:p>
        </w:tc>
        <w:tc>
          <w:tcPr>
            <w:tcW w:w="1161" w:type="dxa"/>
          </w:tcPr>
          <w:p w:rsidR="003D1465" w:rsidRPr="00603AA5" w:rsidRDefault="003D1465" w:rsidP="008D20D5">
            <w:pPr>
              <w:ind w:left="-72" w:right="-42"/>
              <w:jc w:val="center"/>
              <w:rPr>
                <w:rFonts w:eastAsia="Times New Roman" w:cstheme="minorHAnsi"/>
                <w:color w:val="FF0000"/>
                <w:sz w:val="20"/>
                <w:szCs w:val="20"/>
              </w:rPr>
            </w:pPr>
            <w:r w:rsidRPr="009225D5">
              <w:rPr>
                <w:rFonts w:ascii="Times New Roman" w:eastAsia="Times New Roman" w:hAnsi="Times New Roman" w:cs="Times New Roman"/>
                <w:color w:val="000000"/>
                <w:sz w:val="14"/>
                <w:szCs w:val="14"/>
              </w:rPr>
              <w:t>CF, art.124 (15)</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28403,6</w:t>
            </w:r>
          </w:p>
        </w:tc>
        <w:tc>
          <w:tcPr>
            <w:tcW w:w="2359" w:type="dxa"/>
            <w:vMerge w:val="restart"/>
          </w:tcPr>
          <w:p w:rsidR="003D1465" w:rsidRPr="00603AA5" w:rsidRDefault="003D1465" w:rsidP="008D20D5">
            <w:pPr>
              <w:jc w:val="center"/>
              <w:rPr>
                <w:sz w:val="16"/>
                <w:szCs w:val="16"/>
              </w:rPr>
            </w:pPr>
            <w:r>
              <w:rPr>
                <w:sz w:val="16"/>
                <w:szCs w:val="16"/>
              </w:rPr>
              <w:t>Măsur</w:t>
            </w:r>
            <w:r w:rsidR="00FF1FE9">
              <w:rPr>
                <w:sz w:val="16"/>
                <w:szCs w:val="16"/>
              </w:rPr>
              <w:t>a</w:t>
            </w:r>
            <w:r>
              <w:rPr>
                <w:sz w:val="16"/>
                <w:szCs w:val="16"/>
              </w:rPr>
              <w:t xml:space="preserve"> dată de sprijin urmează a fi examinată prin prisma legislației din domeniul de stat de către Consiliu</w:t>
            </w:r>
            <w:r w:rsidR="00FF1FE9">
              <w:rPr>
                <w:sz w:val="16"/>
                <w:szCs w:val="16"/>
              </w:rPr>
              <w:t>l</w:t>
            </w:r>
            <w:r>
              <w:rPr>
                <w:sz w:val="16"/>
                <w:szCs w:val="16"/>
              </w:rPr>
              <w:t xml:space="preserve"> Concurenței</w:t>
            </w:r>
          </w:p>
        </w:tc>
      </w:tr>
      <w:tr w:rsidR="003D1465" w:rsidRPr="00603AA5" w:rsidTr="00D05E06">
        <w:trPr>
          <w:trHeight w:val="230"/>
        </w:trPr>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3</w:t>
            </w:r>
          </w:p>
        </w:tc>
        <w:tc>
          <w:tcPr>
            <w:tcW w:w="3565" w:type="dxa"/>
          </w:tcPr>
          <w:p w:rsidR="003D1465" w:rsidRPr="00603AA5" w:rsidRDefault="003D1465" w:rsidP="008D20D5">
            <w:pPr>
              <w:rPr>
                <w:sz w:val="16"/>
                <w:szCs w:val="16"/>
              </w:rPr>
            </w:pPr>
            <w:r w:rsidRPr="00603AA5">
              <w:rPr>
                <w:rFonts w:eastAsia="Times New Roman" w:cstheme="minorHAnsi"/>
                <w:sz w:val="16"/>
                <w:szCs w:val="16"/>
              </w:rPr>
              <w:t>Scutirea de acciză a alcoolului etilic nedenaturat de la poziția tarifară 220710000, destinat utilizării în industria de parfumerie și cosmetică</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RG11883</w:t>
            </w:r>
          </w:p>
        </w:tc>
        <w:tc>
          <w:tcPr>
            <w:tcW w:w="1161" w:type="dxa"/>
          </w:tcPr>
          <w:p w:rsidR="003D1465" w:rsidRPr="00603AA5" w:rsidRDefault="003D1465" w:rsidP="008D20D5">
            <w:pPr>
              <w:ind w:left="-72" w:right="-42"/>
              <w:jc w:val="center"/>
              <w:rPr>
                <w:rFonts w:eastAsia="Times New Roman" w:cstheme="minorHAnsi"/>
                <w:sz w:val="20"/>
                <w:szCs w:val="20"/>
              </w:rPr>
            </w:pPr>
            <w:r w:rsidRPr="009225D5">
              <w:rPr>
                <w:rFonts w:ascii="Times New Roman" w:eastAsia="Times New Roman" w:hAnsi="Times New Roman" w:cs="Times New Roman"/>
                <w:color w:val="000000"/>
                <w:sz w:val="14"/>
                <w:szCs w:val="14"/>
              </w:rPr>
              <w:t>CF, art.124 (16)</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200936,80</w:t>
            </w:r>
          </w:p>
        </w:tc>
        <w:tc>
          <w:tcPr>
            <w:tcW w:w="2359" w:type="dxa"/>
            <w:vMerge/>
          </w:tcPr>
          <w:p w:rsidR="003D1465" w:rsidRPr="00603AA5" w:rsidRDefault="003D1465" w:rsidP="008D20D5">
            <w:pPr>
              <w:rPr>
                <w:sz w:val="16"/>
                <w:szCs w:val="16"/>
              </w:rPr>
            </w:pPr>
          </w:p>
        </w:tc>
      </w:tr>
      <w:tr w:rsidR="003D1465" w:rsidRPr="00603AA5" w:rsidTr="008D20D5">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4</w:t>
            </w:r>
          </w:p>
        </w:tc>
        <w:tc>
          <w:tcPr>
            <w:tcW w:w="3565" w:type="dxa"/>
          </w:tcPr>
          <w:p w:rsidR="003D1465" w:rsidRPr="00603AA5" w:rsidRDefault="003D1465" w:rsidP="008D20D5">
            <w:pPr>
              <w:rPr>
                <w:sz w:val="16"/>
                <w:szCs w:val="16"/>
              </w:rPr>
            </w:pPr>
            <w:r w:rsidRPr="00603AA5">
              <w:rPr>
                <w:rFonts w:eastAsia="Times New Roman" w:cstheme="minorHAnsi"/>
                <w:sz w:val="16"/>
                <w:szCs w:val="16"/>
              </w:rPr>
              <w:t>Reducerea de 50% din impozitul pe venitul rezidenţilor obţinut de la exportul în afara teritoriului vamal al Republicii Moldova al mărfurilor (serviciilor) produse în zona economică liberă sau obţinut de la livrarea mărfurilor (serviciilor) produse în zona economică liberă către alţi rezidenţi ai zonelor economice libere pentru mărfurile (serviciile) orientate spre export</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RG11952</w:t>
            </w:r>
          </w:p>
        </w:tc>
        <w:tc>
          <w:tcPr>
            <w:tcW w:w="1161" w:type="dxa"/>
          </w:tcPr>
          <w:p w:rsidR="003D1465" w:rsidRPr="00603AA5" w:rsidRDefault="003D1465" w:rsidP="008D20D5">
            <w:pPr>
              <w:ind w:left="-72" w:right="-42"/>
              <w:jc w:val="center"/>
              <w:rPr>
                <w:rFonts w:eastAsia="Times New Roman" w:cstheme="minorHAnsi"/>
                <w:color w:val="FF0000"/>
                <w:sz w:val="20"/>
                <w:szCs w:val="20"/>
              </w:rPr>
            </w:pPr>
            <w:r w:rsidRPr="009225D5">
              <w:rPr>
                <w:rFonts w:ascii="Times New Roman" w:eastAsia="Times New Roman" w:hAnsi="Times New Roman" w:cs="Times New Roman"/>
                <w:sz w:val="14"/>
                <w:szCs w:val="14"/>
              </w:rPr>
              <w:t>CF, art.49 lit.</w:t>
            </w:r>
            <w:r>
              <w:rPr>
                <w:rFonts w:ascii="Times New Roman" w:eastAsia="Times New Roman" w:hAnsi="Times New Roman" w:cs="Times New Roman"/>
                <w:sz w:val="14"/>
                <w:szCs w:val="14"/>
              </w:rPr>
              <w:t xml:space="preserve"> </w:t>
            </w:r>
            <w:r w:rsidRPr="009225D5">
              <w:rPr>
                <w:rFonts w:ascii="Times New Roman" w:eastAsia="Times New Roman" w:hAnsi="Times New Roman" w:cs="Times New Roman"/>
                <w:sz w:val="14"/>
                <w:szCs w:val="14"/>
              </w:rPr>
              <w:t>a)</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197,61</w:t>
            </w:r>
          </w:p>
        </w:tc>
        <w:tc>
          <w:tcPr>
            <w:tcW w:w="2359" w:type="dxa"/>
            <w:vMerge w:val="restart"/>
          </w:tcPr>
          <w:p w:rsidR="003D1465" w:rsidRPr="00603AA5" w:rsidRDefault="003D1465" w:rsidP="008D20D5">
            <w:pPr>
              <w:jc w:val="center"/>
              <w:rPr>
                <w:sz w:val="16"/>
                <w:szCs w:val="16"/>
              </w:rPr>
            </w:pPr>
            <w:r w:rsidRPr="00476AC0">
              <w:rPr>
                <w:sz w:val="16"/>
                <w:szCs w:val="16"/>
              </w:rPr>
              <w:t>Ajutoarele de stat acordate ZEL urmează a fi aliniate pe parcursul a 10 ani</w:t>
            </w:r>
            <w:r>
              <w:rPr>
                <w:sz w:val="16"/>
                <w:szCs w:val="16"/>
              </w:rPr>
              <w:t xml:space="preserve"> de la data intrării în vigoare a Acordului de Asociere</w:t>
            </w:r>
            <w:r w:rsidR="00FF1FE9">
              <w:rPr>
                <w:sz w:val="16"/>
                <w:szCs w:val="16"/>
              </w:rPr>
              <w:t>,</w:t>
            </w:r>
            <w:r>
              <w:rPr>
                <w:sz w:val="16"/>
                <w:szCs w:val="16"/>
              </w:rPr>
              <w:t xml:space="preserve"> </w:t>
            </w:r>
            <w:r w:rsidRPr="00476AC0">
              <w:rPr>
                <w:sz w:val="16"/>
                <w:szCs w:val="16"/>
              </w:rPr>
              <w:t xml:space="preserve"> sau până la data de 01.09.2024</w:t>
            </w:r>
          </w:p>
        </w:tc>
      </w:tr>
      <w:tr w:rsidR="003D1465" w:rsidRPr="00603AA5" w:rsidTr="008D20D5">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5</w:t>
            </w:r>
          </w:p>
        </w:tc>
        <w:tc>
          <w:tcPr>
            <w:tcW w:w="3565" w:type="dxa"/>
          </w:tcPr>
          <w:p w:rsidR="003D1465" w:rsidRPr="00603AA5" w:rsidRDefault="003D1465" w:rsidP="008D20D5">
            <w:pPr>
              <w:rPr>
                <w:sz w:val="16"/>
                <w:szCs w:val="16"/>
              </w:rPr>
            </w:pPr>
            <w:r w:rsidRPr="00603AA5">
              <w:rPr>
                <w:rFonts w:eastAsia="Times New Roman" w:cstheme="minorHAnsi"/>
                <w:sz w:val="16"/>
                <w:szCs w:val="16"/>
              </w:rPr>
              <w:t>Reducerea de 25% din impozitul pe venitul de la activitatea rezidenţilor în zona economică liberă</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RG11954</w:t>
            </w:r>
          </w:p>
        </w:tc>
        <w:tc>
          <w:tcPr>
            <w:tcW w:w="1161" w:type="dxa"/>
          </w:tcPr>
          <w:p w:rsidR="003D1465" w:rsidRPr="00603AA5" w:rsidRDefault="003D1465" w:rsidP="008D20D5">
            <w:pPr>
              <w:ind w:left="-72" w:right="-42"/>
              <w:jc w:val="center"/>
              <w:rPr>
                <w:rFonts w:eastAsia="Times New Roman" w:cstheme="minorHAnsi"/>
                <w:color w:val="FF0000"/>
                <w:sz w:val="20"/>
                <w:szCs w:val="20"/>
              </w:rPr>
            </w:pPr>
            <w:r w:rsidRPr="009225D5">
              <w:rPr>
                <w:rFonts w:ascii="Times New Roman" w:eastAsia="Times New Roman" w:hAnsi="Times New Roman" w:cs="Times New Roman"/>
                <w:sz w:val="14"/>
                <w:szCs w:val="14"/>
              </w:rPr>
              <w:t>CF, art.49 lit.</w:t>
            </w:r>
            <w:r>
              <w:rPr>
                <w:rFonts w:ascii="Times New Roman" w:eastAsia="Times New Roman" w:hAnsi="Times New Roman" w:cs="Times New Roman"/>
                <w:sz w:val="14"/>
                <w:szCs w:val="14"/>
              </w:rPr>
              <w:t xml:space="preserve"> </w:t>
            </w:r>
            <w:r w:rsidRPr="009225D5">
              <w:rPr>
                <w:rFonts w:ascii="Times New Roman" w:eastAsia="Times New Roman" w:hAnsi="Times New Roman" w:cs="Times New Roman"/>
                <w:sz w:val="14"/>
                <w:szCs w:val="14"/>
              </w:rPr>
              <w:t>b)</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638,73</w:t>
            </w:r>
          </w:p>
        </w:tc>
        <w:tc>
          <w:tcPr>
            <w:tcW w:w="2359" w:type="dxa"/>
            <w:vMerge/>
          </w:tcPr>
          <w:p w:rsidR="003D1465" w:rsidRPr="00603AA5" w:rsidRDefault="003D1465" w:rsidP="008D20D5">
            <w:pPr>
              <w:rPr>
                <w:sz w:val="16"/>
                <w:szCs w:val="16"/>
              </w:rPr>
            </w:pPr>
          </w:p>
        </w:tc>
      </w:tr>
      <w:tr w:rsidR="003D1465" w:rsidRPr="00603AA5" w:rsidTr="008D20D5">
        <w:trPr>
          <w:trHeight w:val="1259"/>
        </w:trPr>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6</w:t>
            </w:r>
          </w:p>
        </w:tc>
        <w:tc>
          <w:tcPr>
            <w:tcW w:w="3565" w:type="dxa"/>
          </w:tcPr>
          <w:p w:rsidR="003D1465" w:rsidRPr="00603AA5" w:rsidRDefault="003D1465" w:rsidP="008D20D5">
            <w:pPr>
              <w:rPr>
                <w:rFonts w:eastAsia="Times New Roman" w:cstheme="minorHAnsi"/>
                <w:sz w:val="16"/>
                <w:szCs w:val="16"/>
              </w:rPr>
            </w:pPr>
            <w:r w:rsidRPr="00603AA5">
              <w:rPr>
                <w:rFonts w:eastAsia="Times New Roman" w:cstheme="minorHAnsi"/>
                <w:sz w:val="16"/>
                <w:szCs w:val="16"/>
              </w:rPr>
              <w:t>Scutirea de plata impozitului pe venitul de la exportul mărfurilor (serviciilor) originare din ZEL în afara teritoriului vamal al RM a rezidenţilor care au investit în mijloacele fixe ale întreprinderilor lor şi/sau în dezvoltarea infrastructurii zonei economice libere un capital echivalent cu cel puţin 1</w:t>
            </w:r>
            <w:r w:rsidR="00874B3D">
              <w:rPr>
                <w:rFonts w:eastAsia="Times New Roman" w:cstheme="minorHAnsi"/>
                <w:sz w:val="16"/>
                <w:szCs w:val="16"/>
              </w:rPr>
              <w:t>,0</w:t>
            </w:r>
            <w:r w:rsidRPr="00603AA5">
              <w:rPr>
                <w:rFonts w:eastAsia="Times New Roman" w:cstheme="minorHAnsi"/>
                <w:sz w:val="16"/>
                <w:szCs w:val="16"/>
              </w:rPr>
              <w:t xml:space="preserve"> m</w:t>
            </w:r>
            <w:r w:rsidR="00874B3D">
              <w:rPr>
                <w:rFonts w:eastAsia="Times New Roman" w:cstheme="minorHAnsi"/>
                <w:sz w:val="16"/>
                <w:szCs w:val="16"/>
              </w:rPr>
              <w:t>il. dolari</w:t>
            </w:r>
            <w:r w:rsidRPr="00603AA5">
              <w:rPr>
                <w:rFonts w:eastAsia="Times New Roman" w:cstheme="minorHAnsi"/>
                <w:sz w:val="16"/>
                <w:szCs w:val="16"/>
              </w:rPr>
              <w:t xml:space="preserve"> SUA</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RG11955</w:t>
            </w:r>
          </w:p>
        </w:tc>
        <w:tc>
          <w:tcPr>
            <w:tcW w:w="1161" w:type="dxa"/>
          </w:tcPr>
          <w:p w:rsidR="003D1465" w:rsidRPr="00603AA5" w:rsidRDefault="003D1465" w:rsidP="008D20D5">
            <w:pPr>
              <w:ind w:left="-72" w:right="-42"/>
              <w:jc w:val="center"/>
              <w:rPr>
                <w:rFonts w:eastAsia="Times New Roman" w:cstheme="minorHAnsi"/>
                <w:sz w:val="20"/>
                <w:szCs w:val="20"/>
              </w:rPr>
            </w:pPr>
            <w:r w:rsidRPr="009225D5">
              <w:rPr>
                <w:rFonts w:ascii="Times New Roman" w:eastAsia="Times New Roman" w:hAnsi="Times New Roman" w:cs="Times New Roman"/>
                <w:sz w:val="14"/>
                <w:szCs w:val="14"/>
              </w:rPr>
              <w:t>CF, art.49 lit.</w:t>
            </w:r>
            <w:r>
              <w:rPr>
                <w:rFonts w:ascii="Times New Roman" w:eastAsia="Times New Roman" w:hAnsi="Times New Roman" w:cs="Times New Roman"/>
                <w:sz w:val="14"/>
                <w:szCs w:val="14"/>
              </w:rPr>
              <w:t xml:space="preserve"> </w:t>
            </w:r>
            <w:r w:rsidRPr="009225D5">
              <w:rPr>
                <w:rFonts w:ascii="Times New Roman" w:eastAsia="Times New Roman" w:hAnsi="Times New Roman" w:cs="Times New Roman"/>
                <w:sz w:val="14"/>
                <w:szCs w:val="14"/>
              </w:rPr>
              <w:t>c)</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1395,04</w:t>
            </w:r>
          </w:p>
        </w:tc>
        <w:tc>
          <w:tcPr>
            <w:tcW w:w="2359" w:type="dxa"/>
            <w:vMerge/>
          </w:tcPr>
          <w:p w:rsidR="003D1465" w:rsidRPr="00603AA5" w:rsidRDefault="003D1465" w:rsidP="008D20D5">
            <w:pPr>
              <w:rPr>
                <w:sz w:val="16"/>
                <w:szCs w:val="16"/>
              </w:rPr>
            </w:pPr>
          </w:p>
        </w:tc>
      </w:tr>
      <w:tr w:rsidR="003D1465" w:rsidRPr="00603AA5" w:rsidTr="008D20D5">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7</w:t>
            </w:r>
          </w:p>
        </w:tc>
        <w:tc>
          <w:tcPr>
            <w:tcW w:w="3565" w:type="dxa"/>
          </w:tcPr>
          <w:p w:rsidR="003D1465" w:rsidRPr="00603AA5" w:rsidRDefault="003D1465" w:rsidP="008D20D5">
            <w:pPr>
              <w:rPr>
                <w:sz w:val="16"/>
                <w:szCs w:val="16"/>
              </w:rPr>
            </w:pPr>
            <w:r w:rsidRPr="00603AA5">
              <w:rPr>
                <w:rFonts w:eastAsia="Times New Roman" w:cstheme="minorHAnsi"/>
                <w:sz w:val="16"/>
                <w:szCs w:val="16"/>
              </w:rPr>
              <w:t>Scutirea de plata impozitului pe venit a întreprinderilor create de societăţile orbilor, surzilor şi invalizilor</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RG11956</w:t>
            </w:r>
          </w:p>
        </w:tc>
        <w:tc>
          <w:tcPr>
            <w:tcW w:w="1161" w:type="dxa"/>
          </w:tcPr>
          <w:p w:rsidR="003D1465" w:rsidRPr="00603AA5" w:rsidRDefault="003D1465" w:rsidP="008D20D5">
            <w:pPr>
              <w:ind w:left="-72" w:right="-42"/>
              <w:jc w:val="center"/>
              <w:rPr>
                <w:rFonts w:eastAsia="Times New Roman" w:cstheme="minorHAnsi"/>
                <w:sz w:val="20"/>
                <w:szCs w:val="20"/>
              </w:rPr>
            </w:pPr>
            <w:r w:rsidRPr="009225D5">
              <w:rPr>
                <w:rFonts w:ascii="Times New Roman" w:eastAsia="Times New Roman" w:hAnsi="Times New Roman" w:cs="Times New Roman"/>
                <w:sz w:val="14"/>
                <w:szCs w:val="14"/>
              </w:rPr>
              <w:t>CF, art.53</w:t>
            </w:r>
            <w:r w:rsidRPr="009225D5">
              <w:rPr>
                <w:rFonts w:ascii="Times New Roman" w:eastAsia="Times New Roman" w:hAnsi="Times New Roman" w:cs="Times New Roman"/>
                <w:sz w:val="14"/>
                <w:szCs w:val="14"/>
                <w:vertAlign w:val="superscript"/>
              </w:rPr>
              <w:t>1</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271,57</w:t>
            </w:r>
          </w:p>
        </w:tc>
        <w:tc>
          <w:tcPr>
            <w:tcW w:w="2359" w:type="dxa"/>
          </w:tcPr>
          <w:p w:rsidR="003D1465" w:rsidRPr="00603AA5" w:rsidRDefault="003D1465" w:rsidP="008D20D5">
            <w:pPr>
              <w:ind w:left="-162" w:right="-108"/>
              <w:jc w:val="center"/>
              <w:rPr>
                <w:rFonts w:ascii="Calibri" w:hAnsi="Calibri" w:cs="Calibri"/>
                <w:sz w:val="16"/>
                <w:szCs w:val="16"/>
              </w:rPr>
            </w:pPr>
            <w:r w:rsidRPr="00603AA5">
              <w:rPr>
                <w:rFonts w:ascii="Calibri" w:hAnsi="Calibri" w:cs="Calibri"/>
                <w:sz w:val="16"/>
                <w:szCs w:val="16"/>
              </w:rPr>
              <w:t>Decizi</w:t>
            </w:r>
            <w:r w:rsidR="00FF1FE9">
              <w:rPr>
                <w:rFonts w:ascii="Calibri" w:hAnsi="Calibri" w:cs="Calibri"/>
                <w:sz w:val="16"/>
                <w:szCs w:val="16"/>
              </w:rPr>
              <w:t>a</w:t>
            </w:r>
            <w:r w:rsidRPr="00603AA5">
              <w:rPr>
                <w:rFonts w:ascii="Calibri" w:hAnsi="Calibri" w:cs="Calibri"/>
                <w:sz w:val="16"/>
                <w:szCs w:val="16"/>
              </w:rPr>
              <w:t xml:space="preserve"> CC  </w:t>
            </w:r>
          </w:p>
          <w:p w:rsidR="003D1465" w:rsidRDefault="003D1465" w:rsidP="008D20D5">
            <w:pPr>
              <w:ind w:left="-162" w:right="-108"/>
              <w:jc w:val="center"/>
              <w:rPr>
                <w:rFonts w:ascii="Calibri" w:hAnsi="Calibri" w:cs="Calibri"/>
                <w:sz w:val="16"/>
                <w:szCs w:val="16"/>
              </w:rPr>
            </w:pPr>
            <w:r>
              <w:rPr>
                <w:rFonts w:ascii="Calibri" w:hAnsi="Calibri" w:cs="Calibri"/>
                <w:sz w:val="16"/>
                <w:szCs w:val="16"/>
              </w:rPr>
              <w:t>nr. ASO-20</w:t>
            </w:r>
            <w:r w:rsidRPr="00603AA5">
              <w:rPr>
                <w:rFonts w:ascii="Calibri" w:hAnsi="Calibri" w:cs="Calibri"/>
                <w:sz w:val="16"/>
                <w:szCs w:val="16"/>
              </w:rPr>
              <w:t xml:space="preserve">  din  </w:t>
            </w:r>
            <w:r>
              <w:rPr>
                <w:rFonts w:ascii="Calibri" w:hAnsi="Calibri" w:cs="Calibri"/>
                <w:sz w:val="16"/>
                <w:szCs w:val="16"/>
              </w:rPr>
              <w:t xml:space="preserve">18.04.2022, </w:t>
            </w:r>
            <w:r w:rsidRPr="00603AA5">
              <w:rPr>
                <w:rFonts w:ascii="Calibri" w:hAnsi="Calibri" w:cs="Calibri"/>
                <w:sz w:val="16"/>
                <w:szCs w:val="16"/>
              </w:rPr>
              <w:t xml:space="preserve"> </w:t>
            </w:r>
          </w:p>
          <w:p w:rsidR="003D1465" w:rsidRPr="00603AA5" w:rsidRDefault="003D1465" w:rsidP="008D20D5">
            <w:pPr>
              <w:ind w:left="-162" w:right="-108"/>
              <w:jc w:val="center"/>
              <w:rPr>
                <w:rFonts w:ascii="Calibri" w:hAnsi="Calibri" w:cs="Calibri"/>
                <w:sz w:val="16"/>
                <w:szCs w:val="16"/>
              </w:rPr>
            </w:pPr>
            <w:r w:rsidRPr="00135194">
              <w:rPr>
                <w:rFonts w:ascii="Calibri" w:hAnsi="Calibri" w:cs="Calibri"/>
                <w:b/>
                <w:i/>
                <w:sz w:val="16"/>
                <w:szCs w:val="16"/>
              </w:rPr>
              <w:t>este ajutor de stat</w:t>
            </w:r>
            <w:r>
              <w:rPr>
                <w:rFonts w:ascii="Calibri" w:hAnsi="Calibri" w:cs="Calibri"/>
                <w:b/>
                <w:i/>
                <w:sz w:val="16"/>
                <w:szCs w:val="16"/>
              </w:rPr>
              <w:t xml:space="preserve"> și urmează a fi aliniată până la 01.09.2022</w:t>
            </w:r>
          </w:p>
        </w:tc>
      </w:tr>
      <w:tr w:rsidR="003D1465" w:rsidRPr="00603AA5" w:rsidTr="008D20D5">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8</w:t>
            </w:r>
          </w:p>
        </w:tc>
        <w:tc>
          <w:tcPr>
            <w:tcW w:w="3565" w:type="dxa"/>
          </w:tcPr>
          <w:p w:rsidR="003D1465" w:rsidRPr="00603AA5" w:rsidRDefault="003D1465" w:rsidP="008D20D5">
            <w:pPr>
              <w:rPr>
                <w:rFonts w:eastAsia="Times New Roman" w:cstheme="minorHAnsi"/>
                <w:sz w:val="16"/>
                <w:szCs w:val="16"/>
              </w:rPr>
            </w:pPr>
            <w:r w:rsidRPr="00603AA5">
              <w:rPr>
                <w:rFonts w:eastAsia="Times New Roman" w:cstheme="minorHAnsi"/>
                <w:sz w:val="16"/>
                <w:szCs w:val="16"/>
              </w:rPr>
              <w:t>Scutirea de plata impozitului pe venit a organizatiilor sindicale si patronale</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RG11957</w:t>
            </w:r>
          </w:p>
        </w:tc>
        <w:tc>
          <w:tcPr>
            <w:tcW w:w="1161" w:type="dxa"/>
          </w:tcPr>
          <w:p w:rsidR="003D1465" w:rsidRPr="00603AA5" w:rsidRDefault="003D1465" w:rsidP="008D20D5">
            <w:pPr>
              <w:ind w:left="-72" w:right="-42"/>
              <w:jc w:val="center"/>
              <w:rPr>
                <w:rFonts w:eastAsia="Times New Roman" w:cstheme="minorHAnsi"/>
                <w:sz w:val="20"/>
                <w:szCs w:val="20"/>
              </w:rPr>
            </w:pPr>
            <w:r w:rsidRPr="009225D5">
              <w:rPr>
                <w:rFonts w:ascii="Times New Roman" w:eastAsia="Times New Roman" w:hAnsi="Times New Roman" w:cs="Times New Roman"/>
                <w:sz w:val="14"/>
                <w:szCs w:val="14"/>
              </w:rPr>
              <w:t>CF, art.53</w:t>
            </w:r>
            <w:r w:rsidRPr="009225D5">
              <w:rPr>
                <w:rFonts w:ascii="Times New Roman" w:eastAsia="Times New Roman" w:hAnsi="Times New Roman" w:cs="Times New Roman"/>
                <w:sz w:val="14"/>
                <w:szCs w:val="14"/>
                <w:vertAlign w:val="superscript"/>
              </w:rPr>
              <w:t>3</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391,06</w:t>
            </w:r>
          </w:p>
        </w:tc>
        <w:tc>
          <w:tcPr>
            <w:tcW w:w="2359" w:type="dxa"/>
          </w:tcPr>
          <w:p w:rsidR="003D1465" w:rsidRPr="00603AA5" w:rsidRDefault="003D1465" w:rsidP="008D20D5">
            <w:pPr>
              <w:ind w:left="-162" w:right="-108"/>
              <w:jc w:val="center"/>
              <w:rPr>
                <w:rFonts w:ascii="Calibri" w:hAnsi="Calibri" w:cs="Calibri"/>
                <w:sz w:val="16"/>
                <w:szCs w:val="16"/>
              </w:rPr>
            </w:pPr>
            <w:r w:rsidRPr="00603AA5">
              <w:rPr>
                <w:rFonts w:ascii="Calibri" w:hAnsi="Calibri" w:cs="Calibri"/>
                <w:sz w:val="16"/>
                <w:szCs w:val="16"/>
              </w:rPr>
              <w:t>Decizi</w:t>
            </w:r>
            <w:r w:rsidR="00FF1FE9">
              <w:rPr>
                <w:rFonts w:ascii="Calibri" w:hAnsi="Calibri" w:cs="Calibri"/>
                <w:sz w:val="16"/>
                <w:szCs w:val="16"/>
              </w:rPr>
              <w:t>a</w:t>
            </w:r>
            <w:r w:rsidRPr="00603AA5">
              <w:rPr>
                <w:rFonts w:ascii="Calibri" w:hAnsi="Calibri" w:cs="Calibri"/>
                <w:sz w:val="16"/>
                <w:szCs w:val="16"/>
              </w:rPr>
              <w:t xml:space="preserve"> CC  </w:t>
            </w:r>
          </w:p>
          <w:p w:rsidR="003D1465" w:rsidRDefault="003D1465" w:rsidP="008D20D5">
            <w:pPr>
              <w:ind w:left="-162" w:right="-108"/>
              <w:jc w:val="center"/>
              <w:rPr>
                <w:rFonts w:ascii="Calibri" w:hAnsi="Calibri" w:cs="Calibri"/>
                <w:sz w:val="16"/>
                <w:szCs w:val="16"/>
              </w:rPr>
            </w:pPr>
            <w:r w:rsidRPr="00603AA5">
              <w:rPr>
                <w:rFonts w:ascii="Calibri" w:hAnsi="Calibri" w:cs="Calibri"/>
                <w:sz w:val="16"/>
                <w:szCs w:val="16"/>
              </w:rPr>
              <w:t xml:space="preserve">nr. ASO-12  din  16.04.2021, </w:t>
            </w:r>
          </w:p>
          <w:p w:rsidR="003D1465" w:rsidRPr="00603AA5" w:rsidRDefault="003D1465" w:rsidP="008D20D5">
            <w:pPr>
              <w:ind w:left="-162" w:right="-108"/>
              <w:jc w:val="center"/>
              <w:rPr>
                <w:rFonts w:ascii="Calibri" w:hAnsi="Calibri" w:cs="Calibri"/>
                <w:sz w:val="16"/>
                <w:szCs w:val="16"/>
              </w:rPr>
            </w:pPr>
            <w:r w:rsidRPr="00135194">
              <w:rPr>
                <w:rFonts w:ascii="Calibri" w:hAnsi="Calibri" w:cs="Calibri"/>
                <w:b/>
                <w:i/>
                <w:sz w:val="16"/>
                <w:szCs w:val="16"/>
              </w:rPr>
              <w:t>este ajutor de stat</w:t>
            </w:r>
            <w:r>
              <w:rPr>
                <w:rFonts w:ascii="Calibri" w:hAnsi="Calibri" w:cs="Calibri"/>
                <w:b/>
                <w:i/>
                <w:sz w:val="16"/>
                <w:szCs w:val="16"/>
              </w:rPr>
              <w:t xml:space="preserve"> și urmează a fi aliniată până la 01.09.2022</w:t>
            </w:r>
          </w:p>
        </w:tc>
      </w:tr>
      <w:tr w:rsidR="003D1465" w:rsidRPr="00603AA5" w:rsidTr="008D20D5">
        <w:trPr>
          <w:trHeight w:val="746"/>
        </w:trPr>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9</w:t>
            </w:r>
          </w:p>
        </w:tc>
        <w:tc>
          <w:tcPr>
            <w:tcW w:w="3565" w:type="dxa"/>
          </w:tcPr>
          <w:p w:rsidR="003D1465" w:rsidRPr="00603AA5" w:rsidRDefault="003D1465" w:rsidP="008D20D5">
            <w:pPr>
              <w:rPr>
                <w:sz w:val="16"/>
                <w:szCs w:val="16"/>
              </w:rPr>
            </w:pPr>
            <w:r w:rsidRPr="00603AA5">
              <w:rPr>
                <w:rFonts w:eastAsia="Times New Roman" w:cstheme="minorHAnsi"/>
                <w:sz w:val="16"/>
                <w:szCs w:val="16"/>
              </w:rPr>
              <w:t xml:space="preserve"> Întreprinderile care au efectuat, în cadrul Acordului de investiţii „Cu privire la Portul Internaţional Liber „Giurgiuleşti”</w:t>
            </w:r>
            <w:r w:rsidR="00874B3D">
              <w:rPr>
                <w:rFonts w:eastAsia="Times New Roman" w:cstheme="minorHAnsi"/>
                <w:sz w:val="16"/>
                <w:szCs w:val="16"/>
              </w:rPr>
              <w:t>”</w:t>
            </w:r>
            <w:r w:rsidRPr="00603AA5">
              <w:rPr>
                <w:rFonts w:eastAsia="Times New Roman" w:cstheme="minorHAnsi"/>
                <w:sz w:val="16"/>
                <w:szCs w:val="16"/>
              </w:rPr>
              <w:t>, investiţii capitale în mărime ce depăşeşte suma echivalentă cu 5</w:t>
            </w:r>
            <w:r w:rsidR="00874B3D">
              <w:rPr>
                <w:rFonts w:eastAsia="Times New Roman" w:cstheme="minorHAnsi"/>
                <w:sz w:val="16"/>
                <w:szCs w:val="16"/>
              </w:rPr>
              <w:t>,0</w:t>
            </w:r>
            <w:r w:rsidRPr="00603AA5">
              <w:rPr>
                <w:rFonts w:eastAsia="Times New Roman" w:cstheme="minorHAnsi"/>
                <w:sz w:val="16"/>
                <w:szCs w:val="16"/>
              </w:rPr>
              <w:t xml:space="preserve"> milioane dolari SUA se scutesc de plata impozitului pe venit pe o perioadă de 5 ani consecutivi ulteriori perioadei fiscale în care a fost atins volumul indicat de investiţii capitale, încep</w:t>
            </w:r>
            <w:r w:rsidR="00874B3D">
              <w:rPr>
                <w:rFonts w:eastAsia="Times New Roman" w:cstheme="minorHAnsi"/>
                <w:sz w:val="16"/>
                <w:szCs w:val="16"/>
              </w:rPr>
              <w:t>â</w:t>
            </w:r>
            <w:r w:rsidRPr="00603AA5">
              <w:rPr>
                <w:rFonts w:eastAsia="Times New Roman" w:cstheme="minorHAnsi"/>
                <w:sz w:val="16"/>
                <w:szCs w:val="16"/>
              </w:rPr>
              <w:t>nd cu prima perioadă fiscală în care acestea au declarat venit impozabil</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RG11959</w:t>
            </w:r>
          </w:p>
          <w:p w:rsidR="003D1465" w:rsidRPr="00837B62" w:rsidRDefault="003D1465" w:rsidP="008D20D5">
            <w:pPr>
              <w:jc w:val="center"/>
              <w:rPr>
                <w:rFonts w:eastAsia="Times New Roman" w:cstheme="minorHAnsi"/>
                <w:sz w:val="16"/>
                <w:szCs w:val="16"/>
              </w:rPr>
            </w:pPr>
          </w:p>
        </w:tc>
        <w:tc>
          <w:tcPr>
            <w:tcW w:w="1161" w:type="dxa"/>
          </w:tcPr>
          <w:p w:rsidR="003D1465" w:rsidRPr="00603AA5" w:rsidRDefault="003D1465" w:rsidP="008D20D5">
            <w:pPr>
              <w:ind w:left="-72" w:right="-42"/>
              <w:jc w:val="center"/>
              <w:rPr>
                <w:rFonts w:eastAsia="Times New Roman" w:cstheme="minorHAnsi"/>
                <w:sz w:val="20"/>
                <w:szCs w:val="20"/>
              </w:rPr>
            </w:pPr>
            <w:r w:rsidRPr="009225D5">
              <w:rPr>
                <w:rFonts w:ascii="Times New Roman" w:eastAsia="Times New Roman" w:hAnsi="Times New Roman" w:cs="Times New Roman"/>
                <w:sz w:val="14"/>
                <w:szCs w:val="14"/>
              </w:rPr>
              <w:t>Legea nr.1164-XIII din 24.04.</w:t>
            </w:r>
            <w:r w:rsidR="00FF1FE9">
              <w:rPr>
                <w:rFonts w:ascii="Times New Roman" w:eastAsia="Times New Roman" w:hAnsi="Times New Roman" w:cs="Times New Roman"/>
                <w:sz w:val="14"/>
                <w:szCs w:val="14"/>
              </w:rPr>
              <w:t>19</w:t>
            </w:r>
            <w:r w:rsidRPr="009225D5">
              <w:rPr>
                <w:rFonts w:ascii="Times New Roman" w:eastAsia="Times New Roman" w:hAnsi="Times New Roman" w:cs="Times New Roman"/>
                <w:sz w:val="14"/>
                <w:szCs w:val="14"/>
              </w:rPr>
              <w:t>97, art.24 alin.(17)</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321,81</w:t>
            </w:r>
          </w:p>
        </w:tc>
        <w:tc>
          <w:tcPr>
            <w:tcW w:w="2359" w:type="dxa"/>
          </w:tcPr>
          <w:p w:rsidR="003D1465" w:rsidRPr="00135194" w:rsidRDefault="003D1465" w:rsidP="008D20D5">
            <w:pPr>
              <w:jc w:val="center"/>
              <w:rPr>
                <w:sz w:val="16"/>
                <w:szCs w:val="16"/>
              </w:rPr>
            </w:pPr>
            <w:r w:rsidRPr="00135194">
              <w:rPr>
                <w:sz w:val="16"/>
                <w:szCs w:val="16"/>
              </w:rPr>
              <w:t>Decizi</w:t>
            </w:r>
            <w:r w:rsidR="00FF1FE9">
              <w:rPr>
                <w:sz w:val="16"/>
                <w:szCs w:val="16"/>
              </w:rPr>
              <w:t>a</w:t>
            </w:r>
            <w:r w:rsidRPr="00135194">
              <w:rPr>
                <w:sz w:val="16"/>
                <w:szCs w:val="16"/>
              </w:rPr>
              <w:t xml:space="preserve"> CC</w:t>
            </w:r>
          </w:p>
          <w:p w:rsidR="003D1465" w:rsidRDefault="003D1465" w:rsidP="008D20D5">
            <w:pPr>
              <w:jc w:val="center"/>
              <w:rPr>
                <w:sz w:val="16"/>
                <w:szCs w:val="16"/>
              </w:rPr>
            </w:pPr>
            <w:r w:rsidRPr="00135194">
              <w:rPr>
                <w:sz w:val="16"/>
                <w:szCs w:val="16"/>
              </w:rPr>
              <w:t>ASO -</w:t>
            </w:r>
            <w:r>
              <w:rPr>
                <w:sz w:val="16"/>
                <w:szCs w:val="16"/>
              </w:rPr>
              <w:t xml:space="preserve"> </w:t>
            </w:r>
            <w:r w:rsidRPr="00135194">
              <w:rPr>
                <w:sz w:val="16"/>
                <w:szCs w:val="16"/>
              </w:rPr>
              <w:t>43 din 24.06.2022</w:t>
            </w:r>
            <w:r>
              <w:rPr>
                <w:sz w:val="16"/>
                <w:szCs w:val="16"/>
              </w:rPr>
              <w:t xml:space="preserve">, </w:t>
            </w:r>
          </w:p>
          <w:p w:rsidR="003D1465" w:rsidRPr="00135194" w:rsidRDefault="003D1465" w:rsidP="008D20D5">
            <w:pPr>
              <w:jc w:val="center"/>
              <w:rPr>
                <w:i/>
                <w:sz w:val="16"/>
                <w:szCs w:val="16"/>
              </w:rPr>
            </w:pPr>
            <w:r w:rsidRPr="00135194">
              <w:rPr>
                <w:i/>
                <w:sz w:val="16"/>
                <w:szCs w:val="16"/>
              </w:rPr>
              <w:t>nu constituie ajutor de stat</w:t>
            </w:r>
          </w:p>
        </w:tc>
      </w:tr>
      <w:tr w:rsidR="003D1465" w:rsidRPr="00603AA5" w:rsidTr="008D20D5">
        <w:trPr>
          <w:trHeight w:val="782"/>
        </w:trPr>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10</w:t>
            </w:r>
          </w:p>
        </w:tc>
        <w:tc>
          <w:tcPr>
            <w:tcW w:w="3565" w:type="dxa"/>
          </w:tcPr>
          <w:p w:rsidR="003D1465" w:rsidRPr="00603AA5" w:rsidRDefault="003D1465" w:rsidP="008D20D5">
            <w:pPr>
              <w:rPr>
                <w:sz w:val="16"/>
                <w:szCs w:val="16"/>
              </w:rPr>
            </w:pPr>
            <w:r w:rsidRPr="00603AA5">
              <w:rPr>
                <w:rFonts w:eastAsia="Times New Roman" w:cstheme="minorHAnsi"/>
                <w:sz w:val="16"/>
                <w:szCs w:val="16"/>
              </w:rPr>
              <w:t xml:space="preserve">Scutirea în mărime de 75% la impozitul pe venit pentru rezidenţii Portului Internaţional Liber </w:t>
            </w:r>
            <w:r w:rsidR="00874B3D">
              <w:rPr>
                <w:rFonts w:eastAsia="Times New Roman" w:cstheme="minorHAnsi"/>
                <w:sz w:val="16"/>
                <w:szCs w:val="16"/>
              </w:rPr>
              <w:t>„</w:t>
            </w:r>
            <w:r w:rsidRPr="00603AA5">
              <w:rPr>
                <w:rFonts w:eastAsia="Times New Roman" w:cstheme="minorHAnsi"/>
                <w:sz w:val="16"/>
                <w:szCs w:val="16"/>
              </w:rPr>
              <w:t>Giurgiuleşti”</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RG11960</w:t>
            </w:r>
          </w:p>
        </w:tc>
        <w:tc>
          <w:tcPr>
            <w:tcW w:w="1161" w:type="dxa"/>
          </w:tcPr>
          <w:p w:rsidR="003D1465" w:rsidRPr="00603AA5" w:rsidRDefault="003D1465" w:rsidP="008D20D5">
            <w:pPr>
              <w:ind w:left="-72" w:right="-42"/>
              <w:jc w:val="center"/>
              <w:rPr>
                <w:rFonts w:eastAsia="Times New Roman" w:cstheme="minorHAnsi"/>
                <w:sz w:val="20"/>
                <w:szCs w:val="20"/>
              </w:rPr>
            </w:pPr>
            <w:r w:rsidRPr="009225D5">
              <w:rPr>
                <w:rFonts w:ascii="Times New Roman" w:eastAsia="Times New Roman" w:hAnsi="Times New Roman" w:cs="Times New Roman"/>
                <w:sz w:val="14"/>
                <w:szCs w:val="14"/>
              </w:rPr>
              <w:t>Legea nr.8-XV din 17.02.2005, art.8 alin.(2) lit.</w:t>
            </w:r>
            <w:r>
              <w:rPr>
                <w:rFonts w:ascii="Times New Roman" w:eastAsia="Times New Roman" w:hAnsi="Times New Roman" w:cs="Times New Roman"/>
                <w:sz w:val="14"/>
                <w:szCs w:val="14"/>
              </w:rPr>
              <w:t xml:space="preserve"> </w:t>
            </w:r>
            <w:r w:rsidRPr="009225D5">
              <w:rPr>
                <w:rFonts w:ascii="Times New Roman" w:eastAsia="Times New Roman" w:hAnsi="Times New Roman" w:cs="Times New Roman"/>
                <w:sz w:val="14"/>
                <w:szCs w:val="14"/>
              </w:rPr>
              <w:t>a)</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1493,65</w:t>
            </w:r>
          </w:p>
        </w:tc>
        <w:tc>
          <w:tcPr>
            <w:tcW w:w="2359" w:type="dxa"/>
          </w:tcPr>
          <w:p w:rsidR="003D1465" w:rsidRPr="00603AA5" w:rsidRDefault="003D1465" w:rsidP="008D20D5">
            <w:pPr>
              <w:jc w:val="center"/>
              <w:rPr>
                <w:rFonts w:ascii="Calibri" w:hAnsi="Calibri" w:cs="Calibri"/>
                <w:sz w:val="16"/>
                <w:szCs w:val="16"/>
              </w:rPr>
            </w:pPr>
            <w:r w:rsidRPr="00603AA5">
              <w:rPr>
                <w:rFonts w:ascii="Calibri" w:hAnsi="Calibri" w:cs="Calibri"/>
                <w:sz w:val="16"/>
                <w:szCs w:val="16"/>
              </w:rPr>
              <w:t xml:space="preserve">Decizia ASR-06 din 21.01.2022, </w:t>
            </w:r>
          </w:p>
          <w:p w:rsidR="003D1465" w:rsidRPr="00603AA5" w:rsidRDefault="003D1465" w:rsidP="008D20D5">
            <w:pPr>
              <w:jc w:val="center"/>
              <w:rPr>
                <w:i/>
                <w:sz w:val="16"/>
                <w:szCs w:val="16"/>
              </w:rPr>
            </w:pPr>
            <w:r w:rsidRPr="00603AA5">
              <w:rPr>
                <w:rFonts w:ascii="Calibri" w:hAnsi="Calibri" w:cs="Calibri"/>
                <w:i/>
                <w:sz w:val="16"/>
                <w:szCs w:val="16"/>
              </w:rPr>
              <w:t>nu constituie ajutor</w:t>
            </w:r>
            <w:r>
              <w:rPr>
                <w:rFonts w:ascii="Calibri" w:hAnsi="Calibri" w:cs="Calibri"/>
                <w:i/>
                <w:sz w:val="16"/>
                <w:szCs w:val="16"/>
              </w:rPr>
              <w:t xml:space="preserve"> de stat</w:t>
            </w:r>
          </w:p>
        </w:tc>
      </w:tr>
      <w:tr w:rsidR="003D1465" w:rsidRPr="00603AA5" w:rsidTr="008D20D5">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11</w:t>
            </w:r>
          </w:p>
        </w:tc>
        <w:tc>
          <w:tcPr>
            <w:tcW w:w="3565" w:type="dxa"/>
          </w:tcPr>
          <w:p w:rsidR="003D1465" w:rsidRPr="00603AA5" w:rsidRDefault="003D1465" w:rsidP="008D20D5">
            <w:pPr>
              <w:rPr>
                <w:rFonts w:eastAsia="Times New Roman" w:cstheme="minorHAnsi"/>
                <w:sz w:val="16"/>
                <w:szCs w:val="16"/>
              </w:rPr>
            </w:pPr>
            <w:r w:rsidRPr="00603AA5">
              <w:rPr>
                <w:rFonts w:eastAsia="Times New Roman" w:cstheme="minorHAnsi"/>
                <w:sz w:val="16"/>
                <w:szCs w:val="16"/>
              </w:rPr>
              <w:t xml:space="preserve">Impozitul unic perceput de la rezidenții parcurilor pentru tehnologia informației (art.15 al Legii </w:t>
            </w:r>
            <w:r w:rsidR="00DC1EF1">
              <w:rPr>
                <w:rFonts w:eastAsia="Times New Roman" w:cstheme="minorHAnsi"/>
                <w:sz w:val="16"/>
                <w:szCs w:val="16"/>
              </w:rPr>
              <w:t>nr.</w:t>
            </w:r>
            <w:r w:rsidRPr="00603AA5">
              <w:rPr>
                <w:rFonts w:eastAsia="Times New Roman" w:cstheme="minorHAnsi"/>
                <w:sz w:val="16"/>
                <w:szCs w:val="16"/>
              </w:rPr>
              <w:t>77/2016)</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RG11961</w:t>
            </w:r>
          </w:p>
        </w:tc>
        <w:tc>
          <w:tcPr>
            <w:tcW w:w="1161" w:type="dxa"/>
          </w:tcPr>
          <w:p w:rsidR="003D1465" w:rsidRPr="00603AA5" w:rsidRDefault="003D1465" w:rsidP="008D20D5">
            <w:pPr>
              <w:ind w:left="-72" w:right="-42"/>
              <w:jc w:val="center"/>
              <w:rPr>
                <w:rFonts w:eastAsia="Times New Roman" w:cstheme="minorHAnsi"/>
                <w:sz w:val="20"/>
                <w:szCs w:val="20"/>
              </w:rPr>
            </w:pPr>
            <w:r w:rsidRPr="009225D5">
              <w:rPr>
                <w:rFonts w:ascii="Times New Roman" w:eastAsia="Times New Roman" w:hAnsi="Times New Roman" w:cs="Times New Roman"/>
                <w:sz w:val="14"/>
                <w:szCs w:val="14"/>
              </w:rPr>
              <w:t>CF, art.370 alin.(1)</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33793,38</w:t>
            </w:r>
          </w:p>
        </w:tc>
        <w:tc>
          <w:tcPr>
            <w:tcW w:w="2359" w:type="dxa"/>
          </w:tcPr>
          <w:p w:rsidR="003D1465" w:rsidRPr="00603AA5" w:rsidRDefault="003D1465" w:rsidP="008D20D5">
            <w:pPr>
              <w:ind w:left="-72"/>
              <w:jc w:val="center"/>
              <w:rPr>
                <w:rFonts w:ascii="Calibri" w:hAnsi="Calibri" w:cs="Calibri"/>
                <w:sz w:val="16"/>
                <w:szCs w:val="16"/>
              </w:rPr>
            </w:pPr>
            <w:r w:rsidRPr="00603AA5">
              <w:rPr>
                <w:rFonts w:ascii="Calibri" w:hAnsi="Calibri" w:cs="Calibri"/>
                <w:sz w:val="16"/>
                <w:szCs w:val="16"/>
              </w:rPr>
              <w:t>Decizi</w:t>
            </w:r>
            <w:r w:rsidR="00FF1FE9">
              <w:rPr>
                <w:rFonts w:ascii="Calibri" w:hAnsi="Calibri" w:cs="Calibri"/>
                <w:sz w:val="16"/>
                <w:szCs w:val="16"/>
              </w:rPr>
              <w:t>a</w:t>
            </w:r>
            <w:r w:rsidRPr="00603AA5">
              <w:rPr>
                <w:rFonts w:ascii="Calibri" w:hAnsi="Calibri" w:cs="Calibri"/>
                <w:sz w:val="16"/>
                <w:szCs w:val="16"/>
              </w:rPr>
              <w:t xml:space="preserve"> CC</w:t>
            </w:r>
          </w:p>
          <w:p w:rsidR="003D1465" w:rsidRDefault="003D1465" w:rsidP="008D20D5">
            <w:pPr>
              <w:ind w:left="-72"/>
              <w:jc w:val="center"/>
              <w:rPr>
                <w:rFonts w:ascii="Calibri" w:hAnsi="Calibri" w:cs="Calibri"/>
                <w:sz w:val="16"/>
                <w:szCs w:val="16"/>
              </w:rPr>
            </w:pPr>
            <w:r w:rsidRPr="00603AA5">
              <w:rPr>
                <w:rFonts w:ascii="Calibri" w:hAnsi="Calibri" w:cs="Calibri"/>
                <w:sz w:val="16"/>
                <w:szCs w:val="16"/>
              </w:rPr>
              <w:t>ASS-17 din 29.03.2018,</w:t>
            </w:r>
          </w:p>
          <w:p w:rsidR="003D1465" w:rsidRPr="00603AA5" w:rsidRDefault="003D1465" w:rsidP="008D20D5">
            <w:pPr>
              <w:ind w:left="-72"/>
              <w:jc w:val="center"/>
              <w:rPr>
                <w:rFonts w:ascii="Calibri" w:hAnsi="Calibri" w:cs="Calibri"/>
                <w:sz w:val="16"/>
                <w:szCs w:val="16"/>
              </w:rPr>
            </w:pPr>
            <w:r w:rsidRPr="00603AA5">
              <w:rPr>
                <w:rFonts w:ascii="Calibri" w:hAnsi="Calibri" w:cs="Calibri"/>
                <w:sz w:val="16"/>
                <w:szCs w:val="16"/>
              </w:rPr>
              <w:t xml:space="preserve"> </w:t>
            </w:r>
            <w:r w:rsidRPr="00135194">
              <w:rPr>
                <w:rFonts w:ascii="Calibri" w:hAnsi="Calibri" w:cs="Calibri"/>
                <w:b/>
                <w:i/>
                <w:sz w:val="16"/>
                <w:szCs w:val="16"/>
              </w:rPr>
              <w:t>este ajutor de stat</w:t>
            </w:r>
            <w:r>
              <w:rPr>
                <w:rFonts w:ascii="Calibri" w:hAnsi="Calibri" w:cs="Calibri"/>
                <w:b/>
                <w:i/>
                <w:sz w:val="16"/>
                <w:szCs w:val="16"/>
              </w:rPr>
              <w:t xml:space="preserve"> și urmează a fi aliniată până la 01.09.2022</w:t>
            </w:r>
          </w:p>
        </w:tc>
      </w:tr>
      <w:tr w:rsidR="003D1465" w:rsidRPr="00603AA5" w:rsidTr="008D20D5">
        <w:tc>
          <w:tcPr>
            <w:tcW w:w="542" w:type="dxa"/>
            <w:shd w:val="clear" w:color="auto" w:fill="EDEDED" w:themeFill="accent3" w:themeFillTint="33"/>
          </w:tcPr>
          <w:p w:rsidR="003D1465" w:rsidRPr="00E0343A" w:rsidRDefault="003D1465" w:rsidP="008D20D5">
            <w:pPr>
              <w:jc w:val="center"/>
              <w:rPr>
                <w:b/>
                <w:sz w:val="20"/>
                <w:szCs w:val="20"/>
              </w:rPr>
            </w:pPr>
            <w:r w:rsidRPr="00E0343A">
              <w:rPr>
                <w:b/>
                <w:sz w:val="20"/>
                <w:szCs w:val="20"/>
              </w:rPr>
              <w:t>12</w:t>
            </w:r>
          </w:p>
        </w:tc>
        <w:tc>
          <w:tcPr>
            <w:tcW w:w="3565" w:type="dxa"/>
          </w:tcPr>
          <w:p w:rsidR="003D1465" w:rsidRPr="00603AA5" w:rsidRDefault="003D1465" w:rsidP="008D20D5">
            <w:pPr>
              <w:rPr>
                <w:sz w:val="16"/>
                <w:szCs w:val="16"/>
              </w:rPr>
            </w:pPr>
            <w:r w:rsidRPr="00603AA5">
              <w:rPr>
                <w:rFonts w:eastAsia="Times New Roman" w:cstheme="minorHAnsi"/>
                <w:sz w:val="16"/>
                <w:szCs w:val="16"/>
              </w:rPr>
              <w:t>Subvenționare șomaj tehnic și/sau staționare în perioada stării de urgență</w:t>
            </w:r>
          </w:p>
        </w:tc>
        <w:tc>
          <w:tcPr>
            <w:tcW w:w="1142" w:type="dxa"/>
          </w:tcPr>
          <w:p w:rsidR="003D1465" w:rsidRPr="00837B62" w:rsidRDefault="003D1465" w:rsidP="008D20D5">
            <w:pPr>
              <w:jc w:val="center"/>
              <w:rPr>
                <w:rFonts w:eastAsia="Times New Roman" w:cstheme="minorHAnsi"/>
                <w:sz w:val="16"/>
                <w:szCs w:val="16"/>
              </w:rPr>
            </w:pPr>
            <w:r w:rsidRPr="00837B62">
              <w:rPr>
                <w:rFonts w:eastAsia="Times New Roman" w:cstheme="minorHAnsi"/>
                <w:sz w:val="16"/>
                <w:szCs w:val="16"/>
              </w:rPr>
              <w:t xml:space="preserve">FORMULAR </w:t>
            </w:r>
            <w:r w:rsidR="00DC1EF1">
              <w:rPr>
                <w:rFonts w:eastAsia="Times New Roman" w:cstheme="minorHAnsi"/>
                <w:sz w:val="16"/>
                <w:szCs w:val="16"/>
              </w:rPr>
              <w:t>n</w:t>
            </w:r>
            <w:r w:rsidRPr="00837B62">
              <w:rPr>
                <w:rFonts w:eastAsia="Times New Roman" w:cstheme="minorHAnsi"/>
                <w:sz w:val="16"/>
                <w:szCs w:val="16"/>
              </w:rPr>
              <w:t>r. RG11962</w:t>
            </w:r>
          </w:p>
        </w:tc>
        <w:tc>
          <w:tcPr>
            <w:tcW w:w="1161" w:type="dxa"/>
            <w:vAlign w:val="bottom"/>
          </w:tcPr>
          <w:p w:rsidR="003D1465" w:rsidRPr="009225D5" w:rsidRDefault="003D1465" w:rsidP="008D20D5">
            <w:pPr>
              <w:ind w:left="-72" w:right="-42"/>
              <w:jc w:val="center"/>
              <w:rPr>
                <w:rFonts w:ascii="Calibri" w:eastAsia="Times New Roman" w:hAnsi="Calibri" w:cs="Calibri"/>
                <w:color w:val="000000"/>
                <w:sz w:val="14"/>
                <w:szCs w:val="14"/>
              </w:rPr>
            </w:pPr>
            <w:r w:rsidRPr="009225D5">
              <w:rPr>
                <w:rFonts w:ascii="Calibri" w:eastAsia="Times New Roman" w:hAnsi="Calibri" w:cs="Calibri"/>
                <w:color w:val="000000"/>
                <w:sz w:val="14"/>
                <w:szCs w:val="14"/>
              </w:rPr>
              <w:t xml:space="preserve">Legea </w:t>
            </w:r>
            <w:r w:rsidR="00FF1FE9">
              <w:rPr>
                <w:rFonts w:ascii="Calibri" w:eastAsia="Times New Roman" w:hAnsi="Calibri" w:cs="Calibri"/>
                <w:color w:val="000000"/>
                <w:sz w:val="14"/>
                <w:szCs w:val="14"/>
              </w:rPr>
              <w:t>nr.</w:t>
            </w:r>
            <w:r w:rsidRPr="009225D5">
              <w:rPr>
                <w:rFonts w:ascii="Calibri" w:eastAsia="Times New Roman" w:hAnsi="Calibri" w:cs="Calibri"/>
                <w:color w:val="000000"/>
                <w:sz w:val="14"/>
                <w:szCs w:val="14"/>
              </w:rPr>
              <w:t>69/21.05.2020, art. II</w:t>
            </w:r>
          </w:p>
        </w:tc>
        <w:tc>
          <w:tcPr>
            <w:tcW w:w="1132" w:type="dxa"/>
          </w:tcPr>
          <w:p w:rsidR="003D1465" w:rsidRPr="00603AA5" w:rsidRDefault="003D1465" w:rsidP="008D20D5">
            <w:pPr>
              <w:ind w:right="-18"/>
              <w:jc w:val="right"/>
              <w:rPr>
                <w:rFonts w:eastAsia="Times New Roman" w:cstheme="minorHAnsi"/>
                <w:sz w:val="20"/>
                <w:szCs w:val="20"/>
              </w:rPr>
            </w:pPr>
            <w:r w:rsidRPr="00603AA5">
              <w:rPr>
                <w:rFonts w:eastAsia="Times New Roman" w:cstheme="minorHAnsi"/>
                <w:sz w:val="20"/>
                <w:szCs w:val="20"/>
              </w:rPr>
              <w:t>59214,30</w:t>
            </w:r>
          </w:p>
        </w:tc>
        <w:tc>
          <w:tcPr>
            <w:tcW w:w="2359" w:type="dxa"/>
          </w:tcPr>
          <w:p w:rsidR="003D1465" w:rsidRPr="00C6002C" w:rsidRDefault="003D1465" w:rsidP="008D20D5">
            <w:pPr>
              <w:jc w:val="center"/>
              <w:rPr>
                <w:sz w:val="16"/>
                <w:szCs w:val="16"/>
              </w:rPr>
            </w:pPr>
            <w:r>
              <w:rPr>
                <w:sz w:val="16"/>
                <w:szCs w:val="16"/>
              </w:rPr>
              <w:t>E</w:t>
            </w:r>
            <w:r w:rsidRPr="00C6002C">
              <w:rPr>
                <w:sz w:val="16"/>
                <w:szCs w:val="16"/>
              </w:rPr>
              <w:t>ste exceptată de</w:t>
            </w:r>
          </w:p>
          <w:p w:rsidR="003D1465" w:rsidRPr="00603AA5" w:rsidRDefault="003D1465" w:rsidP="008D20D5">
            <w:pPr>
              <w:jc w:val="center"/>
              <w:rPr>
                <w:sz w:val="16"/>
                <w:szCs w:val="16"/>
              </w:rPr>
            </w:pPr>
            <w:r w:rsidRPr="00C6002C">
              <w:rPr>
                <w:sz w:val="16"/>
                <w:szCs w:val="16"/>
              </w:rPr>
              <w:t>la obligația de notificare</w:t>
            </w:r>
            <w:r>
              <w:rPr>
                <w:sz w:val="16"/>
                <w:szCs w:val="16"/>
              </w:rPr>
              <w:t xml:space="preserve"> </w:t>
            </w:r>
          </w:p>
        </w:tc>
      </w:tr>
      <w:tr w:rsidR="003D1465" w:rsidRPr="007B11A5" w:rsidTr="008D20D5">
        <w:trPr>
          <w:trHeight w:val="485"/>
        </w:trPr>
        <w:tc>
          <w:tcPr>
            <w:tcW w:w="4107" w:type="dxa"/>
            <w:gridSpan w:val="2"/>
            <w:vAlign w:val="center"/>
          </w:tcPr>
          <w:p w:rsidR="003D1465" w:rsidRPr="00AC1806" w:rsidRDefault="003D1465" w:rsidP="008D20D5">
            <w:pPr>
              <w:jc w:val="center"/>
              <w:rPr>
                <w:b/>
                <w:sz w:val="20"/>
                <w:szCs w:val="20"/>
              </w:rPr>
            </w:pPr>
            <w:r w:rsidRPr="00AC1806">
              <w:rPr>
                <w:b/>
                <w:sz w:val="20"/>
                <w:szCs w:val="20"/>
              </w:rPr>
              <w:t>TOTAL</w:t>
            </w:r>
          </w:p>
        </w:tc>
        <w:tc>
          <w:tcPr>
            <w:tcW w:w="1142" w:type="dxa"/>
            <w:vAlign w:val="center"/>
          </w:tcPr>
          <w:p w:rsidR="003D1465" w:rsidRPr="00AC1806" w:rsidRDefault="003D1465" w:rsidP="008D20D5">
            <w:pPr>
              <w:jc w:val="center"/>
              <w:rPr>
                <w:rFonts w:eastAsia="Times New Roman" w:cstheme="minorHAnsi"/>
                <w:b/>
                <w:sz w:val="20"/>
                <w:szCs w:val="20"/>
              </w:rPr>
            </w:pPr>
            <w:r w:rsidRPr="00AC1806">
              <w:rPr>
                <w:rFonts w:eastAsia="Times New Roman" w:cstheme="minorHAnsi"/>
                <w:b/>
                <w:sz w:val="20"/>
                <w:szCs w:val="20"/>
              </w:rPr>
              <w:t xml:space="preserve">12 </w:t>
            </w:r>
            <w:r w:rsidR="00DC1EF1">
              <w:rPr>
                <w:rFonts w:eastAsia="Times New Roman" w:cstheme="minorHAnsi"/>
                <w:b/>
                <w:sz w:val="20"/>
                <w:szCs w:val="20"/>
              </w:rPr>
              <w:t>F</w:t>
            </w:r>
            <w:r w:rsidRPr="00AC1806">
              <w:rPr>
                <w:rFonts w:eastAsia="Times New Roman" w:cstheme="minorHAnsi"/>
                <w:b/>
                <w:sz w:val="20"/>
                <w:szCs w:val="20"/>
              </w:rPr>
              <w:t>ormulare</w:t>
            </w:r>
          </w:p>
        </w:tc>
        <w:tc>
          <w:tcPr>
            <w:tcW w:w="1161" w:type="dxa"/>
            <w:vAlign w:val="center"/>
          </w:tcPr>
          <w:p w:rsidR="003D1465" w:rsidRPr="00AC1806" w:rsidRDefault="003D1465" w:rsidP="008D20D5">
            <w:pPr>
              <w:jc w:val="center"/>
              <w:rPr>
                <w:rFonts w:ascii="Calibri" w:hAnsi="Calibri" w:cs="Calibri"/>
                <w:b/>
                <w:color w:val="000000"/>
                <w:sz w:val="20"/>
                <w:szCs w:val="20"/>
              </w:rPr>
            </w:pPr>
            <w:r w:rsidRPr="00AC1806">
              <w:rPr>
                <w:rFonts w:ascii="Calibri" w:hAnsi="Calibri" w:cs="Calibri"/>
                <w:b/>
                <w:color w:val="000000"/>
                <w:sz w:val="20"/>
                <w:szCs w:val="20"/>
              </w:rPr>
              <w:t>*</w:t>
            </w:r>
          </w:p>
        </w:tc>
        <w:tc>
          <w:tcPr>
            <w:tcW w:w="1132" w:type="dxa"/>
            <w:vAlign w:val="center"/>
          </w:tcPr>
          <w:p w:rsidR="003D1465" w:rsidRPr="00AC1806" w:rsidRDefault="003D1465" w:rsidP="008D20D5">
            <w:pPr>
              <w:jc w:val="right"/>
              <w:rPr>
                <w:rFonts w:ascii="Calibri" w:hAnsi="Calibri" w:cs="Calibri"/>
                <w:b/>
                <w:color w:val="000000"/>
                <w:sz w:val="20"/>
                <w:szCs w:val="20"/>
              </w:rPr>
            </w:pPr>
            <w:r w:rsidRPr="00AC1806">
              <w:rPr>
                <w:rFonts w:ascii="Calibri" w:hAnsi="Calibri" w:cs="Calibri"/>
                <w:b/>
                <w:color w:val="000000"/>
                <w:sz w:val="20"/>
                <w:szCs w:val="20"/>
              </w:rPr>
              <w:t>338,247.35</w:t>
            </w:r>
          </w:p>
        </w:tc>
        <w:tc>
          <w:tcPr>
            <w:tcW w:w="2359" w:type="dxa"/>
            <w:vAlign w:val="center"/>
          </w:tcPr>
          <w:p w:rsidR="003D1465" w:rsidRPr="00AC1806" w:rsidRDefault="003D1465" w:rsidP="008D20D5">
            <w:pPr>
              <w:jc w:val="center"/>
              <w:rPr>
                <w:sz w:val="20"/>
                <w:szCs w:val="20"/>
              </w:rPr>
            </w:pPr>
            <w:r>
              <w:rPr>
                <w:sz w:val="20"/>
                <w:szCs w:val="20"/>
              </w:rPr>
              <w:t>*</w:t>
            </w:r>
          </w:p>
        </w:tc>
      </w:tr>
    </w:tbl>
    <w:p w:rsidR="00E40C87" w:rsidRPr="00401691" w:rsidRDefault="00E40C87" w:rsidP="00E40C87">
      <w:pPr>
        <w:spacing w:line="276" w:lineRule="auto"/>
        <w:jc w:val="right"/>
        <w:rPr>
          <w:rFonts w:asciiTheme="majorHAnsi" w:eastAsia="Times New Roman" w:hAnsiTheme="majorHAnsi" w:cstheme="majorHAnsi"/>
          <w:bCs/>
          <w:i/>
          <w:iCs/>
          <w:sz w:val="24"/>
          <w:szCs w:val="24"/>
          <w:lang w:eastAsia="ru-RU"/>
        </w:rPr>
      </w:pPr>
      <w:r>
        <w:rPr>
          <w:rFonts w:asciiTheme="majorHAnsi" w:eastAsia="Times New Roman" w:hAnsiTheme="majorHAnsi" w:cstheme="majorHAnsi"/>
          <w:bCs/>
          <w:i/>
          <w:iCs/>
          <w:sz w:val="24"/>
          <w:szCs w:val="24"/>
          <w:lang w:eastAsia="ru-RU"/>
        </w:rPr>
        <w:lastRenderedPageBreak/>
        <w:t>Anexa nr. 6</w:t>
      </w:r>
    </w:p>
    <w:p w:rsidR="00E40C87" w:rsidRPr="001B7E53" w:rsidRDefault="00E40C87" w:rsidP="00E40C87">
      <w:pPr>
        <w:spacing w:after="120"/>
        <w:jc w:val="center"/>
        <w:rPr>
          <w:sz w:val="20"/>
          <w:szCs w:val="20"/>
        </w:rPr>
      </w:pPr>
      <w:r w:rsidRPr="001B7E53">
        <w:rPr>
          <w:rFonts w:asciiTheme="majorHAnsi" w:eastAsia="Times New Roman" w:hAnsiTheme="majorHAnsi" w:cstheme="majorHAnsi"/>
          <w:b/>
          <w:bCs/>
          <w:iCs/>
          <w:sz w:val="20"/>
          <w:szCs w:val="20"/>
          <w:lang w:eastAsia="ru-RU"/>
        </w:rPr>
        <w:t xml:space="preserve">Implementarea cerințelor și recomandărilor </w:t>
      </w:r>
      <w:r w:rsidR="00727837">
        <w:rPr>
          <w:rFonts w:asciiTheme="majorHAnsi" w:eastAsia="Times New Roman" w:hAnsiTheme="majorHAnsi" w:cstheme="majorHAnsi"/>
          <w:b/>
          <w:bCs/>
          <w:iCs/>
          <w:sz w:val="20"/>
          <w:szCs w:val="20"/>
          <w:lang w:eastAsia="ru-RU"/>
        </w:rPr>
        <w:t>aprobate prin</w:t>
      </w:r>
      <w:r w:rsidRPr="001B7E53">
        <w:rPr>
          <w:rFonts w:asciiTheme="majorHAnsi" w:eastAsia="Times New Roman" w:hAnsiTheme="majorHAnsi" w:cstheme="majorHAnsi"/>
          <w:b/>
          <w:bCs/>
          <w:iCs/>
          <w:sz w:val="20"/>
          <w:szCs w:val="20"/>
          <w:lang w:eastAsia="ru-RU"/>
        </w:rPr>
        <w:t xml:space="preserve"> Hotărârea Curții de Conturi nr. 34 din 29.07.2016 privind Raportul  auditului de conformitate asociat auditului de performanță  al sistemului facilităților fiscale și vamale</w:t>
      </w:r>
    </w:p>
    <w:tbl>
      <w:tblPr>
        <w:tblStyle w:val="TableGrid"/>
        <w:tblW w:w="9450" w:type="dxa"/>
        <w:tblInd w:w="-5" w:type="dxa"/>
        <w:tblLayout w:type="fixed"/>
        <w:tblLook w:val="04A0" w:firstRow="1" w:lastRow="0" w:firstColumn="1" w:lastColumn="0" w:noHBand="0" w:noVBand="1"/>
      </w:tblPr>
      <w:tblGrid>
        <w:gridCol w:w="2880"/>
        <w:gridCol w:w="4050"/>
        <w:gridCol w:w="810"/>
        <w:gridCol w:w="810"/>
        <w:gridCol w:w="900"/>
      </w:tblGrid>
      <w:tr w:rsidR="00E40C87" w:rsidRPr="00401691" w:rsidTr="007D6CDF">
        <w:trPr>
          <w:trHeight w:val="368"/>
        </w:trPr>
        <w:tc>
          <w:tcPr>
            <w:tcW w:w="2880" w:type="dxa"/>
            <w:vMerge w:val="restart"/>
            <w:shd w:val="clear" w:color="auto" w:fill="E7E6E6" w:themeFill="background2"/>
            <w:vAlign w:val="center"/>
          </w:tcPr>
          <w:p w:rsidR="00E40C87" w:rsidRPr="00401691" w:rsidRDefault="00E40C87" w:rsidP="00B724B8">
            <w:pPr>
              <w:tabs>
                <w:tab w:val="left" w:pos="720"/>
              </w:tabs>
              <w:spacing w:line="276" w:lineRule="auto"/>
              <w:jc w:val="center"/>
              <w:rPr>
                <w:rFonts w:asciiTheme="majorHAnsi" w:hAnsiTheme="majorHAnsi" w:cstheme="majorHAnsi"/>
                <w:b/>
                <w:sz w:val="20"/>
                <w:szCs w:val="20"/>
              </w:rPr>
            </w:pPr>
            <w:r w:rsidRPr="00401691">
              <w:rPr>
                <w:rFonts w:asciiTheme="majorHAnsi" w:hAnsiTheme="majorHAnsi" w:cstheme="majorHAnsi"/>
                <w:b/>
                <w:sz w:val="20"/>
                <w:szCs w:val="20"/>
              </w:rPr>
              <w:t>Cerința/recomandarea</w:t>
            </w:r>
          </w:p>
        </w:tc>
        <w:tc>
          <w:tcPr>
            <w:tcW w:w="4050" w:type="dxa"/>
            <w:vMerge w:val="restart"/>
            <w:shd w:val="clear" w:color="auto" w:fill="E7E6E6" w:themeFill="background2"/>
            <w:vAlign w:val="center"/>
          </w:tcPr>
          <w:p w:rsidR="00E40C87" w:rsidRPr="00401691" w:rsidRDefault="00E40C87" w:rsidP="00B724B8">
            <w:pPr>
              <w:tabs>
                <w:tab w:val="left" w:pos="720"/>
              </w:tabs>
              <w:spacing w:line="276" w:lineRule="auto"/>
              <w:jc w:val="center"/>
              <w:rPr>
                <w:rFonts w:asciiTheme="majorHAnsi" w:hAnsiTheme="majorHAnsi" w:cstheme="majorHAnsi"/>
                <w:b/>
                <w:sz w:val="20"/>
                <w:szCs w:val="20"/>
              </w:rPr>
            </w:pPr>
            <w:r w:rsidRPr="00401691">
              <w:rPr>
                <w:rFonts w:asciiTheme="majorHAnsi" w:hAnsiTheme="majorHAnsi" w:cstheme="majorHAnsi"/>
                <w:b/>
                <w:sz w:val="20"/>
                <w:szCs w:val="20"/>
              </w:rPr>
              <w:t>Măsurile întreprinse</w:t>
            </w:r>
          </w:p>
        </w:tc>
        <w:tc>
          <w:tcPr>
            <w:tcW w:w="2520" w:type="dxa"/>
            <w:gridSpan w:val="3"/>
            <w:shd w:val="clear" w:color="auto" w:fill="E7E6E6" w:themeFill="background2"/>
            <w:vAlign w:val="center"/>
          </w:tcPr>
          <w:p w:rsidR="00E40C87" w:rsidRPr="00401691" w:rsidRDefault="00E40C87" w:rsidP="00B724B8">
            <w:pPr>
              <w:spacing w:line="276" w:lineRule="auto"/>
              <w:ind w:left="-106" w:right="-111"/>
              <w:jc w:val="center"/>
              <w:rPr>
                <w:rFonts w:asciiTheme="majorHAnsi" w:hAnsiTheme="majorHAnsi" w:cstheme="majorHAnsi"/>
                <w:b/>
                <w:sz w:val="18"/>
                <w:szCs w:val="18"/>
              </w:rPr>
            </w:pPr>
            <w:r w:rsidRPr="00401691">
              <w:rPr>
                <w:rFonts w:asciiTheme="majorHAnsi" w:hAnsiTheme="majorHAnsi" w:cstheme="majorHAnsi"/>
                <w:b/>
                <w:sz w:val="18"/>
                <w:szCs w:val="18"/>
              </w:rPr>
              <w:t>Statutul implementării cerinței/recomandării</w:t>
            </w:r>
          </w:p>
        </w:tc>
      </w:tr>
      <w:tr w:rsidR="00E40C87" w:rsidRPr="00401691" w:rsidTr="007D6CDF">
        <w:trPr>
          <w:trHeight w:val="132"/>
        </w:trPr>
        <w:tc>
          <w:tcPr>
            <w:tcW w:w="2880" w:type="dxa"/>
            <w:vMerge/>
            <w:shd w:val="clear" w:color="auto" w:fill="E7E6E6" w:themeFill="background2"/>
          </w:tcPr>
          <w:p w:rsidR="00E40C87" w:rsidRPr="00401691" w:rsidRDefault="00E40C87" w:rsidP="00B724B8">
            <w:pPr>
              <w:spacing w:line="276" w:lineRule="auto"/>
              <w:rPr>
                <w:rFonts w:asciiTheme="majorHAnsi" w:hAnsiTheme="majorHAnsi" w:cstheme="majorHAnsi"/>
                <w:sz w:val="18"/>
                <w:szCs w:val="18"/>
              </w:rPr>
            </w:pPr>
          </w:p>
        </w:tc>
        <w:tc>
          <w:tcPr>
            <w:tcW w:w="4050" w:type="dxa"/>
            <w:vMerge/>
            <w:shd w:val="clear" w:color="auto" w:fill="E7E6E6" w:themeFill="background2"/>
          </w:tcPr>
          <w:p w:rsidR="00E40C87" w:rsidRPr="00401691" w:rsidRDefault="00E40C87" w:rsidP="00B724B8">
            <w:pPr>
              <w:spacing w:line="276" w:lineRule="auto"/>
              <w:rPr>
                <w:rFonts w:asciiTheme="majorHAnsi" w:hAnsiTheme="majorHAnsi" w:cstheme="majorHAnsi"/>
                <w:sz w:val="18"/>
                <w:szCs w:val="18"/>
              </w:rPr>
            </w:pPr>
          </w:p>
        </w:tc>
        <w:tc>
          <w:tcPr>
            <w:tcW w:w="810" w:type="dxa"/>
            <w:shd w:val="clear" w:color="auto" w:fill="E7E6E6" w:themeFill="background2"/>
            <w:vAlign w:val="center"/>
          </w:tcPr>
          <w:p w:rsidR="00E40C87" w:rsidRPr="00401691" w:rsidRDefault="00E40C87" w:rsidP="00B724B8">
            <w:pPr>
              <w:tabs>
                <w:tab w:val="left" w:pos="720"/>
              </w:tabs>
              <w:spacing w:line="276" w:lineRule="auto"/>
              <w:ind w:left="-111" w:right="-103"/>
              <w:jc w:val="center"/>
              <w:rPr>
                <w:rFonts w:asciiTheme="majorHAnsi" w:hAnsiTheme="majorHAnsi" w:cstheme="majorHAnsi"/>
                <w:b/>
                <w:sz w:val="18"/>
                <w:szCs w:val="18"/>
              </w:rPr>
            </w:pPr>
            <w:r w:rsidRPr="00401691">
              <w:rPr>
                <w:rFonts w:asciiTheme="majorHAnsi" w:hAnsiTheme="majorHAnsi" w:cstheme="majorHAnsi"/>
                <w:b/>
                <w:sz w:val="18"/>
                <w:szCs w:val="18"/>
              </w:rPr>
              <w:t>reali-zat</w:t>
            </w:r>
          </w:p>
        </w:tc>
        <w:tc>
          <w:tcPr>
            <w:tcW w:w="810" w:type="dxa"/>
            <w:shd w:val="clear" w:color="auto" w:fill="E7E6E6" w:themeFill="background2"/>
            <w:vAlign w:val="center"/>
          </w:tcPr>
          <w:p w:rsidR="00E40C87" w:rsidRPr="00401691" w:rsidRDefault="00E40C87" w:rsidP="00B724B8">
            <w:pPr>
              <w:tabs>
                <w:tab w:val="left" w:pos="720"/>
              </w:tabs>
              <w:spacing w:line="276" w:lineRule="auto"/>
              <w:ind w:left="-111" w:right="-103"/>
              <w:jc w:val="center"/>
              <w:rPr>
                <w:rFonts w:asciiTheme="majorHAnsi" w:hAnsiTheme="majorHAnsi" w:cstheme="majorHAnsi"/>
                <w:b/>
                <w:sz w:val="18"/>
                <w:szCs w:val="18"/>
              </w:rPr>
            </w:pPr>
            <w:r w:rsidRPr="00401691">
              <w:rPr>
                <w:rFonts w:asciiTheme="majorHAnsi" w:hAnsiTheme="majorHAnsi" w:cstheme="majorHAnsi"/>
                <w:b/>
                <w:sz w:val="18"/>
                <w:szCs w:val="18"/>
              </w:rPr>
              <w:t>parțial realizat</w:t>
            </w:r>
          </w:p>
        </w:tc>
        <w:tc>
          <w:tcPr>
            <w:tcW w:w="900" w:type="dxa"/>
            <w:shd w:val="clear" w:color="auto" w:fill="E7E6E6" w:themeFill="background2"/>
            <w:vAlign w:val="center"/>
          </w:tcPr>
          <w:p w:rsidR="00E40C87" w:rsidRPr="00401691" w:rsidRDefault="00E40C87" w:rsidP="00B724B8">
            <w:pPr>
              <w:tabs>
                <w:tab w:val="left" w:pos="720"/>
              </w:tabs>
              <w:spacing w:line="276" w:lineRule="auto"/>
              <w:ind w:left="-111" w:right="-103" w:firstLine="39"/>
              <w:jc w:val="center"/>
              <w:rPr>
                <w:rFonts w:asciiTheme="majorHAnsi" w:hAnsiTheme="majorHAnsi" w:cstheme="majorHAnsi"/>
                <w:b/>
                <w:sz w:val="18"/>
                <w:szCs w:val="18"/>
              </w:rPr>
            </w:pPr>
            <w:r w:rsidRPr="00401691">
              <w:rPr>
                <w:rFonts w:asciiTheme="majorHAnsi" w:hAnsiTheme="majorHAnsi" w:cstheme="majorHAnsi"/>
                <w:b/>
                <w:sz w:val="18"/>
                <w:szCs w:val="18"/>
              </w:rPr>
              <w:t>nerea-lizat</w:t>
            </w:r>
          </w:p>
        </w:tc>
      </w:tr>
      <w:tr w:rsidR="00E40C87" w:rsidRPr="00401691" w:rsidTr="007D6CDF">
        <w:trPr>
          <w:trHeight w:val="132"/>
        </w:trPr>
        <w:tc>
          <w:tcPr>
            <w:tcW w:w="9450" w:type="dxa"/>
            <w:gridSpan w:val="5"/>
            <w:shd w:val="clear" w:color="auto" w:fill="auto"/>
          </w:tcPr>
          <w:p w:rsidR="00E40C87" w:rsidRPr="0026004A" w:rsidRDefault="00E40C87" w:rsidP="00B724B8">
            <w:pPr>
              <w:jc w:val="center"/>
              <w:rPr>
                <w:rFonts w:ascii="Calibri" w:eastAsia="Times New Roman" w:hAnsi="Calibri" w:cs="Calibri"/>
                <w:b/>
                <w:sz w:val="24"/>
                <w:szCs w:val="24"/>
              </w:rPr>
            </w:pPr>
            <w:r>
              <w:rPr>
                <w:rFonts w:ascii="Calibri" w:eastAsia="Times New Roman" w:hAnsi="Calibri" w:cs="Calibri"/>
                <w:b/>
                <w:sz w:val="24"/>
                <w:szCs w:val="24"/>
              </w:rPr>
              <w:t>Serviciul Fiscal de Stat</w:t>
            </w:r>
          </w:p>
        </w:tc>
      </w:tr>
      <w:tr w:rsidR="00E40C87" w:rsidRPr="00401691" w:rsidTr="007D6CDF">
        <w:trPr>
          <w:trHeight w:val="132"/>
        </w:trPr>
        <w:tc>
          <w:tcPr>
            <w:tcW w:w="2880" w:type="dxa"/>
          </w:tcPr>
          <w:p w:rsidR="00E40C87" w:rsidRDefault="00E40C87" w:rsidP="00B724B8">
            <w:pPr>
              <w:jc w:val="both"/>
              <w:rPr>
                <w:rFonts w:ascii="Calibri" w:eastAsia="Times New Roman" w:hAnsi="Calibri" w:cs="Calibri"/>
                <w:b/>
                <w:i/>
                <w:sz w:val="16"/>
                <w:szCs w:val="16"/>
              </w:rPr>
            </w:pPr>
            <w:r>
              <w:rPr>
                <w:rFonts w:ascii="Calibri" w:eastAsia="Times New Roman" w:hAnsi="Calibri" w:cs="Calibri"/>
                <w:b/>
                <w:i/>
                <w:sz w:val="16"/>
                <w:szCs w:val="16"/>
              </w:rPr>
              <w:t>Cerința</w:t>
            </w:r>
            <w:r w:rsidRPr="00D13B95">
              <w:rPr>
                <w:rFonts w:ascii="Calibri" w:eastAsia="Times New Roman" w:hAnsi="Calibri" w:cs="Calibri"/>
                <w:b/>
                <w:i/>
                <w:sz w:val="16"/>
                <w:szCs w:val="16"/>
              </w:rPr>
              <w:t xml:space="preserve"> </w:t>
            </w:r>
            <w:r>
              <w:rPr>
                <w:rFonts w:ascii="Calibri" w:eastAsia="Times New Roman" w:hAnsi="Calibri" w:cs="Calibri"/>
                <w:b/>
                <w:i/>
                <w:sz w:val="16"/>
                <w:szCs w:val="16"/>
              </w:rPr>
              <w:t>nr. 2.3.1.:</w:t>
            </w:r>
          </w:p>
          <w:p w:rsidR="00E40C87" w:rsidRPr="00D13B95" w:rsidRDefault="00E40C87" w:rsidP="00B724B8">
            <w:pPr>
              <w:jc w:val="both"/>
              <w:rPr>
                <w:rFonts w:ascii="Calibri" w:eastAsia="Times New Roman" w:hAnsi="Calibri" w:cs="Calibri"/>
                <w:sz w:val="16"/>
                <w:szCs w:val="16"/>
              </w:rPr>
            </w:pPr>
            <w:r w:rsidRPr="00D13B95">
              <w:rPr>
                <w:rFonts w:ascii="Calibri" w:eastAsia="Times New Roman" w:hAnsi="Calibri" w:cs="Calibri"/>
                <w:sz w:val="16"/>
                <w:szCs w:val="16"/>
              </w:rPr>
              <w:t xml:space="preserve"> </w:t>
            </w:r>
            <w:r>
              <w:rPr>
                <w:rFonts w:ascii="Calibri" w:eastAsia="Times New Roman" w:hAnsi="Calibri" w:cs="Calibri"/>
                <w:sz w:val="16"/>
                <w:szCs w:val="16"/>
              </w:rPr>
              <w:t xml:space="preserve">SFS </w:t>
            </w:r>
            <w:r w:rsidRPr="00D13B95">
              <w:rPr>
                <w:rFonts w:ascii="Calibri" w:eastAsia="Times New Roman" w:hAnsi="Calibri" w:cs="Calibri"/>
                <w:sz w:val="16"/>
                <w:szCs w:val="16"/>
              </w:rPr>
              <w:t>să examineze rezultatele auditului la ședințele o</w:t>
            </w:r>
            <w:r>
              <w:rPr>
                <w:rFonts w:ascii="Calibri" w:eastAsia="Times New Roman" w:hAnsi="Calibri" w:cs="Calibri"/>
                <w:sz w:val="16"/>
                <w:szCs w:val="16"/>
              </w:rPr>
              <w:t>rganelor colegiale de conducere</w:t>
            </w:r>
            <w:r w:rsidR="00FC21FE">
              <w:rPr>
                <w:rFonts w:ascii="Calibri" w:eastAsia="Times New Roman" w:hAnsi="Calibri" w:cs="Calibri"/>
                <w:sz w:val="16"/>
                <w:szCs w:val="16"/>
              </w:rPr>
              <w:t>.</w:t>
            </w:r>
          </w:p>
        </w:tc>
        <w:tc>
          <w:tcPr>
            <w:tcW w:w="4050" w:type="dxa"/>
            <w:vMerge w:val="restart"/>
          </w:tcPr>
          <w:p w:rsidR="00E40C87" w:rsidRPr="00D13B95" w:rsidRDefault="00E40C87" w:rsidP="00B724B8">
            <w:pPr>
              <w:jc w:val="both"/>
              <w:rPr>
                <w:rFonts w:ascii="Calibri" w:eastAsia="Times New Roman" w:hAnsi="Calibri" w:cs="Calibri"/>
                <w:sz w:val="16"/>
                <w:szCs w:val="16"/>
              </w:rPr>
            </w:pPr>
            <w:r w:rsidRPr="00D13B95">
              <w:rPr>
                <w:rFonts w:ascii="Calibri" w:eastAsia="Times New Roman" w:hAnsi="Calibri" w:cs="Calibri"/>
                <w:sz w:val="16"/>
                <w:szCs w:val="16"/>
              </w:rPr>
              <w:t xml:space="preserve">Prin decizia Consiliului Executiv al </w:t>
            </w:r>
            <w:r>
              <w:rPr>
                <w:rFonts w:ascii="Calibri" w:eastAsia="Times New Roman" w:hAnsi="Calibri" w:cs="Calibri"/>
                <w:sz w:val="16"/>
                <w:szCs w:val="16"/>
              </w:rPr>
              <w:t xml:space="preserve">SFS </w:t>
            </w:r>
            <w:r w:rsidRPr="00D13B95">
              <w:rPr>
                <w:rFonts w:ascii="Calibri" w:eastAsia="Times New Roman" w:hAnsi="Calibri" w:cs="Calibri"/>
                <w:sz w:val="16"/>
                <w:szCs w:val="16"/>
              </w:rPr>
              <w:t>nr.</w:t>
            </w:r>
            <w:r>
              <w:rPr>
                <w:rFonts w:ascii="Calibri" w:eastAsia="Times New Roman" w:hAnsi="Calibri" w:cs="Calibri"/>
                <w:sz w:val="16"/>
                <w:szCs w:val="16"/>
              </w:rPr>
              <w:t xml:space="preserve"> </w:t>
            </w:r>
            <w:r w:rsidRPr="00D13B95">
              <w:rPr>
                <w:rFonts w:ascii="Calibri" w:eastAsia="Times New Roman" w:hAnsi="Calibri" w:cs="Calibri"/>
                <w:sz w:val="16"/>
                <w:szCs w:val="16"/>
              </w:rPr>
              <w:t>8 din 21.09.2016</w:t>
            </w:r>
            <w:r w:rsidR="00FC21FE">
              <w:rPr>
                <w:rFonts w:ascii="Calibri" w:eastAsia="Times New Roman" w:hAnsi="Calibri" w:cs="Calibri"/>
                <w:sz w:val="16"/>
                <w:szCs w:val="16"/>
              </w:rPr>
              <w:t>,</w:t>
            </w:r>
            <w:r w:rsidRPr="00D13B95">
              <w:rPr>
                <w:rFonts w:ascii="Calibri" w:eastAsia="Times New Roman" w:hAnsi="Calibri" w:cs="Calibri"/>
                <w:sz w:val="16"/>
                <w:szCs w:val="16"/>
              </w:rPr>
              <w:t xml:space="preserve"> </w:t>
            </w:r>
            <w:r w:rsidR="00FC21FE">
              <w:rPr>
                <w:rFonts w:ascii="Calibri" w:eastAsia="Times New Roman" w:hAnsi="Calibri" w:cs="Calibri"/>
                <w:sz w:val="16"/>
                <w:szCs w:val="16"/>
              </w:rPr>
              <w:t>s-</w:t>
            </w:r>
            <w:r w:rsidRPr="00D13B95">
              <w:rPr>
                <w:rFonts w:ascii="Calibri" w:eastAsia="Times New Roman" w:hAnsi="Calibri" w:cs="Calibri"/>
                <w:sz w:val="16"/>
                <w:szCs w:val="16"/>
              </w:rPr>
              <w:t>au examinat</w:t>
            </w:r>
            <w:r w:rsidR="00FC21FE">
              <w:rPr>
                <w:rFonts w:ascii="Calibri" w:eastAsia="Times New Roman" w:hAnsi="Calibri" w:cs="Calibri"/>
                <w:sz w:val="16"/>
                <w:szCs w:val="16"/>
              </w:rPr>
              <w:t xml:space="preserve"> </w:t>
            </w:r>
            <w:r w:rsidRPr="00D13B95">
              <w:rPr>
                <w:rFonts w:ascii="Calibri" w:eastAsia="Times New Roman" w:hAnsi="Calibri" w:cs="Calibri"/>
                <w:sz w:val="16"/>
                <w:szCs w:val="16"/>
              </w:rPr>
              <w:t xml:space="preserve"> rezultatele auditului și </w:t>
            </w:r>
            <w:r w:rsidR="00FC21FE">
              <w:rPr>
                <w:rFonts w:ascii="Calibri" w:eastAsia="Times New Roman" w:hAnsi="Calibri" w:cs="Calibri"/>
                <w:sz w:val="16"/>
                <w:szCs w:val="16"/>
              </w:rPr>
              <w:t xml:space="preserve">s-au </w:t>
            </w:r>
            <w:r w:rsidRPr="00D13B95">
              <w:rPr>
                <w:rFonts w:ascii="Calibri" w:eastAsia="Times New Roman" w:hAnsi="Calibri" w:cs="Calibri"/>
                <w:sz w:val="16"/>
                <w:szCs w:val="16"/>
              </w:rPr>
              <w:t>planificat acțiunile aferente, care ulterior au fost incluse în Planul de acțiuni, aprobat prin Ordinul ministrului finanțelor nr.150 din 22.12.2016.</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r>
              <w:rPr>
                <w:rFonts w:asciiTheme="majorHAnsi" w:hAnsiTheme="majorHAnsi" w:cstheme="majorHAnsi"/>
                <w:sz w:val="20"/>
                <w:szCs w:val="20"/>
              </w:rPr>
              <w:t>v</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132"/>
        </w:trPr>
        <w:tc>
          <w:tcPr>
            <w:tcW w:w="2880" w:type="dxa"/>
          </w:tcPr>
          <w:p w:rsidR="00E40C87" w:rsidRDefault="00E40C87" w:rsidP="00B724B8">
            <w:pPr>
              <w:jc w:val="both"/>
              <w:rPr>
                <w:rFonts w:ascii="Calibri" w:eastAsia="Times New Roman" w:hAnsi="Calibri" w:cs="Calibri"/>
                <w:b/>
                <w:i/>
                <w:sz w:val="16"/>
                <w:szCs w:val="16"/>
              </w:rPr>
            </w:pPr>
            <w:r>
              <w:rPr>
                <w:rFonts w:ascii="Calibri" w:eastAsia="Times New Roman" w:hAnsi="Calibri" w:cs="Calibri"/>
                <w:b/>
                <w:i/>
                <w:sz w:val="16"/>
                <w:szCs w:val="16"/>
              </w:rPr>
              <w:t>Cerința</w:t>
            </w:r>
            <w:r w:rsidRPr="00D13B95">
              <w:rPr>
                <w:rFonts w:ascii="Calibri" w:eastAsia="Times New Roman" w:hAnsi="Calibri" w:cs="Calibri"/>
                <w:b/>
                <w:i/>
                <w:sz w:val="16"/>
                <w:szCs w:val="16"/>
              </w:rPr>
              <w:t xml:space="preserve"> </w:t>
            </w:r>
            <w:r>
              <w:rPr>
                <w:rFonts w:ascii="Calibri" w:eastAsia="Times New Roman" w:hAnsi="Calibri" w:cs="Calibri"/>
                <w:b/>
                <w:i/>
                <w:sz w:val="16"/>
                <w:szCs w:val="16"/>
              </w:rPr>
              <w:t>nr. 2.3.2.:</w:t>
            </w:r>
          </w:p>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sz w:val="16"/>
                <w:szCs w:val="16"/>
              </w:rPr>
              <w:t xml:space="preserve">SFS </w:t>
            </w:r>
            <w:r w:rsidRPr="00D13B95">
              <w:rPr>
                <w:rFonts w:ascii="Calibri" w:eastAsia="Times New Roman" w:hAnsi="Calibri" w:cs="Calibri"/>
                <w:sz w:val="16"/>
                <w:szCs w:val="16"/>
              </w:rPr>
              <w:t>să elaboreze și să pună în aplicare măsuri concrete pentru implementarea recomandărilor și înlăturarea deficiențelor constatate</w:t>
            </w:r>
            <w:r w:rsidR="00FC21FE">
              <w:rPr>
                <w:rFonts w:ascii="Calibri" w:eastAsia="Times New Roman" w:hAnsi="Calibri" w:cs="Calibri"/>
                <w:sz w:val="16"/>
                <w:szCs w:val="16"/>
              </w:rPr>
              <w:t>.</w:t>
            </w:r>
          </w:p>
        </w:tc>
        <w:tc>
          <w:tcPr>
            <w:tcW w:w="4050" w:type="dxa"/>
            <w:vMerge/>
          </w:tcPr>
          <w:p w:rsidR="00E40C87" w:rsidRPr="00401691" w:rsidRDefault="00E40C87" w:rsidP="00B724B8">
            <w:pPr>
              <w:ind w:left="-18" w:right="-12"/>
              <w:jc w:val="both"/>
              <w:rPr>
                <w:rFonts w:asciiTheme="majorHAnsi" w:hAnsiTheme="majorHAnsi" w:cstheme="majorHAnsi"/>
                <w:color w:val="3A3A3A"/>
                <w:sz w:val="20"/>
                <w:szCs w:val="20"/>
                <w:shd w:val="clear" w:color="auto" w:fill="FFFFFF"/>
              </w:rPr>
            </w:pP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r>
              <w:rPr>
                <w:rFonts w:asciiTheme="majorHAnsi" w:hAnsiTheme="majorHAnsi" w:cstheme="majorHAnsi"/>
                <w:sz w:val="20"/>
                <w:szCs w:val="20"/>
              </w:rPr>
              <w:t>v</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132"/>
        </w:trPr>
        <w:tc>
          <w:tcPr>
            <w:tcW w:w="2880" w:type="dxa"/>
          </w:tcPr>
          <w:p w:rsidR="00E40C87" w:rsidRPr="00D13B95" w:rsidRDefault="00E40C87" w:rsidP="00B724B8">
            <w:pPr>
              <w:jc w:val="both"/>
              <w:rPr>
                <w:rFonts w:ascii="Calibri" w:eastAsia="Times New Roman" w:hAnsi="Calibri" w:cs="Calibri"/>
                <w:b/>
                <w:i/>
                <w:sz w:val="16"/>
                <w:szCs w:val="16"/>
              </w:rPr>
            </w:pPr>
            <w:r w:rsidRPr="00D13B95">
              <w:rPr>
                <w:rFonts w:ascii="Calibri" w:eastAsia="Times New Roman" w:hAnsi="Calibri" w:cs="Calibri"/>
                <w:b/>
                <w:i/>
                <w:sz w:val="16"/>
                <w:szCs w:val="16"/>
              </w:rPr>
              <w:t>Recomandarea nr. 10</w:t>
            </w:r>
            <w:r>
              <w:rPr>
                <w:rFonts w:ascii="Calibri" w:eastAsia="Times New Roman" w:hAnsi="Calibri" w:cs="Calibri"/>
                <w:b/>
                <w:i/>
                <w:sz w:val="16"/>
                <w:szCs w:val="16"/>
              </w:rPr>
              <w:t>:</w:t>
            </w:r>
          </w:p>
          <w:p w:rsidR="00E40C87" w:rsidRPr="00D13B95" w:rsidRDefault="00E40C87" w:rsidP="00B724B8">
            <w:pPr>
              <w:jc w:val="both"/>
              <w:rPr>
                <w:rFonts w:ascii="Calibri" w:eastAsia="Times New Roman" w:hAnsi="Calibri" w:cs="Calibri"/>
                <w:sz w:val="16"/>
                <w:szCs w:val="16"/>
              </w:rPr>
            </w:pPr>
            <w:r w:rsidRPr="00D13B95">
              <w:rPr>
                <w:rFonts w:ascii="Calibri" w:eastAsia="Times New Roman" w:hAnsi="Calibri" w:cs="Calibri"/>
                <w:sz w:val="16"/>
                <w:szCs w:val="16"/>
              </w:rPr>
              <w:t>S</w:t>
            </w:r>
            <w:r>
              <w:rPr>
                <w:rFonts w:ascii="Calibri" w:eastAsia="Times New Roman" w:hAnsi="Calibri" w:cs="Calibri"/>
                <w:sz w:val="16"/>
                <w:szCs w:val="16"/>
              </w:rPr>
              <w:t>FS s</w:t>
            </w:r>
            <w:r w:rsidRPr="00D13B95">
              <w:rPr>
                <w:rFonts w:ascii="Calibri" w:eastAsia="Times New Roman" w:hAnsi="Calibri" w:cs="Calibri"/>
                <w:sz w:val="16"/>
                <w:szCs w:val="16"/>
              </w:rPr>
              <w:t>ă stabilească o codificare a facilităților fiscale, care ar asigura plenitudinea și corectitudinea raportării tuturor tipurilor facilităților fiscale la toate nivelurile (beneficiari, Inspectoratele Fiscale de Stat Teritoriale, Inspectoratul Fiscal Principal de Stat și Ministerul Finanțelor).</w:t>
            </w:r>
          </w:p>
        </w:tc>
        <w:tc>
          <w:tcPr>
            <w:tcW w:w="4050" w:type="dxa"/>
          </w:tcPr>
          <w:p w:rsidR="00E40C87" w:rsidRDefault="00E40C87" w:rsidP="00B724B8">
            <w:pPr>
              <w:jc w:val="both"/>
              <w:rPr>
                <w:rFonts w:ascii="Calibri" w:eastAsia="Times New Roman" w:hAnsi="Calibri" w:cs="Calibri"/>
                <w:sz w:val="16"/>
                <w:szCs w:val="16"/>
              </w:rPr>
            </w:pPr>
            <w:r w:rsidRPr="00D13B95">
              <w:rPr>
                <w:rFonts w:ascii="Calibri" w:eastAsia="Times New Roman" w:hAnsi="Calibri" w:cs="Calibri"/>
                <w:sz w:val="16"/>
                <w:szCs w:val="16"/>
              </w:rPr>
              <w:t>Sistemul unic de codificare necesar pentru monitorizarea si raportarea costului facilit</w:t>
            </w:r>
            <w:r w:rsidR="00FC21FE">
              <w:rPr>
                <w:rFonts w:ascii="Calibri" w:eastAsia="Times New Roman" w:hAnsi="Calibri" w:cs="Calibri"/>
                <w:sz w:val="16"/>
                <w:szCs w:val="16"/>
              </w:rPr>
              <w:t>ă</w:t>
            </w:r>
            <w:r w:rsidRPr="00D13B95">
              <w:rPr>
                <w:rFonts w:ascii="Calibri" w:eastAsia="Times New Roman" w:hAnsi="Calibri" w:cs="Calibri"/>
                <w:sz w:val="16"/>
                <w:szCs w:val="16"/>
              </w:rPr>
              <w:t xml:space="preserve">ților fiscale </w:t>
            </w:r>
            <w:r w:rsidR="00FC21FE">
              <w:rPr>
                <w:rFonts w:ascii="Calibri" w:eastAsia="Times New Roman" w:hAnsi="Calibri" w:cs="Calibri"/>
                <w:sz w:val="16"/>
                <w:szCs w:val="16"/>
              </w:rPr>
              <w:t>ș</w:t>
            </w:r>
            <w:r w:rsidRPr="00D13B95">
              <w:rPr>
                <w:rFonts w:ascii="Calibri" w:eastAsia="Times New Roman" w:hAnsi="Calibri" w:cs="Calibri"/>
                <w:sz w:val="16"/>
                <w:szCs w:val="16"/>
              </w:rPr>
              <w:t>i vamale a fost instituit prin Registrul unic al facilitaților fiscale si vamale, aprobat prin Ordinul ministrului finanțelor nr.45 din 15.02.2018</w:t>
            </w:r>
            <w:r w:rsidR="00FC21FE">
              <w:rPr>
                <w:rFonts w:ascii="Calibri" w:eastAsia="Times New Roman" w:hAnsi="Calibri" w:cs="Calibri"/>
                <w:sz w:val="16"/>
                <w:szCs w:val="16"/>
              </w:rPr>
              <w:t>,</w:t>
            </w:r>
            <w:r w:rsidRPr="00D13B95">
              <w:rPr>
                <w:rFonts w:ascii="Calibri" w:eastAsia="Times New Roman" w:hAnsi="Calibri" w:cs="Calibri"/>
                <w:sz w:val="16"/>
                <w:szCs w:val="16"/>
              </w:rPr>
              <w:t xml:space="preserve"> în care este stabilit</w:t>
            </w:r>
            <w:r w:rsidR="00FC21FE">
              <w:rPr>
                <w:rFonts w:ascii="Calibri" w:eastAsia="Times New Roman" w:hAnsi="Calibri" w:cs="Calibri"/>
                <w:sz w:val="16"/>
                <w:szCs w:val="16"/>
              </w:rPr>
              <w:t>ă</w:t>
            </w:r>
            <w:r w:rsidRPr="00D13B95">
              <w:rPr>
                <w:rFonts w:ascii="Calibri" w:eastAsia="Times New Roman" w:hAnsi="Calibri" w:cs="Calibri"/>
                <w:sz w:val="16"/>
                <w:szCs w:val="16"/>
              </w:rPr>
              <w:t xml:space="preserve"> codificarea aferent</w:t>
            </w:r>
            <w:r w:rsidR="00FC21FE">
              <w:rPr>
                <w:rFonts w:ascii="Calibri" w:eastAsia="Times New Roman" w:hAnsi="Calibri" w:cs="Calibri"/>
                <w:sz w:val="16"/>
                <w:szCs w:val="16"/>
              </w:rPr>
              <w:t>ă</w:t>
            </w:r>
            <w:r w:rsidRPr="00D13B95">
              <w:rPr>
                <w:rFonts w:ascii="Calibri" w:eastAsia="Times New Roman" w:hAnsi="Calibri" w:cs="Calibri"/>
                <w:sz w:val="16"/>
                <w:szCs w:val="16"/>
              </w:rPr>
              <w:t xml:space="preserve"> fiecărei facilit</w:t>
            </w:r>
            <w:r w:rsidR="00FC21FE">
              <w:rPr>
                <w:rFonts w:ascii="Calibri" w:eastAsia="Times New Roman" w:hAnsi="Calibri" w:cs="Calibri"/>
                <w:sz w:val="16"/>
                <w:szCs w:val="16"/>
              </w:rPr>
              <w:t>ă</w:t>
            </w:r>
            <w:r w:rsidRPr="00D13B95">
              <w:rPr>
                <w:rFonts w:ascii="Calibri" w:eastAsia="Times New Roman" w:hAnsi="Calibri" w:cs="Calibri"/>
                <w:sz w:val="16"/>
                <w:szCs w:val="16"/>
              </w:rPr>
              <w:t xml:space="preserve">ți </w:t>
            </w:r>
            <w:r w:rsidR="00FC21FE">
              <w:rPr>
                <w:rFonts w:ascii="Calibri" w:eastAsia="Times New Roman" w:hAnsi="Calibri" w:cs="Calibri"/>
                <w:sz w:val="16"/>
                <w:szCs w:val="16"/>
              </w:rPr>
              <w:t>î</w:t>
            </w:r>
            <w:r w:rsidRPr="00D13B95">
              <w:rPr>
                <w:rFonts w:ascii="Calibri" w:eastAsia="Times New Roman" w:hAnsi="Calibri" w:cs="Calibri"/>
                <w:sz w:val="16"/>
                <w:szCs w:val="16"/>
              </w:rPr>
              <w:t>n parte.</w:t>
            </w:r>
          </w:p>
          <w:p w:rsidR="00E40C87" w:rsidRPr="00D13B95" w:rsidRDefault="00E40C87" w:rsidP="00B724B8">
            <w:pPr>
              <w:jc w:val="both"/>
              <w:rPr>
                <w:rFonts w:ascii="Calibri" w:eastAsia="Times New Roman" w:hAnsi="Calibri" w:cs="Calibri"/>
                <w:sz w:val="16"/>
                <w:szCs w:val="16"/>
              </w:rPr>
            </w:pPr>
            <w:r w:rsidRPr="00D13B95">
              <w:rPr>
                <w:rFonts w:ascii="Calibri" w:eastAsia="Times New Roman" w:hAnsi="Calibri" w:cs="Calibri"/>
                <w:sz w:val="16"/>
                <w:szCs w:val="16"/>
              </w:rPr>
              <w:br/>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r>
              <w:rPr>
                <w:rFonts w:asciiTheme="majorHAnsi" w:hAnsiTheme="majorHAnsi" w:cstheme="majorHAnsi"/>
                <w:sz w:val="20"/>
                <w:szCs w:val="20"/>
              </w:rPr>
              <w:t>v</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highlight w:val="yellow"/>
              </w:rPr>
            </w:pP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132"/>
        </w:trPr>
        <w:tc>
          <w:tcPr>
            <w:tcW w:w="2880" w:type="dxa"/>
          </w:tcPr>
          <w:p w:rsidR="00E40C87" w:rsidRDefault="00E40C87" w:rsidP="00B724B8">
            <w:pPr>
              <w:jc w:val="both"/>
              <w:rPr>
                <w:rFonts w:ascii="Calibri" w:eastAsia="Times New Roman" w:hAnsi="Calibri" w:cs="Calibri"/>
                <w:sz w:val="16"/>
                <w:szCs w:val="16"/>
              </w:rPr>
            </w:pPr>
            <w:r w:rsidRPr="00D13B95">
              <w:rPr>
                <w:rFonts w:ascii="Calibri" w:eastAsia="Times New Roman" w:hAnsi="Calibri" w:cs="Calibri"/>
                <w:b/>
                <w:i/>
                <w:sz w:val="16"/>
                <w:szCs w:val="16"/>
              </w:rPr>
              <w:t xml:space="preserve">Recomandarea </w:t>
            </w:r>
            <w:r>
              <w:rPr>
                <w:rFonts w:ascii="Calibri" w:eastAsia="Times New Roman" w:hAnsi="Calibri" w:cs="Calibri"/>
                <w:b/>
                <w:i/>
                <w:sz w:val="16"/>
                <w:szCs w:val="16"/>
              </w:rPr>
              <w:t xml:space="preserve">nr. 11: </w:t>
            </w:r>
            <w:r w:rsidRPr="00D13B95">
              <w:rPr>
                <w:rFonts w:ascii="Calibri" w:eastAsia="Times New Roman" w:hAnsi="Calibri" w:cs="Calibri"/>
                <w:sz w:val="16"/>
                <w:szCs w:val="16"/>
              </w:rPr>
              <w:t xml:space="preserve"> </w:t>
            </w:r>
          </w:p>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sz w:val="16"/>
                <w:szCs w:val="16"/>
              </w:rPr>
              <w:t>SFS s</w:t>
            </w:r>
            <w:r w:rsidRPr="00D13B95">
              <w:rPr>
                <w:rFonts w:ascii="Calibri" w:eastAsia="Times New Roman" w:hAnsi="Calibri" w:cs="Calibri"/>
                <w:sz w:val="16"/>
                <w:szCs w:val="16"/>
              </w:rPr>
              <w:t>ă eficientizeze instrumentele disponibile, precum controlul fiscal, controlul ulterior și auditul post-vămuire</w:t>
            </w:r>
            <w:r w:rsidR="00FC21FE">
              <w:rPr>
                <w:rFonts w:ascii="Calibri" w:eastAsia="Times New Roman" w:hAnsi="Calibri" w:cs="Calibri"/>
                <w:sz w:val="16"/>
                <w:szCs w:val="16"/>
              </w:rPr>
              <w:t>,</w:t>
            </w:r>
            <w:r w:rsidRPr="00D13B95">
              <w:rPr>
                <w:rFonts w:ascii="Calibri" w:eastAsia="Times New Roman" w:hAnsi="Calibri" w:cs="Calibri"/>
                <w:sz w:val="16"/>
                <w:szCs w:val="16"/>
              </w:rPr>
              <w:t xml:space="preserve"> în vederea depistării operative a neconformării de către beneficiarii de facilități fiscale și vamale la cadrul legal-normativ.</w:t>
            </w:r>
          </w:p>
        </w:tc>
        <w:tc>
          <w:tcPr>
            <w:tcW w:w="4050" w:type="dxa"/>
          </w:tcPr>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sz w:val="16"/>
                <w:szCs w:val="16"/>
              </w:rPr>
              <w:t>Deși SFS</w:t>
            </w:r>
            <w:r w:rsidRPr="00D13B95">
              <w:rPr>
                <w:rFonts w:ascii="Calibri" w:eastAsia="Times New Roman" w:hAnsi="Calibri" w:cs="Calibri"/>
                <w:sz w:val="16"/>
                <w:szCs w:val="16"/>
              </w:rPr>
              <w:t>, în scopul asigurării unui mecanism automatizat de stabilire și măsurare a riscurilor de conformare a contribuabililor la legislația fiscală, este în proces de elaborare a Sistemului Informațional Automatizat ,,Managementul riscurilor de</w:t>
            </w:r>
            <w:r>
              <w:rPr>
                <w:rFonts w:ascii="Calibri" w:eastAsia="Times New Roman" w:hAnsi="Calibri" w:cs="Calibri"/>
                <w:sz w:val="16"/>
                <w:szCs w:val="16"/>
              </w:rPr>
              <w:t xml:space="preserve"> conformare și planificarea acți</w:t>
            </w:r>
            <w:r w:rsidRPr="00D13B95">
              <w:rPr>
                <w:rFonts w:ascii="Calibri" w:eastAsia="Times New Roman" w:hAnsi="Calibri" w:cs="Calibri"/>
                <w:sz w:val="16"/>
                <w:szCs w:val="16"/>
              </w:rPr>
              <w:t>unilor conexe",</w:t>
            </w:r>
            <w:r>
              <w:rPr>
                <w:rFonts w:ascii="Calibri" w:eastAsia="Times New Roman" w:hAnsi="Calibri" w:cs="Calibri"/>
                <w:sz w:val="16"/>
                <w:szCs w:val="16"/>
              </w:rPr>
              <w:t xml:space="preserve"> acesta nu a fost definitivat. La fel</w:t>
            </w:r>
            <w:r w:rsidR="00FC21FE">
              <w:rPr>
                <w:rFonts w:ascii="Calibri" w:eastAsia="Times New Roman" w:hAnsi="Calibri" w:cs="Calibri"/>
                <w:sz w:val="16"/>
                <w:szCs w:val="16"/>
              </w:rPr>
              <w:t>,</w:t>
            </w:r>
            <w:r>
              <w:rPr>
                <w:rFonts w:ascii="Calibri" w:eastAsia="Times New Roman" w:hAnsi="Calibri" w:cs="Calibri"/>
                <w:sz w:val="16"/>
                <w:szCs w:val="16"/>
              </w:rPr>
              <w:t xml:space="preserve"> se menționează că </w:t>
            </w:r>
            <w:r w:rsidR="00FC21FE">
              <w:rPr>
                <w:rFonts w:ascii="Calibri" w:eastAsia="Times New Roman" w:hAnsi="Calibri" w:cs="Calibri"/>
                <w:sz w:val="16"/>
                <w:szCs w:val="16"/>
              </w:rPr>
              <w:t>N</w:t>
            </w:r>
            <w:r>
              <w:rPr>
                <w:rFonts w:ascii="Calibri" w:eastAsia="Times New Roman" w:hAnsi="Calibri" w:cs="Calibri"/>
                <w:sz w:val="16"/>
                <w:szCs w:val="16"/>
              </w:rPr>
              <w:t xml:space="preserve">omenclatorul </w:t>
            </w:r>
            <w:r w:rsidRPr="00D13B95">
              <w:rPr>
                <w:rFonts w:ascii="Calibri" w:eastAsia="Times New Roman" w:hAnsi="Calibri" w:cs="Calibri"/>
                <w:sz w:val="16"/>
                <w:szCs w:val="16"/>
              </w:rPr>
              <w:t>riscurilor</w:t>
            </w:r>
            <w:r>
              <w:rPr>
                <w:rFonts w:ascii="Calibri" w:eastAsia="Times New Roman" w:hAnsi="Calibri" w:cs="Calibri"/>
                <w:sz w:val="16"/>
                <w:szCs w:val="16"/>
              </w:rPr>
              <w:t xml:space="preserve"> de conformare pe diferite tipuri de subiecte nu conține riscuri  aferente </w:t>
            </w:r>
            <w:r w:rsidRPr="00D13B95">
              <w:rPr>
                <w:rFonts w:ascii="Calibri" w:eastAsia="Times New Roman" w:hAnsi="Calibri" w:cs="Calibri"/>
                <w:sz w:val="16"/>
                <w:szCs w:val="16"/>
              </w:rPr>
              <w:t>facilitățil</w:t>
            </w:r>
            <w:r w:rsidR="00FC21FE">
              <w:rPr>
                <w:rFonts w:ascii="Calibri" w:eastAsia="Times New Roman" w:hAnsi="Calibri" w:cs="Calibri"/>
                <w:sz w:val="16"/>
                <w:szCs w:val="16"/>
              </w:rPr>
              <w:t>or</w:t>
            </w:r>
            <w:r w:rsidRPr="00D13B95">
              <w:rPr>
                <w:rFonts w:ascii="Calibri" w:eastAsia="Times New Roman" w:hAnsi="Calibri" w:cs="Calibri"/>
                <w:sz w:val="16"/>
                <w:szCs w:val="16"/>
              </w:rPr>
              <w:t xml:space="preserve"> </w:t>
            </w:r>
            <w:r>
              <w:rPr>
                <w:rFonts w:ascii="Calibri" w:eastAsia="Times New Roman" w:hAnsi="Calibri" w:cs="Calibri"/>
                <w:sz w:val="16"/>
                <w:szCs w:val="16"/>
              </w:rPr>
              <w:t xml:space="preserve">fiscale </w:t>
            </w:r>
            <w:r w:rsidRPr="00D13B95">
              <w:rPr>
                <w:rFonts w:ascii="Calibri" w:eastAsia="Times New Roman" w:hAnsi="Calibri" w:cs="Calibri"/>
                <w:sz w:val="16"/>
                <w:szCs w:val="16"/>
              </w:rPr>
              <w:t xml:space="preserve">utilizate de agenții economici. </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810" w:type="dxa"/>
            <w:shd w:val="clear" w:color="auto" w:fill="F2F2F2" w:themeFill="background1" w:themeFillShade="F2"/>
          </w:tcPr>
          <w:p w:rsidR="00E40C87" w:rsidRDefault="00E40C87" w:rsidP="00B724B8">
            <w:pPr>
              <w:jc w:val="center"/>
              <w:rPr>
                <w:rFonts w:asciiTheme="majorHAnsi" w:hAnsiTheme="majorHAnsi" w:cstheme="majorHAnsi"/>
                <w:sz w:val="20"/>
                <w:szCs w:val="20"/>
              </w:rPr>
            </w:pPr>
            <w:r>
              <w:rPr>
                <w:rFonts w:asciiTheme="majorHAnsi" w:hAnsiTheme="majorHAnsi" w:cstheme="majorHAnsi"/>
                <w:sz w:val="20"/>
                <w:szCs w:val="20"/>
              </w:rPr>
              <w:t>v</w:t>
            </w:r>
          </w:p>
          <w:p w:rsidR="00E40C87" w:rsidRPr="00A84F92" w:rsidRDefault="00E40C87" w:rsidP="00B724B8">
            <w:pPr>
              <w:jc w:val="center"/>
              <w:rPr>
                <w:rFonts w:asciiTheme="majorHAnsi" w:hAnsiTheme="majorHAnsi" w:cstheme="majorHAnsi"/>
                <w:sz w:val="14"/>
                <w:szCs w:val="14"/>
              </w:rPr>
            </w:pPr>
            <w:r w:rsidRPr="00A84F92">
              <w:rPr>
                <w:rFonts w:ascii="Calibri" w:eastAsia="Times New Roman" w:hAnsi="Calibri" w:cs="Calibri"/>
                <w:sz w:val="14"/>
                <w:szCs w:val="14"/>
              </w:rPr>
              <w:t>Problematica reiterată în subcapitolul nr. 4.1.5.</w:t>
            </w: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332"/>
        </w:trPr>
        <w:tc>
          <w:tcPr>
            <w:tcW w:w="9450" w:type="dxa"/>
            <w:gridSpan w:val="5"/>
            <w:shd w:val="clear" w:color="auto" w:fill="auto"/>
          </w:tcPr>
          <w:p w:rsidR="00E40C87" w:rsidRPr="00C55E91" w:rsidRDefault="00E40C87" w:rsidP="00B724B8">
            <w:pPr>
              <w:jc w:val="center"/>
              <w:rPr>
                <w:rFonts w:ascii="Calibri" w:eastAsia="Times New Roman" w:hAnsi="Calibri" w:cs="Calibri"/>
                <w:b/>
                <w:sz w:val="24"/>
                <w:szCs w:val="24"/>
              </w:rPr>
            </w:pPr>
            <w:r w:rsidRPr="00C55E91">
              <w:rPr>
                <w:rFonts w:ascii="Calibri" w:eastAsia="Times New Roman" w:hAnsi="Calibri" w:cs="Calibri"/>
                <w:b/>
                <w:sz w:val="24"/>
                <w:szCs w:val="24"/>
              </w:rPr>
              <w:t>Ministerul Finanțelor</w:t>
            </w:r>
          </w:p>
        </w:tc>
      </w:tr>
      <w:tr w:rsidR="00E40C87" w:rsidRPr="00401691" w:rsidTr="007D6CDF">
        <w:trPr>
          <w:trHeight w:val="132"/>
        </w:trPr>
        <w:tc>
          <w:tcPr>
            <w:tcW w:w="2880" w:type="dxa"/>
          </w:tcPr>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b/>
                <w:i/>
                <w:sz w:val="16"/>
                <w:szCs w:val="16"/>
              </w:rPr>
              <w:t>Cerința</w:t>
            </w:r>
            <w:r w:rsidRPr="00D13B95">
              <w:rPr>
                <w:rFonts w:ascii="Calibri" w:eastAsia="Times New Roman" w:hAnsi="Calibri" w:cs="Calibri"/>
                <w:b/>
                <w:i/>
                <w:sz w:val="16"/>
                <w:szCs w:val="16"/>
              </w:rPr>
              <w:t xml:space="preserve"> </w:t>
            </w:r>
            <w:r>
              <w:rPr>
                <w:rFonts w:ascii="Calibri" w:eastAsia="Times New Roman" w:hAnsi="Calibri" w:cs="Calibri"/>
                <w:b/>
                <w:i/>
                <w:sz w:val="16"/>
                <w:szCs w:val="16"/>
              </w:rPr>
              <w:t xml:space="preserve">nr. 2.1.: </w:t>
            </w:r>
            <w:r>
              <w:rPr>
                <w:rFonts w:ascii="Calibri" w:eastAsia="Times New Roman" w:hAnsi="Calibri" w:cs="Calibri"/>
                <w:sz w:val="16"/>
                <w:szCs w:val="16"/>
              </w:rPr>
              <w:t>MF</w:t>
            </w:r>
            <w:r w:rsidR="00FC21FE">
              <w:rPr>
                <w:rFonts w:ascii="Calibri" w:eastAsia="Times New Roman" w:hAnsi="Calibri" w:cs="Calibri"/>
                <w:sz w:val="16"/>
                <w:szCs w:val="16"/>
              </w:rPr>
              <w:t>,</w:t>
            </w:r>
            <w:r>
              <w:rPr>
                <w:rFonts w:ascii="Calibri" w:eastAsia="Times New Roman" w:hAnsi="Calibri" w:cs="Calibri"/>
                <w:sz w:val="16"/>
                <w:szCs w:val="16"/>
              </w:rPr>
              <w:t xml:space="preserve"> </w:t>
            </w:r>
            <w:r w:rsidRPr="00D13B95">
              <w:rPr>
                <w:rFonts w:ascii="Calibri" w:eastAsia="Times New Roman" w:hAnsi="Calibri" w:cs="Calibri"/>
                <w:sz w:val="16"/>
                <w:szCs w:val="16"/>
              </w:rPr>
              <w:t>pentru documentare referitor la rezultatele auditului, și se cere examinarea acestora în cadrul Colegiului ministerial, pentru întreprinderea măsurilor de rigoare, conform competențelor, în vederea implementării recom</w:t>
            </w:r>
            <w:r>
              <w:rPr>
                <w:rFonts w:ascii="Calibri" w:eastAsia="Times New Roman" w:hAnsi="Calibri" w:cs="Calibri"/>
                <w:sz w:val="16"/>
                <w:szCs w:val="16"/>
              </w:rPr>
              <w:t>andărilor din Raportul de audit.</w:t>
            </w:r>
          </w:p>
        </w:tc>
        <w:tc>
          <w:tcPr>
            <w:tcW w:w="4050" w:type="dxa"/>
          </w:tcPr>
          <w:p w:rsidR="00E40C87" w:rsidRPr="00D13B95" w:rsidRDefault="00E40C87" w:rsidP="00B724B8">
            <w:pPr>
              <w:jc w:val="both"/>
              <w:rPr>
                <w:rFonts w:ascii="Calibri" w:eastAsia="Times New Roman" w:hAnsi="Calibri" w:cs="Calibri"/>
                <w:sz w:val="16"/>
                <w:szCs w:val="16"/>
              </w:rPr>
            </w:pPr>
            <w:r w:rsidRPr="00D13B95">
              <w:rPr>
                <w:rFonts w:ascii="Calibri" w:eastAsia="Times New Roman" w:hAnsi="Calibri" w:cs="Calibri"/>
                <w:sz w:val="16"/>
                <w:szCs w:val="16"/>
              </w:rPr>
              <w:t xml:space="preserve">Raportul auditului de conformitate asociat auditului de performanta al sistemului facilitaților fiscale si vamale a fost examinat </w:t>
            </w:r>
            <w:r w:rsidR="001E5764">
              <w:rPr>
                <w:rFonts w:ascii="Calibri" w:eastAsia="Times New Roman" w:hAnsi="Calibri" w:cs="Calibri"/>
                <w:sz w:val="16"/>
                <w:szCs w:val="16"/>
              </w:rPr>
              <w:t>î</w:t>
            </w:r>
            <w:r w:rsidRPr="00D13B95">
              <w:rPr>
                <w:rFonts w:ascii="Calibri" w:eastAsia="Times New Roman" w:hAnsi="Calibri" w:cs="Calibri"/>
                <w:sz w:val="16"/>
                <w:szCs w:val="16"/>
              </w:rPr>
              <w:t xml:space="preserve">n cadrul ședinței Colegiului </w:t>
            </w:r>
            <w:r>
              <w:rPr>
                <w:rFonts w:ascii="Calibri" w:eastAsia="Times New Roman" w:hAnsi="Calibri" w:cs="Calibri"/>
                <w:sz w:val="16"/>
                <w:szCs w:val="16"/>
              </w:rPr>
              <w:t>MF</w:t>
            </w:r>
            <w:r w:rsidRPr="00D13B95">
              <w:rPr>
                <w:rFonts w:ascii="Calibri" w:eastAsia="Times New Roman" w:hAnsi="Calibri" w:cs="Calibri"/>
                <w:sz w:val="16"/>
                <w:szCs w:val="16"/>
              </w:rPr>
              <w:t xml:space="preserve"> din data de 20 decembrie 2016</w:t>
            </w:r>
            <w:r>
              <w:rPr>
                <w:rFonts w:ascii="Calibri" w:eastAsia="Times New Roman" w:hAnsi="Calibri" w:cs="Calibri"/>
                <w:sz w:val="16"/>
                <w:szCs w:val="16"/>
              </w:rPr>
              <w:t xml:space="preserve">. Nivelul parțial de implementare menționată se explică prin faptul că nu au fost implementate toate recomandările înaintate MF. </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r>
              <w:rPr>
                <w:rFonts w:asciiTheme="majorHAnsi" w:hAnsiTheme="majorHAnsi" w:cstheme="majorHAnsi"/>
                <w:sz w:val="20"/>
                <w:szCs w:val="20"/>
              </w:rPr>
              <w:t>v</w:t>
            </w: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132"/>
        </w:trPr>
        <w:tc>
          <w:tcPr>
            <w:tcW w:w="2880" w:type="dxa"/>
          </w:tcPr>
          <w:p w:rsidR="00E40C87" w:rsidRDefault="00E40C87" w:rsidP="00B724B8">
            <w:pPr>
              <w:jc w:val="both"/>
              <w:rPr>
                <w:rFonts w:ascii="Calibri" w:eastAsia="Times New Roman" w:hAnsi="Calibri" w:cs="Calibri"/>
                <w:b/>
                <w:i/>
                <w:sz w:val="16"/>
                <w:szCs w:val="16"/>
              </w:rPr>
            </w:pPr>
            <w:r>
              <w:rPr>
                <w:rFonts w:ascii="Calibri" w:eastAsia="Times New Roman" w:hAnsi="Calibri" w:cs="Calibri"/>
                <w:b/>
                <w:i/>
                <w:sz w:val="16"/>
                <w:szCs w:val="16"/>
              </w:rPr>
              <w:t>Recomandare</w:t>
            </w:r>
            <w:r w:rsidRPr="00D13B95">
              <w:rPr>
                <w:rFonts w:ascii="Calibri" w:eastAsia="Times New Roman" w:hAnsi="Calibri" w:cs="Calibri"/>
                <w:b/>
                <w:i/>
                <w:sz w:val="16"/>
                <w:szCs w:val="16"/>
              </w:rPr>
              <w:t xml:space="preserve"> </w:t>
            </w:r>
            <w:r>
              <w:rPr>
                <w:rFonts w:ascii="Calibri" w:eastAsia="Times New Roman" w:hAnsi="Calibri" w:cs="Calibri"/>
                <w:b/>
                <w:i/>
                <w:sz w:val="16"/>
                <w:szCs w:val="16"/>
              </w:rPr>
              <w:t xml:space="preserve">nr. 1: </w:t>
            </w:r>
          </w:p>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sz w:val="16"/>
                <w:szCs w:val="16"/>
              </w:rPr>
              <w:t>MF s</w:t>
            </w:r>
            <w:r w:rsidRPr="00D13B95">
              <w:rPr>
                <w:rFonts w:ascii="Calibri" w:eastAsia="Times New Roman" w:hAnsi="Calibri" w:cs="Calibri"/>
                <w:sz w:val="16"/>
                <w:szCs w:val="16"/>
              </w:rPr>
              <w:t>ă elaboreze un cadru legal</w:t>
            </w:r>
            <w:r w:rsidR="00FC21FE">
              <w:rPr>
                <w:rFonts w:ascii="Calibri" w:eastAsia="Times New Roman" w:hAnsi="Calibri" w:cs="Calibri"/>
                <w:sz w:val="16"/>
                <w:szCs w:val="16"/>
              </w:rPr>
              <w:t>-</w:t>
            </w:r>
            <w:r w:rsidRPr="00D13B95">
              <w:rPr>
                <w:rFonts w:ascii="Calibri" w:eastAsia="Times New Roman" w:hAnsi="Calibri" w:cs="Calibri"/>
                <w:sz w:val="16"/>
                <w:szCs w:val="16"/>
              </w:rPr>
              <w:t>normativ privind modalitatea de planificare, estimare și aprobare a facilităților fiscale și vamale</w:t>
            </w:r>
            <w:r w:rsidR="00FC21FE">
              <w:rPr>
                <w:rFonts w:ascii="Calibri" w:eastAsia="Times New Roman" w:hAnsi="Calibri" w:cs="Calibri"/>
                <w:sz w:val="16"/>
                <w:szCs w:val="16"/>
              </w:rPr>
              <w:t>,</w:t>
            </w:r>
            <w:r w:rsidRPr="00D13B95">
              <w:rPr>
                <w:rFonts w:ascii="Calibri" w:eastAsia="Times New Roman" w:hAnsi="Calibri" w:cs="Calibri"/>
                <w:sz w:val="16"/>
                <w:szCs w:val="16"/>
              </w:rPr>
              <w:t xml:space="preserve"> cu stabilirea responsabilităților părților implicate în procesul de planificare a facilităților fiscale și vamale, ținând cont de bunele practici. </w:t>
            </w:r>
          </w:p>
        </w:tc>
        <w:tc>
          <w:tcPr>
            <w:tcW w:w="4050" w:type="dxa"/>
          </w:tcPr>
          <w:p w:rsidR="00E40C87" w:rsidRDefault="00E40C87" w:rsidP="00B724B8">
            <w:pPr>
              <w:jc w:val="both"/>
              <w:rPr>
                <w:rFonts w:ascii="Calibri" w:eastAsia="Times New Roman" w:hAnsi="Calibri" w:cs="Calibri"/>
                <w:sz w:val="16"/>
                <w:szCs w:val="16"/>
              </w:rPr>
            </w:pPr>
            <w:r w:rsidRPr="00D13B95">
              <w:rPr>
                <w:rFonts w:ascii="Calibri" w:eastAsia="Times New Roman" w:hAnsi="Calibri" w:cs="Calibri"/>
                <w:sz w:val="16"/>
                <w:szCs w:val="16"/>
              </w:rPr>
              <w:t>Prin Ordinul ministrului finanțelor nr. 70 din 24 mai 2016 (Anexa nr. 6) a fost instituit Grupul de lucru privind revizuirea facilitaților fiscale si vamale si elaborarea unor mecanisme care ar permite efectuarea unei evaluări privind estimarea costurilor si impactului facilitaților fiscale si vamale.</w:t>
            </w:r>
          </w:p>
          <w:p w:rsidR="00E40C87" w:rsidRPr="00D13B95" w:rsidRDefault="00E40C87" w:rsidP="00B724B8">
            <w:pPr>
              <w:jc w:val="both"/>
              <w:rPr>
                <w:rFonts w:ascii="Calibri" w:eastAsia="Times New Roman" w:hAnsi="Calibri" w:cs="Calibri"/>
                <w:sz w:val="16"/>
                <w:szCs w:val="16"/>
              </w:rPr>
            </w:pPr>
            <w:r w:rsidRPr="00D13B95">
              <w:rPr>
                <w:rFonts w:ascii="Calibri" w:eastAsia="Times New Roman" w:hAnsi="Calibri" w:cs="Calibri"/>
                <w:sz w:val="16"/>
                <w:szCs w:val="16"/>
              </w:rPr>
              <w:t>Practicile europene demonstrează</w:t>
            </w:r>
            <w:r>
              <w:rPr>
                <w:rFonts w:ascii="Calibri" w:eastAsia="Times New Roman" w:hAnsi="Calibri" w:cs="Calibri"/>
                <w:sz w:val="16"/>
                <w:szCs w:val="16"/>
              </w:rPr>
              <w:t xml:space="preserve"> lacune în ceea ce priveș</w:t>
            </w:r>
            <w:r w:rsidRPr="00D13B95">
              <w:rPr>
                <w:rFonts w:ascii="Calibri" w:eastAsia="Times New Roman" w:hAnsi="Calibri" w:cs="Calibri"/>
                <w:sz w:val="16"/>
                <w:szCs w:val="16"/>
              </w:rPr>
              <w:t>te monitorizarea sistematic</w:t>
            </w:r>
            <w:r w:rsidR="001E5764">
              <w:rPr>
                <w:rFonts w:ascii="Calibri" w:eastAsia="Times New Roman" w:hAnsi="Calibri" w:cs="Calibri"/>
                <w:sz w:val="16"/>
                <w:szCs w:val="16"/>
              </w:rPr>
              <w:t>ă</w:t>
            </w:r>
            <w:r w:rsidRPr="00D13B95">
              <w:rPr>
                <w:rFonts w:ascii="Calibri" w:eastAsia="Times New Roman" w:hAnsi="Calibri" w:cs="Calibri"/>
                <w:sz w:val="16"/>
                <w:szCs w:val="16"/>
              </w:rPr>
              <w:t xml:space="preserve"> a facilit</w:t>
            </w:r>
            <w:r w:rsidR="001E5764">
              <w:rPr>
                <w:rFonts w:ascii="Calibri" w:eastAsia="Times New Roman" w:hAnsi="Calibri" w:cs="Calibri"/>
                <w:sz w:val="16"/>
                <w:szCs w:val="16"/>
              </w:rPr>
              <w:t>ă</w:t>
            </w:r>
            <w:r w:rsidRPr="00D13B95">
              <w:rPr>
                <w:rFonts w:ascii="Calibri" w:eastAsia="Times New Roman" w:hAnsi="Calibri" w:cs="Calibri"/>
                <w:sz w:val="16"/>
                <w:szCs w:val="16"/>
              </w:rPr>
              <w:t>ților fiscale. Astfel, elaborarea mecanismelor în materie de planificare si estimare a facilitaților fiscale se afl</w:t>
            </w:r>
            <w:r w:rsidR="001E5764">
              <w:rPr>
                <w:rFonts w:ascii="Calibri" w:eastAsia="Times New Roman" w:hAnsi="Calibri" w:cs="Calibri"/>
                <w:sz w:val="16"/>
                <w:szCs w:val="16"/>
              </w:rPr>
              <w:t>ă</w:t>
            </w:r>
            <w:r w:rsidRPr="00D13B95">
              <w:rPr>
                <w:rFonts w:ascii="Calibri" w:eastAsia="Times New Roman" w:hAnsi="Calibri" w:cs="Calibri"/>
                <w:sz w:val="16"/>
                <w:szCs w:val="16"/>
              </w:rPr>
              <w:t xml:space="preserve"> la о etap</w:t>
            </w:r>
            <w:r w:rsidR="001E5764">
              <w:rPr>
                <w:rFonts w:ascii="Calibri" w:eastAsia="Times New Roman" w:hAnsi="Calibri" w:cs="Calibri"/>
                <w:sz w:val="16"/>
                <w:szCs w:val="16"/>
              </w:rPr>
              <w:t>ă</w:t>
            </w:r>
            <w:r w:rsidRPr="00D13B95">
              <w:rPr>
                <w:rFonts w:ascii="Calibri" w:eastAsia="Times New Roman" w:hAnsi="Calibri" w:cs="Calibri"/>
                <w:sz w:val="16"/>
                <w:szCs w:val="16"/>
              </w:rPr>
              <w:t xml:space="preserve"> incipient</w:t>
            </w:r>
            <w:r w:rsidR="001E5764">
              <w:rPr>
                <w:rFonts w:ascii="Calibri" w:eastAsia="Times New Roman" w:hAnsi="Calibri" w:cs="Calibri"/>
                <w:sz w:val="16"/>
                <w:szCs w:val="16"/>
              </w:rPr>
              <w:t>ă</w:t>
            </w:r>
            <w:r w:rsidRPr="00D13B95">
              <w:rPr>
                <w:rFonts w:ascii="Calibri" w:eastAsia="Times New Roman" w:hAnsi="Calibri" w:cs="Calibri"/>
                <w:sz w:val="16"/>
                <w:szCs w:val="16"/>
              </w:rPr>
              <w:t>, fiind</w:t>
            </w:r>
            <w:r>
              <w:rPr>
                <w:rFonts w:ascii="Calibri" w:eastAsia="Times New Roman" w:hAnsi="Calibri" w:cs="Calibri"/>
                <w:sz w:val="16"/>
                <w:szCs w:val="16"/>
              </w:rPr>
              <w:t xml:space="preserve"> un subiect mai mult sau mai puț</w:t>
            </w:r>
            <w:r w:rsidRPr="00D13B95">
              <w:rPr>
                <w:rFonts w:ascii="Calibri" w:eastAsia="Times New Roman" w:hAnsi="Calibri" w:cs="Calibri"/>
                <w:sz w:val="16"/>
                <w:szCs w:val="16"/>
              </w:rPr>
              <w:t xml:space="preserve">in abordat în </w:t>
            </w:r>
            <w:r w:rsidR="001E5764">
              <w:rPr>
                <w:rFonts w:ascii="Calibri" w:eastAsia="Times New Roman" w:hAnsi="Calibri" w:cs="Calibri"/>
                <w:sz w:val="16"/>
                <w:szCs w:val="16"/>
              </w:rPr>
              <w:t>funcție</w:t>
            </w:r>
            <w:r w:rsidRPr="00D13B95">
              <w:rPr>
                <w:rFonts w:ascii="Calibri" w:eastAsia="Times New Roman" w:hAnsi="Calibri" w:cs="Calibri"/>
                <w:sz w:val="16"/>
                <w:szCs w:val="16"/>
              </w:rPr>
              <w:t xml:space="preserve"> de practica fiecărui stat.</w:t>
            </w:r>
            <w:r>
              <w:rPr>
                <w:rFonts w:ascii="Calibri" w:eastAsia="Times New Roman" w:hAnsi="Calibri" w:cs="Calibri"/>
                <w:sz w:val="16"/>
                <w:szCs w:val="16"/>
              </w:rPr>
              <w:t xml:space="preserve"> Suplimentar a se vedea comentariile la recomandarea nr. 10.</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900" w:type="dxa"/>
            <w:shd w:val="clear" w:color="auto" w:fill="F2F2F2" w:themeFill="background1" w:themeFillShade="F2"/>
          </w:tcPr>
          <w:p w:rsidR="00E40C87" w:rsidRPr="00C55E91" w:rsidRDefault="00E40C87" w:rsidP="00B724B8">
            <w:pPr>
              <w:jc w:val="center"/>
              <w:rPr>
                <w:rFonts w:ascii="Calibri" w:eastAsia="Times New Roman" w:hAnsi="Calibri" w:cs="Calibri"/>
                <w:sz w:val="16"/>
                <w:szCs w:val="16"/>
              </w:rPr>
            </w:pPr>
            <w:r w:rsidRPr="00C55E91">
              <w:rPr>
                <w:rFonts w:ascii="Calibri" w:eastAsia="Times New Roman" w:hAnsi="Calibri" w:cs="Calibri"/>
                <w:sz w:val="16"/>
                <w:szCs w:val="16"/>
              </w:rPr>
              <w:t>v</w:t>
            </w:r>
          </w:p>
          <w:p w:rsidR="00E40C87" w:rsidRPr="00C55E91" w:rsidRDefault="00E40C87" w:rsidP="00B724B8">
            <w:pPr>
              <w:jc w:val="center"/>
              <w:rPr>
                <w:rFonts w:ascii="Calibri" w:eastAsia="Times New Roman" w:hAnsi="Calibri" w:cs="Calibri"/>
                <w:sz w:val="14"/>
                <w:szCs w:val="14"/>
              </w:rPr>
            </w:pPr>
            <w:r w:rsidRPr="00C55E91">
              <w:rPr>
                <w:rFonts w:ascii="Calibri" w:eastAsia="Times New Roman" w:hAnsi="Calibri" w:cs="Calibri"/>
                <w:sz w:val="14"/>
                <w:szCs w:val="14"/>
              </w:rPr>
              <w:t>Problematica reiterată în subcapitolul nr. 4.1.1.</w:t>
            </w:r>
          </w:p>
        </w:tc>
      </w:tr>
      <w:tr w:rsidR="00E40C87" w:rsidRPr="00401691" w:rsidTr="007D6CDF">
        <w:trPr>
          <w:trHeight w:val="132"/>
        </w:trPr>
        <w:tc>
          <w:tcPr>
            <w:tcW w:w="2880" w:type="dxa"/>
          </w:tcPr>
          <w:p w:rsidR="00E40C87" w:rsidRDefault="00E40C87" w:rsidP="00B724B8">
            <w:pPr>
              <w:jc w:val="both"/>
              <w:rPr>
                <w:rFonts w:ascii="Calibri" w:eastAsia="Times New Roman" w:hAnsi="Calibri" w:cs="Calibri"/>
                <w:b/>
                <w:i/>
                <w:sz w:val="16"/>
                <w:szCs w:val="16"/>
              </w:rPr>
            </w:pPr>
            <w:r>
              <w:rPr>
                <w:rFonts w:ascii="Calibri" w:eastAsia="Times New Roman" w:hAnsi="Calibri" w:cs="Calibri"/>
                <w:b/>
                <w:i/>
                <w:sz w:val="16"/>
                <w:szCs w:val="16"/>
              </w:rPr>
              <w:t>Recomandare</w:t>
            </w:r>
            <w:r w:rsidRPr="00D13B95">
              <w:rPr>
                <w:rFonts w:ascii="Calibri" w:eastAsia="Times New Roman" w:hAnsi="Calibri" w:cs="Calibri"/>
                <w:b/>
                <w:i/>
                <w:sz w:val="16"/>
                <w:szCs w:val="16"/>
              </w:rPr>
              <w:t xml:space="preserve"> </w:t>
            </w:r>
            <w:r>
              <w:rPr>
                <w:rFonts w:ascii="Calibri" w:eastAsia="Times New Roman" w:hAnsi="Calibri" w:cs="Calibri"/>
                <w:b/>
                <w:i/>
                <w:sz w:val="16"/>
                <w:szCs w:val="16"/>
              </w:rPr>
              <w:t>nr. 2:</w:t>
            </w:r>
          </w:p>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sz w:val="16"/>
                <w:szCs w:val="16"/>
              </w:rPr>
              <w:t>MF s</w:t>
            </w:r>
            <w:r w:rsidRPr="00D13B95">
              <w:rPr>
                <w:rFonts w:ascii="Calibri" w:eastAsia="Times New Roman" w:hAnsi="Calibri" w:cs="Calibri"/>
                <w:sz w:val="16"/>
                <w:szCs w:val="16"/>
              </w:rPr>
              <w:t>ă asigure o conlucrare operativă și coerentă în procesul de sistematizare a facilităților fiscale și vamale raportate de Serviciul Fiscal de Stat și Serviciul Vamal</w:t>
            </w:r>
            <w:r w:rsidR="00FC21FE">
              <w:rPr>
                <w:rFonts w:ascii="Calibri" w:eastAsia="Times New Roman" w:hAnsi="Calibri" w:cs="Calibri"/>
                <w:sz w:val="16"/>
                <w:szCs w:val="16"/>
              </w:rPr>
              <w:t>.</w:t>
            </w:r>
          </w:p>
        </w:tc>
        <w:tc>
          <w:tcPr>
            <w:tcW w:w="4050" w:type="dxa"/>
          </w:tcPr>
          <w:p w:rsidR="00E40C87" w:rsidRDefault="00E40C87" w:rsidP="00B724B8">
            <w:pPr>
              <w:jc w:val="both"/>
              <w:rPr>
                <w:rFonts w:ascii="Calibri" w:eastAsia="Times New Roman" w:hAnsi="Calibri" w:cs="Calibri"/>
                <w:sz w:val="16"/>
                <w:szCs w:val="16"/>
              </w:rPr>
            </w:pPr>
            <w:r>
              <w:rPr>
                <w:rFonts w:ascii="Calibri" w:eastAsia="Times New Roman" w:hAnsi="Calibri" w:cs="Calibri"/>
                <w:sz w:val="16"/>
                <w:szCs w:val="16"/>
              </w:rPr>
              <w:t>MF anual solicită de la SFS estimarea costurilor facilităților fiscale</w:t>
            </w:r>
            <w:r w:rsidR="001E5764">
              <w:rPr>
                <w:rFonts w:ascii="Calibri" w:eastAsia="Times New Roman" w:hAnsi="Calibri" w:cs="Calibri"/>
                <w:sz w:val="16"/>
                <w:szCs w:val="16"/>
              </w:rPr>
              <w:t>,</w:t>
            </w:r>
            <w:r>
              <w:rPr>
                <w:rFonts w:ascii="Calibri" w:eastAsia="Times New Roman" w:hAnsi="Calibri" w:cs="Calibri"/>
                <w:sz w:val="16"/>
                <w:szCs w:val="16"/>
              </w:rPr>
              <w:t xml:space="preserve"> pentru a le include în </w:t>
            </w:r>
            <w:r w:rsidRPr="001E5764">
              <w:rPr>
                <w:rFonts w:ascii="Calibri" w:eastAsia="Times New Roman" w:hAnsi="Calibri" w:cs="Calibri"/>
                <w:sz w:val="16"/>
                <w:szCs w:val="16"/>
              </w:rPr>
              <w:t>Registrul unic al facilităților</w:t>
            </w:r>
            <w:r w:rsidR="006D7C36" w:rsidRPr="001E5764">
              <w:rPr>
                <w:rFonts w:ascii="Calibri" w:eastAsia="Times New Roman" w:hAnsi="Calibri" w:cs="Calibri"/>
                <w:sz w:val="16"/>
                <w:szCs w:val="16"/>
              </w:rPr>
              <w:t xml:space="preserve"> fiscale</w:t>
            </w:r>
            <w:r w:rsidRPr="001E5764">
              <w:rPr>
                <w:rFonts w:ascii="Calibri" w:eastAsia="Times New Roman" w:hAnsi="Calibri" w:cs="Calibri"/>
                <w:sz w:val="16"/>
                <w:szCs w:val="16"/>
              </w:rPr>
              <w:t>. La fel</w:t>
            </w:r>
            <w:r w:rsidR="001E5764">
              <w:rPr>
                <w:rFonts w:ascii="Calibri" w:eastAsia="Times New Roman" w:hAnsi="Calibri" w:cs="Calibri"/>
                <w:sz w:val="16"/>
                <w:szCs w:val="16"/>
              </w:rPr>
              <w:t>,</w:t>
            </w:r>
            <w:r w:rsidRPr="001E5764">
              <w:rPr>
                <w:rFonts w:ascii="Calibri" w:eastAsia="Times New Roman" w:hAnsi="Calibri" w:cs="Calibri"/>
                <w:sz w:val="16"/>
                <w:szCs w:val="16"/>
              </w:rPr>
              <w:t xml:space="preserve"> periodic s</w:t>
            </w:r>
            <w:r w:rsidR="001E5764">
              <w:rPr>
                <w:rFonts w:ascii="Calibri" w:eastAsia="Times New Roman" w:hAnsi="Calibri" w:cs="Calibri"/>
                <w:sz w:val="16"/>
                <w:szCs w:val="16"/>
              </w:rPr>
              <w:t>u</w:t>
            </w:r>
            <w:r w:rsidRPr="001E5764">
              <w:rPr>
                <w:rFonts w:ascii="Calibri" w:eastAsia="Times New Roman" w:hAnsi="Calibri" w:cs="Calibri"/>
                <w:sz w:val="16"/>
                <w:szCs w:val="16"/>
              </w:rPr>
              <w:t>nt organizate ședințe comune de lucru între autorități</w:t>
            </w:r>
            <w:r w:rsidR="001E5764">
              <w:rPr>
                <w:rFonts w:ascii="Calibri" w:eastAsia="Times New Roman" w:hAnsi="Calibri" w:cs="Calibri"/>
                <w:sz w:val="16"/>
                <w:szCs w:val="16"/>
              </w:rPr>
              <w:t>,</w:t>
            </w:r>
            <w:r>
              <w:rPr>
                <w:rFonts w:ascii="Calibri" w:eastAsia="Times New Roman" w:hAnsi="Calibri" w:cs="Calibri"/>
                <w:sz w:val="16"/>
                <w:szCs w:val="16"/>
              </w:rPr>
              <w:t xml:space="preserve"> în vederea elaborării</w:t>
            </w:r>
            <w:r w:rsidRPr="00CE6F85">
              <w:rPr>
                <w:rFonts w:ascii="Calibri" w:eastAsia="Times New Roman" w:hAnsi="Calibri" w:cs="Calibri"/>
                <w:sz w:val="16"/>
                <w:szCs w:val="16"/>
              </w:rPr>
              <w:t xml:space="preserve"> unor mecanisme </w:t>
            </w:r>
            <w:r>
              <w:rPr>
                <w:rFonts w:ascii="Calibri" w:eastAsia="Times New Roman" w:hAnsi="Calibri" w:cs="Calibri"/>
                <w:sz w:val="16"/>
                <w:szCs w:val="16"/>
              </w:rPr>
              <w:t xml:space="preserve">de estimare </w:t>
            </w:r>
            <w:r w:rsidRPr="00CE6F85">
              <w:rPr>
                <w:rFonts w:ascii="Calibri" w:eastAsia="Times New Roman" w:hAnsi="Calibri" w:cs="Calibri"/>
                <w:sz w:val="16"/>
                <w:szCs w:val="16"/>
              </w:rPr>
              <w:t>a costurilor și impactului facilităților</w:t>
            </w:r>
            <w:r>
              <w:rPr>
                <w:rFonts w:ascii="Calibri" w:eastAsia="Times New Roman" w:hAnsi="Calibri" w:cs="Calibri"/>
                <w:sz w:val="16"/>
                <w:szCs w:val="16"/>
              </w:rPr>
              <w:t xml:space="preserve"> fiscale.</w:t>
            </w:r>
          </w:p>
          <w:p w:rsidR="00E40C87" w:rsidRPr="00D13B95" w:rsidRDefault="00E40C87" w:rsidP="00B724B8">
            <w:pPr>
              <w:jc w:val="both"/>
              <w:rPr>
                <w:rFonts w:ascii="Calibri" w:eastAsia="Times New Roman" w:hAnsi="Calibri" w:cs="Calibri"/>
                <w:sz w:val="16"/>
                <w:szCs w:val="16"/>
              </w:rPr>
            </w:pPr>
            <w:r w:rsidRPr="00B576FF">
              <w:rPr>
                <w:rFonts w:ascii="Calibri" w:eastAsia="Times New Roman" w:hAnsi="Calibri" w:cs="Calibri"/>
                <w:sz w:val="16"/>
                <w:szCs w:val="16"/>
              </w:rPr>
              <w:lastRenderedPageBreak/>
              <w:t>M</w:t>
            </w:r>
            <w:r>
              <w:rPr>
                <w:rFonts w:ascii="Calibri" w:eastAsia="Times New Roman" w:hAnsi="Calibri" w:cs="Calibri"/>
                <w:sz w:val="16"/>
                <w:szCs w:val="16"/>
              </w:rPr>
              <w:t>F</w:t>
            </w:r>
            <w:r w:rsidR="001E5764">
              <w:rPr>
                <w:rFonts w:ascii="Calibri" w:eastAsia="Times New Roman" w:hAnsi="Calibri" w:cs="Calibri"/>
                <w:sz w:val="16"/>
                <w:szCs w:val="16"/>
              </w:rPr>
              <w:t>,</w:t>
            </w:r>
            <w:r>
              <w:rPr>
                <w:rFonts w:ascii="Calibri" w:eastAsia="Times New Roman" w:hAnsi="Calibri" w:cs="Calibri"/>
                <w:sz w:val="16"/>
                <w:szCs w:val="16"/>
              </w:rPr>
              <w:t xml:space="preserve"> s</w:t>
            </w:r>
            <w:r w:rsidRPr="00B576FF">
              <w:rPr>
                <w:rFonts w:ascii="Calibri" w:eastAsia="Times New Roman" w:hAnsi="Calibri" w:cs="Calibri"/>
                <w:sz w:val="16"/>
                <w:szCs w:val="16"/>
              </w:rPr>
              <w:t xml:space="preserve">esizând deficiențe </w:t>
            </w:r>
            <w:r w:rsidR="001E5764">
              <w:rPr>
                <w:rFonts w:ascii="Calibri" w:eastAsia="Times New Roman" w:hAnsi="Calibri" w:cs="Calibri"/>
                <w:sz w:val="16"/>
                <w:szCs w:val="16"/>
              </w:rPr>
              <w:t>la</w:t>
            </w:r>
            <w:r w:rsidRPr="00B576FF">
              <w:rPr>
                <w:rFonts w:ascii="Calibri" w:eastAsia="Times New Roman" w:hAnsi="Calibri" w:cs="Calibri"/>
                <w:sz w:val="16"/>
                <w:szCs w:val="16"/>
              </w:rPr>
              <w:t xml:space="preserve"> estim</w:t>
            </w:r>
            <w:r w:rsidR="001E5764">
              <w:rPr>
                <w:rFonts w:ascii="Calibri" w:eastAsia="Times New Roman" w:hAnsi="Calibri" w:cs="Calibri"/>
                <w:sz w:val="16"/>
                <w:szCs w:val="16"/>
              </w:rPr>
              <w:t>area</w:t>
            </w:r>
            <w:r w:rsidRPr="00B576FF">
              <w:rPr>
                <w:rFonts w:ascii="Calibri" w:eastAsia="Times New Roman" w:hAnsi="Calibri" w:cs="Calibri"/>
                <w:sz w:val="16"/>
                <w:szCs w:val="16"/>
              </w:rPr>
              <w:t xml:space="preserve"> costului facilităților fiscale</w:t>
            </w:r>
            <w:r w:rsidR="001E5764">
              <w:rPr>
                <w:rFonts w:ascii="Calibri" w:eastAsia="Times New Roman" w:hAnsi="Calibri" w:cs="Calibri"/>
                <w:sz w:val="16"/>
                <w:szCs w:val="16"/>
              </w:rPr>
              <w:t>,</w:t>
            </w:r>
            <w:r w:rsidRPr="00B576FF">
              <w:rPr>
                <w:rFonts w:ascii="Calibri" w:eastAsia="Times New Roman" w:hAnsi="Calibri" w:cs="Calibri"/>
                <w:sz w:val="16"/>
                <w:szCs w:val="16"/>
              </w:rPr>
              <w:t xml:space="preserve"> </w:t>
            </w:r>
            <w:r>
              <w:rPr>
                <w:rFonts w:ascii="Calibri" w:eastAsia="Times New Roman" w:hAnsi="Calibri" w:cs="Calibri"/>
                <w:sz w:val="16"/>
                <w:szCs w:val="16"/>
              </w:rPr>
              <w:t>care</w:t>
            </w:r>
            <w:r w:rsidRPr="00B576FF">
              <w:rPr>
                <w:rFonts w:ascii="Calibri" w:eastAsia="Times New Roman" w:hAnsi="Calibri" w:cs="Calibri"/>
                <w:sz w:val="16"/>
                <w:szCs w:val="16"/>
              </w:rPr>
              <w:t xml:space="preserve"> a</w:t>
            </w:r>
            <w:r>
              <w:rPr>
                <w:rFonts w:ascii="Calibri" w:eastAsia="Times New Roman" w:hAnsi="Calibri" w:cs="Calibri"/>
                <w:sz w:val="16"/>
                <w:szCs w:val="16"/>
              </w:rPr>
              <w:t>r</w:t>
            </w:r>
            <w:r w:rsidRPr="00B576FF">
              <w:rPr>
                <w:rFonts w:ascii="Calibri" w:eastAsia="Times New Roman" w:hAnsi="Calibri" w:cs="Calibri"/>
                <w:sz w:val="16"/>
                <w:szCs w:val="16"/>
              </w:rPr>
              <w:t xml:space="preserve"> asigura îmbunătățirea procesului de raportare a acestora</w:t>
            </w:r>
            <w:r w:rsidR="001E5764">
              <w:rPr>
                <w:rFonts w:ascii="Calibri" w:eastAsia="Times New Roman" w:hAnsi="Calibri" w:cs="Calibri"/>
                <w:sz w:val="16"/>
                <w:szCs w:val="16"/>
              </w:rPr>
              <w:t>,</w:t>
            </w:r>
            <w:r>
              <w:rPr>
                <w:rFonts w:ascii="Calibri" w:eastAsia="Times New Roman" w:hAnsi="Calibri" w:cs="Calibri"/>
                <w:sz w:val="16"/>
                <w:szCs w:val="16"/>
              </w:rPr>
              <w:t xml:space="preserve"> a solicitat și beneficiază de asistență</w:t>
            </w:r>
            <w:r w:rsidRPr="00B576FF">
              <w:rPr>
                <w:rFonts w:ascii="Calibri" w:eastAsia="Times New Roman" w:hAnsi="Calibri" w:cs="Calibri"/>
                <w:sz w:val="16"/>
                <w:szCs w:val="16"/>
              </w:rPr>
              <w:t xml:space="preserve"> tehnică din partea partenerilor de dezvoltare.</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810" w:type="dxa"/>
            <w:shd w:val="clear" w:color="auto" w:fill="F2F2F2" w:themeFill="background1" w:themeFillShade="F2"/>
          </w:tcPr>
          <w:p w:rsidR="00E40C87" w:rsidRPr="00C55E91" w:rsidRDefault="00E40C87" w:rsidP="00B724B8">
            <w:pPr>
              <w:jc w:val="center"/>
              <w:rPr>
                <w:rFonts w:ascii="Calibri" w:eastAsia="Times New Roman" w:hAnsi="Calibri" w:cs="Calibri"/>
                <w:sz w:val="16"/>
                <w:szCs w:val="16"/>
              </w:rPr>
            </w:pPr>
            <w:r w:rsidRPr="00C55E91">
              <w:rPr>
                <w:rFonts w:ascii="Calibri" w:eastAsia="Times New Roman" w:hAnsi="Calibri" w:cs="Calibri"/>
                <w:sz w:val="16"/>
                <w:szCs w:val="16"/>
              </w:rPr>
              <w:t>v</w:t>
            </w:r>
          </w:p>
          <w:p w:rsidR="00E40C87" w:rsidRPr="00C55E91" w:rsidRDefault="00E40C87" w:rsidP="00B724B8">
            <w:pPr>
              <w:jc w:val="center"/>
              <w:rPr>
                <w:rFonts w:ascii="Calibri" w:eastAsia="Times New Roman" w:hAnsi="Calibri" w:cs="Calibri"/>
                <w:sz w:val="14"/>
                <w:szCs w:val="14"/>
              </w:rPr>
            </w:pPr>
            <w:r w:rsidRPr="00C55E91">
              <w:rPr>
                <w:rFonts w:ascii="Calibri" w:eastAsia="Times New Roman" w:hAnsi="Calibri" w:cs="Calibri"/>
                <w:sz w:val="14"/>
                <w:szCs w:val="14"/>
              </w:rPr>
              <w:t>Problematica reiterată în subcapitol</w:t>
            </w:r>
            <w:r w:rsidRPr="00C55E91">
              <w:rPr>
                <w:rFonts w:ascii="Calibri" w:eastAsia="Times New Roman" w:hAnsi="Calibri" w:cs="Calibri"/>
                <w:sz w:val="14"/>
                <w:szCs w:val="14"/>
              </w:rPr>
              <w:lastRenderedPageBreak/>
              <w:t>ul nr. 4.1.2</w:t>
            </w: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132"/>
        </w:trPr>
        <w:tc>
          <w:tcPr>
            <w:tcW w:w="2880" w:type="dxa"/>
          </w:tcPr>
          <w:p w:rsidR="00E40C87" w:rsidRDefault="00E40C87" w:rsidP="00B724B8">
            <w:pPr>
              <w:jc w:val="both"/>
              <w:rPr>
                <w:rFonts w:ascii="Calibri" w:eastAsia="Times New Roman" w:hAnsi="Calibri" w:cs="Calibri"/>
                <w:b/>
                <w:i/>
                <w:sz w:val="16"/>
                <w:szCs w:val="16"/>
              </w:rPr>
            </w:pPr>
            <w:r>
              <w:rPr>
                <w:rFonts w:ascii="Calibri" w:eastAsia="Times New Roman" w:hAnsi="Calibri" w:cs="Calibri"/>
                <w:b/>
                <w:i/>
                <w:sz w:val="16"/>
                <w:szCs w:val="16"/>
              </w:rPr>
              <w:t>Recomandarea</w:t>
            </w:r>
            <w:r w:rsidRPr="00D13B95">
              <w:rPr>
                <w:rFonts w:ascii="Calibri" w:eastAsia="Times New Roman" w:hAnsi="Calibri" w:cs="Calibri"/>
                <w:b/>
                <w:i/>
                <w:sz w:val="16"/>
                <w:szCs w:val="16"/>
              </w:rPr>
              <w:t xml:space="preserve"> </w:t>
            </w:r>
            <w:r>
              <w:rPr>
                <w:rFonts w:ascii="Calibri" w:eastAsia="Times New Roman" w:hAnsi="Calibri" w:cs="Calibri"/>
                <w:b/>
                <w:i/>
                <w:sz w:val="16"/>
                <w:szCs w:val="16"/>
              </w:rPr>
              <w:t>nr. 4:</w:t>
            </w:r>
          </w:p>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sz w:val="16"/>
                <w:szCs w:val="16"/>
              </w:rPr>
              <w:t>MF</w:t>
            </w:r>
            <w:r w:rsidR="00FC21FE">
              <w:rPr>
                <w:rFonts w:ascii="Calibri" w:eastAsia="Times New Roman" w:hAnsi="Calibri" w:cs="Calibri"/>
                <w:sz w:val="16"/>
                <w:szCs w:val="16"/>
              </w:rPr>
              <w:t>,</w:t>
            </w:r>
            <w:r>
              <w:rPr>
                <w:rFonts w:ascii="Calibri" w:eastAsia="Times New Roman" w:hAnsi="Calibri" w:cs="Calibri"/>
                <w:sz w:val="16"/>
                <w:szCs w:val="16"/>
              </w:rPr>
              <w:t xml:space="preserve"> </w:t>
            </w:r>
            <w:r w:rsidR="00FC21FE">
              <w:rPr>
                <w:rFonts w:ascii="Calibri" w:eastAsia="Times New Roman" w:hAnsi="Calibri" w:cs="Calibri"/>
                <w:sz w:val="16"/>
                <w:szCs w:val="16"/>
              </w:rPr>
              <w:t>în</w:t>
            </w:r>
            <w:r w:rsidRPr="00D13B95">
              <w:rPr>
                <w:rFonts w:ascii="Calibri" w:eastAsia="Times New Roman" w:hAnsi="Calibri" w:cs="Calibri"/>
                <w:sz w:val="16"/>
                <w:szCs w:val="16"/>
              </w:rPr>
              <w:t xml:space="preserve"> comun cu</w:t>
            </w:r>
            <w:r>
              <w:rPr>
                <w:rFonts w:ascii="Calibri" w:eastAsia="Times New Roman" w:hAnsi="Calibri" w:cs="Calibri"/>
                <w:sz w:val="16"/>
                <w:szCs w:val="16"/>
              </w:rPr>
              <w:t xml:space="preserve"> ME</w:t>
            </w:r>
            <w:r w:rsidRPr="00D13B95">
              <w:rPr>
                <w:rFonts w:ascii="Calibri" w:eastAsia="Times New Roman" w:hAnsi="Calibri" w:cs="Calibri"/>
                <w:sz w:val="16"/>
                <w:szCs w:val="16"/>
              </w:rPr>
              <w:t xml:space="preserve">, să elaboreze un plan de acțiuni privind inventarierea/revizuirea tuturor tipurilor de facilități  fiscale și vamale existente, a categoriilor/domeniilor de beneficiari de facilități fiscale și vamale, precum și determinarea impactului/rezultatului obținut </w:t>
            </w:r>
            <w:r w:rsidR="001E5764">
              <w:rPr>
                <w:rFonts w:ascii="Calibri" w:eastAsia="Times New Roman" w:hAnsi="Calibri" w:cs="Calibri"/>
                <w:sz w:val="16"/>
                <w:szCs w:val="16"/>
              </w:rPr>
              <w:t xml:space="preserve">ca </w:t>
            </w:r>
            <w:r w:rsidRPr="00D13B95">
              <w:rPr>
                <w:rFonts w:ascii="Calibri" w:eastAsia="Times New Roman" w:hAnsi="Calibri" w:cs="Calibri"/>
                <w:sz w:val="16"/>
                <w:szCs w:val="16"/>
              </w:rPr>
              <w:t>urmare a facilităților acordate.</w:t>
            </w:r>
          </w:p>
        </w:tc>
        <w:tc>
          <w:tcPr>
            <w:tcW w:w="4050" w:type="dxa"/>
            <w:vMerge w:val="restart"/>
          </w:tcPr>
          <w:p w:rsidR="00E40C87" w:rsidRDefault="00E40C87" w:rsidP="00B724B8">
            <w:pPr>
              <w:jc w:val="both"/>
              <w:rPr>
                <w:rFonts w:ascii="Calibri" w:eastAsia="Times New Roman" w:hAnsi="Calibri" w:cs="Calibri"/>
                <w:sz w:val="16"/>
                <w:szCs w:val="16"/>
              </w:rPr>
            </w:pPr>
            <w:r>
              <w:rPr>
                <w:rFonts w:ascii="Calibri" w:eastAsia="Times New Roman" w:hAnsi="Calibri" w:cs="Calibri"/>
                <w:sz w:val="16"/>
                <w:szCs w:val="16"/>
              </w:rPr>
              <w:t>Deși autoritățile statului au sistematizat spectrul de facilități fiscale existente, auditul atestă c</w:t>
            </w:r>
            <w:r w:rsidR="001E5764">
              <w:rPr>
                <w:rFonts w:ascii="Calibri" w:eastAsia="Times New Roman" w:hAnsi="Calibri" w:cs="Calibri"/>
                <w:sz w:val="16"/>
                <w:szCs w:val="16"/>
              </w:rPr>
              <w:t>ă</w:t>
            </w:r>
            <w:r>
              <w:rPr>
                <w:rFonts w:ascii="Calibri" w:eastAsia="Times New Roman" w:hAnsi="Calibri" w:cs="Calibri"/>
                <w:sz w:val="16"/>
                <w:szCs w:val="16"/>
              </w:rPr>
              <w:t xml:space="preserve"> există studii privind impactul obținut </w:t>
            </w:r>
            <w:r w:rsidR="001E5764">
              <w:rPr>
                <w:rFonts w:ascii="Calibri" w:eastAsia="Times New Roman" w:hAnsi="Calibri" w:cs="Calibri"/>
                <w:sz w:val="16"/>
                <w:szCs w:val="16"/>
              </w:rPr>
              <w:t xml:space="preserve">ca </w:t>
            </w:r>
            <w:r>
              <w:rPr>
                <w:rFonts w:ascii="Calibri" w:eastAsia="Times New Roman" w:hAnsi="Calibri" w:cs="Calibri"/>
                <w:sz w:val="16"/>
                <w:szCs w:val="16"/>
              </w:rPr>
              <w:t>urmare a</w:t>
            </w:r>
            <w:r w:rsidR="001E5764">
              <w:rPr>
                <w:rFonts w:ascii="Calibri" w:eastAsia="Times New Roman" w:hAnsi="Calibri" w:cs="Calibri"/>
                <w:sz w:val="16"/>
                <w:szCs w:val="16"/>
              </w:rPr>
              <w:t xml:space="preserve"> a</w:t>
            </w:r>
            <w:r>
              <w:rPr>
                <w:rFonts w:ascii="Calibri" w:eastAsia="Times New Roman" w:hAnsi="Calibri" w:cs="Calibri"/>
                <w:sz w:val="16"/>
                <w:szCs w:val="16"/>
              </w:rPr>
              <w:t xml:space="preserve">cordării acestora, cu excepția celor </w:t>
            </w:r>
            <w:r w:rsidRPr="0062750F">
              <w:rPr>
                <w:rFonts w:ascii="Calibri" w:eastAsia="Times New Roman" w:hAnsi="Calibri" w:cs="Calibri"/>
                <w:sz w:val="16"/>
                <w:szCs w:val="16"/>
              </w:rPr>
              <w:t xml:space="preserve"> anulate </w:t>
            </w:r>
            <w:r>
              <w:rPr>
                <w:rFonts w:ascii="Calibri" w:eastAsia="Times New Roman" w:hAnsi="Calibri" w:cs="Calibri"/>
                <w:sz w:val="16"/>
                <w:szCs w:val="16"/>
              </w:rPr>
              <w:t>prin politica bugetar</w:t>
            </w:r>
            <w:r w:rsidR="001E5764">
              <w:rPr>
                <w:rFonts w:ascii="Calibri" w:eastAsia="Times New Roman" w:hAnsi="Calibri" w:cs="Calibri"/>
                <w:sz w:val="16"/>
                <w:szCs w:val="16"/>
              </w:rPr>
              <w:t>-</w:t>
            </w:r>
            <w:r w:rsidRPr="0062750F">
              <w:rPr>
                <w:rFonts w:ascii="Calibri" w:eastAsia="Times New Roman" w:hAnsi="Calibri" w:cs="Calibri"/>
                <w:sz w:val="16"/>
                <w:szCs w:val="16"/>
              </w:rPr>
              <w:t>fiscală</w:t>
            </w:r>
            <w:r>
              <w:rPr>
                <w:rFonts w:asciiTheme="majorHAnsi" w:eastAsia="Times New Roman" w:hAnsiTheme="majorHAnsi" w:cstheme="majorHAnsi"/>
                <w:sz w:val="24"/>
                <w:szCs w:val="24"/>
              </w:rPr>
              <w:t xml:space="preserve"> </w:t>
            </w:r>
            <w:r w:rsidRPr="0062750F">
              <w:rPr>
                <w:rFonts w:ascii="Calibri" w:eastAsia="Times New Roman" w:hAnsi="Calibri" w:cs="Calibri"/>
                <w:sz w:val="16"/>
                <w:szCs w:val="16"/>
              </w:rPr>
              <w:t>pentru anul 2020.</w:t>
            </w:r>
            <w:r>
              <w:rPr>
                <w:rFonts w:ascii="Calibri" w:eastAsia="Times New Roman" w:hAnsi="Calibri" w:cs="Calibri"/>
                <w:sz w:val="16"/>
                <w:szCs w:val="16"/>
              </w:rPr>
              <w:t xml:space="preserve"> </w:t>
            </w:r>
          </w:p>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sz w:val="16"/>
                <w:szCs w:val="16"/>
              </w:rPr>
              <w:t xml:space="preserve"> </w:t>
            </w:r>
          </w:p>
          <w:p w:rsidR="00E40C87" w:rsidRPr="00D13B95" w:rsidRDefault="00E40C87" w:rsidP="00B724B8">
            <w:pPr>
              <w:rPr>
                <w:rFonts w:ascii="Calibri" w:eastAsia="Times New Roman" w:hAnsi="Calibri" w:cs="Calibri"/>
                <w:sz w:val="16"/>
                <w:szCs w:val="16"/>
              </w:rPr>
            </w:pPr>
            <w:r w:rsidRPr="00D13B95">
              <w:rPr>
                <w:rFonts w:ascii="Calibri" w:eastAsia="Times New Roman" w:hAnsi="Calibri" w:cs="Calibri"/>
                <w:sz w:val="16"/>
                <w:szCs w:val="16"/>
              </w:rPr>
              <w:t>La</w:t>
            </w:r>
            <w:r>
              <w:rPr>
                <w:rFonts w:ascii="Calibri" w:eastAsia="Times New Roman" w:hAnsi="Calibri" w:cs="Calibri"/>
                <w:sz w:val="16"/>
                <w:szCs w:val="16"/>
              </w:rPr>
              <w:t xml:space="preserve"> fel</w:t>
            </w:r>
            <w:r w:rsidR="001E5764">
              <w:rPr>
                <w:rFonts w:ascii="Calibri" w:eastAsia="Times New Roman" w:hAnsi="Calibri" w:cs="Calibri"/>
                <w:sz w:val="16"/>
                <w:szCs w:val="16"/>
              </w:rPr>
              <w:t>,</w:t>
            </w:r>
            <w:r>
              <w:rPr>
                <w:rFonts w:ascii="Calibri" w:eastAsia="Times New Roman" w:hAnsi="Calibri" w:cs="Calibri"/>
                <w:sz w:val="16"/>
                <w:szCs w:val="16"/>
              </w:rPr>
              <w:t xml:space="preserve"> autoritățile statului s</w:t>
            </w:r>
            <w:r w:rsidR="00F61DFB">
              <w:rPr>
                <w:rFonts w:ascii="Calibri" w:eastAsia="Times New Roman" w:hAnsi="Calibri" w:cs="Calibri"/>
                <w:sz w:val="16"/>
                <w:szCs w:val="16"/>
              </w:rPr>
              <w:t>u</w:t>
            </w:r>
            <w:r>
              <w:rPr>
                <w:rFonts w:ascii="Calibri" w:eastAsia="Times New Roman" w:hAnsi="Calibri" w:cs="Calibri"/>
                <w:sz w:val="16"/>
                <w:szCs w:val="16"/>
              </w:rPr>
              <w:t xml:space="preserve">nt în proces de elaborare a </w:t>
            </w:r>
            <w:r w:rsidRPr="00D13B95">
              <w:rPr>
                <w:rFonts w:ascii="Calibri" w:eastAsia="Times New Roman" w:hAnsi="Calibri" w:cs="Calibri"/>
                <w:sz w:val="16"/>
                <w:szCs w:val="16"/>
              </w:rPr>
              <w:t xml:space="preserve"> modelul</w:t>
            </w:r>
            <w:r w:rsidR="00F61DFB">
              <w:rPr>
                <w:rFonts w:ascii="Calibri" w:eastAsia="Times New Roman" w:hAnsi="Calibri" w:cs="Calibri"/>
                <w:sz w:val="16"/>
                <w:szCs w:val="16"/>
              </w:rPr>
              <w:t>ui</w:t>
            </w:r>
            <w:r w:rsidRPr="00D13B95">
              <w:rPr>
                <w:rFonts w:ascii="Calibri" w:eastAsia="Times New Roman" w:hAnsi="Calibri" w:cs="Calibri"/>
                <w:sz w:val="16"/>
                <w:szCs w:val="16"/>
              </w:rPr>
              <w:t xml:space="preserve"> de estimare și calculare a raportului cost-beneficiu al facilităților fiscale și vamale în parte, în baza datelor colectate per sector, </w:t>
            </w:r>
            <w:r w:rsidR="00F61DFB">
              <w:rPr>
                <w:rFonts w:ascii="Calibri" w:eastAsia="Times New Roman" w:hAnsi="Calibri" w:cs="Calibri"/>
                <w:sz w:val="16"/>
                <w:szCs w:val="16"/>
              </w:rPr>
              <w:t>precum</w:t>
            </w:r>
            <w:r w:rsidRPr="00D13B95">
              <w:rPr>
                <w:rFonts w:ascii="Calibri" w:eastAsia="Times New Roman" w:hAnsi="Calibri" w:cs="Calibri"/>
                <w:sz w:val="16"/>
                <w:szCs w:val="16"/>
              </w:rPr>
              <w:t xml:space="preserve"> și per entitate. </w:t>
            </w:r>
            <w:r w:rsidRPr="00D13B95">
              <w:rPr>
                <w:rFonts w:ascii="Calibri" w:eastAsia="Times New Roman" w:hAnsi="Calibri" w:cs="Calibri"/>
                <w:sz w:val="16"/>
                <w:szCs w:val="16"/>
              </w:rPr>
              <w:br/>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810" w:type="dxa"/>
            <w:shd w:val="clear" w:color="auto" w:fill="F2F2F2" w:themeFill="background1" w:themeFillShade="F2"/>
          </w:tcPr>
          <w:p w:rsidR="00E40C87" w:rsidRPr="00C55E91" w:rsidRDefault="00E40C87" w:rsidP="00B724B8">
            <w:pPr>
              <w:jc w:val="center"/>
              <w:rPr>
                <w:rFonts w:ascii="Calibri" w:eastAsia="Times New Roman" w:hAnsi="Calibri" w:cs="Calibri"/>
                <w:sz w:val="16"/>
                <w:szCs w:val="16"/>
              </w:rPr>
            </w:pPr>
            <w:r w:rsidRPr="00C55E91">
              <w:rPr>
                <w:rFonts w:ascii="Calibri" w:eastAsia="Times New Roman" w:hAnsi="Calibri" w:cs="Calibri"/>
                <w:sz w:val="16"/>
                <w:szCs w:val="16"/>
              </w:rPr>
              <w:t>V</w:t>
            </w:r>
          </w:p>
          <w:p w:rsidR="00E40C87" w:rsidRPr="00C55E91" w:rsidRDefault="00E40C87" w:rsidP="00B724B8">
            <w:pPr>
              <w:jc w:val="center"/>
              <w:rPr>
                <w:rFonts w:ascii="Calibri" w:eastAsia="Times New Roman" w:hAnsi="Calibri" w:cs="Calibri"/>
                <w:sz w:val="14"/>
                <w:szCs w:val="14"/>
              </w:rPr>
            </w:pPr>
            <w:r w:rsidRPr="00C55E91">
              <w:rPr>
                <w:rFonts w:ascii="Calibri" w:eastAsia="Times New Roman" w:hAnsi="Calibri" w:cs="Calibri"/>
                <w:sz w:val="14"/>
                <w:szCs w:val="14"/>
              </w:rPr>
              <w:t>Problematica reiterată în subcapitolul nr. 4.2.1.</w:t>
            </w: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132"/>
        </w:trPr>
        <w:tc>
          <w:tcPr>
            <w:tcW w:w="2880" w:type="dxa"/>
          </w:tcPr>
          <w:p w:rsidR="00E40C87" w:rsidRDefault="00E40C87" w:rsidP="00B724B8">
            <w:pPr>
              <w:jc w:val="both"/>
              <w:rPr>
                <w:rFonts w:ascii="Calibri" w:eastAsia="Times New Roman" w:hAnsi="Calibri" w:cs="Calibri"/>
                <w:b/>
                <w:i/>
                <w:sz w:val="16"/>
                <w:szCs w:val="16"/>
              </w:rPr>
            </w:pPr>
            <w:r>
              <w:rPr>
                <w:rFonts w:ascii="Calibri" w:eastAsia="Times New Roman" w:hAnsi="Calibri" w:cs="Calibri"/>
                <w:b/>
                <w:i/>
                <w:sz w:val="16"/>
                <w:szCs w:val="16"/>
              </w:rPr>
              <w:t>Recomandarea</w:t>
            </w:r>
            <w:r w:rsidRPr="00D13B95">
              <w:rPr>
                <w:rFonts w:ascii="Calibri" w:eastAsia="Times New Roman" w:hAnsi="Calibri" w:cs="Calibri"/>
                <w:b/>
                <w:i/>
                <w:sz w:val="16"/>
                <w:szCs w:val="16"/>
              </w:rPr>
              <w:t xml:space="preserve"> </w:t>
            </w:r>
            <w:r>
              <w:rPr>
                <w:rFonts w:ascii="Calibri" w:eastAsia="Times New Roman" w:hAnsi="Calibri" w:cs="Calibri"/>
                <w:b/>
                <w:i/>
                <w:sz w:val="16"/>
                <w:szCs w:val="16"/>
              </w:rPr>
              <w:t>nr. 5:</w:t>
            </w:r>
          </w:p>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sz w:val="16"/>
                <w:szCs w:val="16"/>
              </w:rPr>
              <w:t>MF</w:t>
            </w:r>
            <w:r w:rsidR="001E5764">
              <w:rPr>
                <w:rFonts w:ascii="Calibri" w:eastAsia="Times New Roman" w:hAnsi="Calibri" w:cs="Calibri"/>
                <w:sz w:val="16"/>
                <w:szCs w:val="16"/>
              </w:rPr>
              <w:t>,</w:t>
            </w:r>
            <w:r>
              <w:rPr>
                <w:rFonts w:ascii="Calibri" w:eastAsia="Times New Roman" w:hAnsi="Calibri" w:cs="Calibri"/>
                <w:sz w:val="16"/>
                <w:szCs w:val="16"/>
              </w:rPr>
              <w:t xml:space="preserve"> </w:t>
            </w:r>
            <w:r w:rsidR="001E5764">
              <w:rPr>
                <w:rFonts w:ascii="Calibri" w:eastAsia="Times New Roman" w:hAnsi="Calibri" w:cs="Calibri"/>
                <w:sz w:val="16"/>
                <w:szCs w:val="16"/>
              </w:rPr>
              <w:t>în</w:t>
            </w:r>
            <w:r w:rsidRPr="00D13B95">
              <w:rPr>
                <w:rFonts w:ascii="Calibri" w:eastAsia="Times New Roman" w:hAnsi="Calibri" w:cs="Calibri"/>
                <w:sz w:val="16"/>
                <w:szCs w:val="16"/>
              </w:rPr>
              <w:t xml:space="preserve"> comun cu </w:t>
            </w:r>
            <w:r>
              <w:rPr>
                <w:rFonts w:ascii="Calibri" w:eastAsia="Times New Roman" w:hAnsi="Calibri" w:cs="Calibri"/>
                <w:sz w:val="16"/>
                <w:szCs w:val="16"/>
              </w:rPr>
              <w:t>ME</w:t>
            </w:r>
            <w:r w:rsidRPr="00D13B95">
              <w:rPr>
                <w:rFonts w:ascii="Calibri" w:eastAsia="Times New Roman" w:hAnsi="Calibri" w:cs="Calibri"/>
                <w:sz w:val="16"/>
                <w:szCs w:val="16"/>
              </w:rPr>
              <w:t>, să elaboreze criterii privind temeiul și justificarea acordării facilităților fiscale și vamale, baza de calcul a cotelor procentuale a</w:t>
            </w:r>
            <w:r w:rsidR="001E5764">
              <w:rPr>
                <w:rFonts w:ascii="Calibri" w:eastAsia="Times New Roman" w:hAnsi="Calibri" w:cs="Calibri"/>
                <w:sz w:val="16"/>
                <w:szCs w:val="16"/>
              </w:rPr>
              <w:t>le</w:t>
            </w:r>
            <w:r w:rsidRPr="00D13B95">
              <w:rPr>
                <w:rFonts w:ascii="Calibri" w:eastAsia="Times New Roman" w:hAnsi="Calibri" w:cs="Calibri"/>
                <w:sz w:val="16"/>
                <w:szCs w:val="16"/>
              </w:rPr>
              <w:t xml:space="preserve"> facilităților fiscale și vamale, evaluarea pierderilor de venituri din impozite și taxe în perioada acordării facilităților fiscale și vamale, precum și pe viitor. </w:t>
            </w:r>
          </w:p>
        </w:tc>
        <w:tc>
          <w:tcPr>
            <w:tcW w:w="4050" w:type="dxa"/>
            <w:vMerge/>
          </w:tcPr>
          <w:p w:rsidR="00E40C87" w:rsidRPr="00401691" w:rsidRDefault="00E40C87" w:rsidP="00B724B8">
            <w:pPr>
              <w:ind w:left="-18" w:right="-12"/>
              <w:jc w:val="both"/>
              <w:rPr>
                <w:rFonts w:asciiTheme="majorHAnsi" w:hAnsiTheme="majorHAnsi" w:cstheme="majorHAnsi"/>
                <w:color w:val="3A3A3A"/>
                <w:sz w:val="20"/>
                <w:szCs w:val="20"/>
                <w:shd w:val="clear" w:color="auto" w:fill="FFFFFF"/>
              </w:rPr>
            </w:pP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810" w:type="dxa"/>
            <w:shd w:val="clear" w:color="auto" w:fill="F2F2F2" w:themeFill="background1" w:themeFillShade="F2"/>
          </w:tcPr>
          <w:p w:rsidR="00E40C87" w:rsidRPr="00C55E91" w:rsidRDefault="00E40C87" w:rsidP="00B724B8">
            <w:pPr>
              <w:jc w:val="center"/>
              <w:rPr>
                <w:rFonts w:ascii="Calibri" w:eastAsia="Times New Roman" w:hAnsi="Calibri" w:cs="Calibri"/>
                <w:sz w:val="16"/>
                <w:szCs w:val="16"/>
              </w:rPr>
            </w:pPr>
            <w:r w:rsidRPr="00C55E91">
              <w:rPr>
                <w:rFonts w:ascii="Calibri" w:eastAsia="Times New Roman" w:hAnsi="Calibri" w:cs="Calibri"/>
                <w:sz w:val="16"/>
                <w:szCs w:val="16"/>
              </w:rPr>
              <w:t>V</w:t>
            </w:r>
          </w:p>
          <w:p w:rsidR="00E40C87" w:rsidRPr="00C55E91" w:rsidRDefault="00E40C87" w:rsidP="00B724B8">
            <w:pPr>
              <w:jc w:val="center"/>
              <w:rPr>
                <w:rFonts w:ascii="Calibri" w:eastAsia="Times New Roman" w:hAnsi="Calibri" w:cs="Calibri"/>
                <w:sz w:val="14"/>
                <w:szCs w:val="14"/>
              </w:rPr>
            </w:pPr>
            <w:r w:rsidRPr="00C55E91">
              <w:rPr>
                <w:rFonts w:ascii="Calibri" w:eastAsia="Times New Roman" w:hAnsi="Calibri" w:cs="Calibri"/>
                <w:sz w:val="14"/>
                <w:szCs w:val="14"/>
              </w:rPr>
              <w:t>Problematica reiterată în subcapitolul nr. 4.2.1.</w:t>
            </w: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132"/>
        </w:trPr>
        <w:tc>
          <w:tcPr>
            <w:tcW w:w="2880" w:type="dxa"/>
          </w:tcPr>
          <w:p w:rsidR="00E40C87" w:rsidRDefault="00E40C87" w:rsidP="00B724B8">
            <w:pPr>
              <w:jc w:val="both"/>
              <w:rPr>
                <w:rFonts w:ascii="Calibri" w:eastAsia="Times New Roman" w:hAnsi="Calibri" w:cs="Calibri"/>
                <w:b/>
                <w:i/>
                <w:sz w:val="16"/>
                <w:szCs w:val="16"/>
              </w:rPr>
            </w:pPr>
            <w:r>
              <w:rPr>
                <w:rFonts w:ascii="Calibri" w:eastAsia="Times New Roman" w:hAnsi="Calibri" w:cs="Calibri"/>
                <w:b/>
                <w:i/>
                <w:sz w:val="16"/>
                <w:szCs w:val="16"/>
              </w:rPr>
              <w:t>Recomandarea</w:t>
            </w:r>
            <w:r w:rsidRPr="00D13B95">
              <w:rPr>
                <w:rFonts w:ascii="Calibri" w:eastAsia="Times New Roman" w:hAnsi="Calibri" w:cs="Calibri"/>
                <w:b/>
                <w:i/>
                <w:sz w:val="16"/>
                <w:szCs w:val="16"/>
              </w:rPr>
              <w:t xml:space="preserve"> </w:t>
            </w:r>
            <w:r>
              <w:rPr>
                <w:rFonts w:ascii="Calibri" w:eastAsia="Times New Roman" w:hAnsi="Calibri" w:cs="Calibri"/>
                <w:b/>
                <w:i/>
                <w:sz w:val="16"/>
                <w:szCs w:val="16"/>
              </w:rPr>
              <w:t>nr. 6:</w:t>
            </w:r>
          </w:p>
          <w:p w:rsidR="00E40C87" w:rsidRPr="00D13B95" w:rsidRDefault="00E40C87" w:rsidP="00B724B8">
            <w:pPr>
              <w:jc w:val="both"/>
              <w:rPr>
                <w:rFonts w:ascii="Calibri" w:eastAsia="Times New Roman" w:hAnsi="Calibri" w:cs="Calibri"/>
                <w:sz w:val="16"/>
                <w:szCs w:val="16"/>
              </w:rPr>
            </w:pPr>
            <w:r w:rsidRPr="00D13B95">
              <w:rPr>
                <w:rFonts w:ascii="Calibri" w:eastAsia="Times New Roman" w:hAnsi="Calibri" w:cs="Calibri"/>
                <w:sz w:val="16"/>
                <w:szCs w:val="16"/>
              </w:rPr>
              <w:t>M</w:t>
            </w:r>
            <w:r>
              <w:rPr>
                <w:rFonts w:ascii="Calibri" w:eastAsia="Times New Roman" w:hAnsi="Calibri" w:cs="Calibri"/>
                <w:sz w:val="16"/>
                <w:szCs w:val="16"/>
              </w:rPr>
              <w:t>F,</w:t>
            </w:r>
            <w:r w:rsidRPr="00D13B95">
              <w:rPr>
                <w:rFonts w:ascii="Calibri" w:eastAsia="Times New Roman" w:hAnsi="Calibri" w:cs="Calibri"/>
                <w:sz w:val="16"/>
                <w:szCs w:val="16"/>
              </w:rPr>
              <w:t xml:space="preserve"> </w:t>
            </w:r>
            <w:r w:rsidR="001E5764">
              <w:rPr>
                <w:rFonts w:ascii="Calibri" w:eastAsia="Times New Roman" w:hAnsi="Calibri" w:cs="Calibri"/>
                <w:sz w:val="16"/>
                <w:szCs w:val="16"/>
              </w:rPr>
              <w:t>în</w:t>
            </w:r>
            <w:r w:rsidRPr="00D13B95">
              <w:rPr>
                <w:rFonts w:ascii="Calibri" w:eastAsia="Times New Roman" w:hAnsi="Calibri" w:cs="Calibri"/>
                <w:sz w:val="16"/>
                <w:szCs w:val="16"/>
              </w:rPr>
              <w:t xml:space="preserve"> comun cu</w:t>
            </w:r>
            <w:r>
              <w:rPr>
                <w:rFonts w:ascii="Calibri" w:eastAsia="Times New Roman" w:hAnsi="Calibri" w:cs="Calibri"/>
                <w:sz w:val="16"/>
                <w:szCs w:val="16"/>
              </w:rPr>
              <w:t xml:space="preserve"> ME</w:t>
            </w:r>
            <w:r w:rsidRPr="00D13B95">
              <w:rPr>
                <w:rFonts w:ascii="Calibri" w:eastAsia="Times New Roman" w:hAnsi="Calibri" w:cs="Calibri"/>
                <w:sz w:val="16"/>
                <w:szCs w:val="16"/>
              </w:rPr>
              <w:t xml:space="preserve"> și </w:t>
            </w:r>
            <w:r>
              <w:rPr>
                <w:rFonts w:ascii="Calibri" w:eastAsia="Times New Roman" w:hAnsi="Calibri" w:cs="Calibri"/>
                <w:sz w:val="16"/>
                <w:szCs w:val="16"/>
              </w:rPr>
              <w:t>CC</w:t>
            </w:r>
            <w:r w:rsidR="001E5764">
              <w:rPr>
                <w:rFonts w:ascii="Calibri" w:eastAsia="Times New Roman" w:hAnsi="Calibri" w:cs="Calibri"/>
                <w:sz w:val="16"/>
                <w:szCs w:val="16"/>
              </w:rPr>
              <w:t>,</w:t>
            </w:r>
            <w:r>
              <w:rPr>
                <w:rFonts w:ascii="Calibri" w:eastAsia="Times New Roman" w:hAnsi="Calibri" w:cs="Calibri"/>
                <w:sz w:val="16"/>
                <w:szCs w:val="16"/>
              </w:rPr>
              <w:t xml:space="preserve"> s</w:t>
            </w:r>
            <w:r w:rsidRPr="00D13B95">
              <w:rPr>
                <w:rFonts w:ascii="Calibri" w:eastAsia="Times New Roman" w:hAnsi="Calibri" w:cs="Calibri"/>
                <w:sz w:val="16"/>
                <w:szCs w:val="16"/>
              </w:rPr>
              <w:t xml:space="preserve">ă revadă oportunitatea calificării facilităților fiscale și vamale care cad sub incidența ajutorului de stat. </w:t>
            </w:r>
          </w:p>
        </w:tc>
        <w:tc>
          <w:tcPr>
            <w:tcW w:w="4050" w:type="dxa"/>
          </w:tcPr>
          <w:p w:rsidR="00E40C87" w:rsidRPr="00D13B95" w:rsidRDefault="00E40C87" w:rsidP="00B724B8">
            <w:pPr>
              <w:jc w:val="both"/>
              <w:rPr>
                <w:rFonts w:ascii="Calibri" w:eastAsia="Times New Roman" w:hAnsi="Calibri" w:cs="Calibri"/>
                <w:sz w:val="16"/>
                <w:szCs w:val="16"/>
              </w:rPr>
            </w:pPr>
            <w:r>
              <w:rPr>
                <w:rFonts w:ascii="Calibri" w:eastAsia="Times New Roman" w:hAnsi="Calibri" w:cs="Calibri"/>
                <w:sz w:val="16"/>
                <w:szCs w:val="16"/>
              </w:rPr>
              <w:t>Deși până la data de 14.06.2022 Plenul CC a constatat 8 scheme de ajutor de stat oferite prin facilități fiscale, p</w:t>
            </w:r>
            <w:r w:rsidRPr="0083154F">
              <w:rPr>
                <w:rFonts w:ascii="Calibri" w:eastAsia="Times New Roman" w:hAnsi="Calibri" w:cs="Calibri"/>
                <w:sz w:val="16"/>
                <w:szCs w:val="16"/>
              </w:rPr>
              <w:t>otrivit observațiilor de audit</w:t>
            </w:r>
            <w:r w:rsidR="00F61DFB" w:rsidRPr="007A458D">
              <w:rPr>
                <w:rFonts w:ascii="Calibri" w:eastAsia="Times New Roman" w:hAnsi="Calibri" w:cs="Calibri"/>
                <w:sz w:val="16"/>
                <w:szCs w:val="16"/>
              </w:rPr>
              <w:t>,</w:t>
            </w:r>
            <w:r w:rsidRPr="007A458D">
              <w:rPr>
                <w:rFonts w:ascii="Calibri" w:eastAsia="Times New Roman" w:hAnsi="Calibri" w:cs="Calibri"/>
                <w:sz w:val="16"/>
                <w:szCs w:val="16"/>
              </w:rPr>
              <w:t xml:space="preserve"> CC  nu</w:t>
            </w:r>
            <w:r w:rsidRPr="0083154F">
              <w:rPr>
                <w:rFonts w:ascii="Calibri" w:eastAsia="Times New Roman" w:hAnsi="Calibri" w:cs="Calibri"/>
                <w:sz w:val="16"/>
                <w:szCs w:val="16"/>
              </w:rPr>
              <w:t xml:space="preserve"> a analizat și nu s-a expus</w:t>
            </w:r>
            <w:r>
              <w:rPr>
                <w:rFonts w:ascii="Calibri" w:eastAsia="Times New Roman" w:hAnsi="Calibri" w:cs="Calibri"/>
                <w:sz w:val="16"/>
                <w:szCs w:val="16"/>
              </w:rPr>
              <w:t xml:space="preserve"> </w:t>
            </w:r>
            <w:r w:rsidRPr="0083154F">
              <w:rPr>
                <w:rFonts w:ascii="Calibri" w:eastAsia="Times New Roman" w:hAnsi="Calibri" w:cs="Calibri"/>
                <w:sz w:val="16"/>
                <w:szCs w:val="16"/>
              </w:rPr>
              <w:t>asupra a</w:t>
            </w:r>
            <w:r>
              <w:rPr>
                <w:rFonts w:ascii="Calibri" w:eastAsia="Times New Roman" w:hAnsi="Calibri" w:cs="Calibri"/>
                <w:sz w:val="16"/>
                <w:szCs w:val="16"/>
              </w:rPr>
              <w:t>ltor</w:t>
            </w:r>
            <w:r w:rsidRPr="0083154F">
              <w:rPr>
                <w:rFonts w:ascii="Calibri" w:eastAsia="Times New Roman" w:hAnsi="Calibri" w:cs="Calibri"/>
                <w:sz w:val="16"/>
                <w:szCs w:val="16"/>
              </w:rPr>
              <w:t xml:space="preserve"> tipuri de facilități  fiscale  prin prisma corespunderii acestora schemelor ajutoarelor de stat.  </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810" w:type="dxa"/>
            <w:shd w:val="clear" w:color="auto" w:fill="F2F2F2" w:themeFill="background1" w:themeFillShade="F2"/>
          </w:tcPr>
          <w:p w:rsidR="00E40C87" w:rsidRPr="00C55E91" w:rsidRDefault="00E40C87" w:rsidP="00B724B8">
            <w:pPr>
              <w:jc w:val="center"/>
              <w:rPr>
                <w:rFonts w:ascii="Calibri" w:eastAsia="Times New Roman" w:hAnsi="Calibri" w:cs="Calibri"/>
                <w:sz w:val="16"/>
                <w:szCs w:val="16"/>
              </w:rPr>
            </w:pPr>
            <w:r w:rsidRPr="00C55E91">
              <w:rPr>
                <w:rFonts w:ascii="Calibri" w:eastAsia="Times New Roman" w:hAnsi="Calibri" w:cs="Calibri"/>
                <w:sz w:val="16"/>
                <w:szCs w:val="16"/>
              </w:rPr>
              <w:t>V</w:t>
            </w:r>
          </w:p>
          <w:p w:rsidR="00E40C87" w:rsidRPr="00C55E91" w:rsidRDefault="00E40C87" w:rsidP="00B724B8">
            <w:pPr>
              <w:jc w:val="center"/>
              <w:rPr>
                <w:rFonts w:ascii="Calibri" w:eastAsia="Times New Roman" w:hAnsi="Calibri" w:cs="Calibri"/>
                <w:sz w:val="14"/>
                <w:szCs w:val="14"/>
              </w:rPr>
            </w:pPr>
            <w:r w:rsidRPr="00C55E91">
              <w:rPr>
                <w:rFonts w:ascii="Calibri" w:eastAsia="Times New Roman" w:hAnsi="Calibri" w:cs="Calibri"/>
                <w:sz w:val="14"/>
                <w:szCs w:val="14"/>
              </w:rPr>
              <w:t>Problematica reiterată în subcapitolul nr.</w:t>
            </w:r>
            <w:r>
              <w:rPr>
                <w:rFonts w:ascii="Calibri" w:eastAsia="Times New Roman" w:hAnsi="Calibri" w:cs="Calibri"/>
                <w:sz w:val="14"/>
                <w:szCs w:val="14"/>
              </w:rPr>
              <w:t xml:space="preserve"> 4.1.7.</w:t>
            </w: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132"/>
        </w:trPr>
        <w:tc>
          <w:tcPr>
            <w:tcW w:w="9450" w:type="dxa"/>
            <w:gridSpan w:val="5"/>
          </w:tcPr>
          <w:p w:rsidR="00E40C87" w:rsidRPr="001D5D0B" w:rsidRDefault="00E40C87" w:rsidP="00B724B8">
            <w:pPr>
              <w:jc w:val="center"/>
              <w:rPr>
                <w:rFonts w:ascii="Calibri" w:eastAsia="Times New Roman" w:hAnsi="Calibri" w:cs="Calibri"/>
                <w:b/>
                <w:sz w:val="24"/>
                <w:szCs w:val="24"/>
              </w:rPr>
            </w:pPr>
            <w:r w:rsidRPr="001D5D0B">
              <w:rPr>
                <w:rFonts w:ascii="Calibri" w:eastAsia="Times New Roman" w:hAnsi="Calibri" w:cs="Calibri"/>
                <w:b/>
                <w:sz w:val="24"/>
                <w:szCs w:val="24"/>
              </w:rPr>
              <w:t>Ministerul Economiei</w:t>
            </w:r>
          </w:p>
        </w:tc>
      </w:tr>
      <w:tr w:rsidR="00E40C87" w:rsidRPr="00401691" w:rsidTr="007D6CDF">
        <w:trPr>
          <w:trHeight w:val="132"/>
        </w:trPr>
        <w:tc>
          <w:tcPr>
            <w:tcW w:w="2880" w:type="dxa"/>
          </w:tcPr>
          <w:p w:rsidR="00E40C87" w:rsidRDefault="00E40C87" w:rsidP="00B724B8">
            <w:pPr>
              <w:rPr>
                <w:rFonts w:ascii="Calibri" w:eastAsia="Times New Roman" w:hAnsi="Calibri" w:cs="Calibri"/>
                <w:b/>
                <w:i/>
                <w:sz w:val="16"/>
                <w:szCs w:val="16"/>
              </w:rPr>
            </w:pPr>
            <w:r>
              <w:rPr>
                <w:rFonts w:ascii="Calibri" w:eastAsia="Times New Roman" w:hAnsi="Calibri" w:cs="Calibri"/>
                <w:b/>
                <w:i/>
                <w:sz w:val="16"/>
                <w:szCs w:val="16"/>
              </w:rPr>
              <w:t>Recomandare</w:t>
            </w:r>
            <w:r w:rsidRPr="00D13B95">
              <w:rPr>
                <w:rFonts w:ascii="Calibri" w:eastAsia="Times New Roman" w:hAnsi="Calibri" w:cs="Calibri"/>
                <w:b/>
                <w:i/>
                <w:sz w:val="16"/>
                <w:szCs w:val="16"/>
              </w:rPr>
              <w:t xml:space="preserve"> </w:t>
            </w:r>
            <w:r>
              <w:rPr>
                <w:rFonts w:ascii="Calibri" w:eastAsia="Times New Roman" w:hAnsi="Calibri" w:cs="Calibri"/>
                <w:b/>
                <w:i/>
                <w:sz w:val="16"/>
                <w:szCs w:val="16"/>
              </w:rPr>
              <w:t>nr. 3:</w:t>
            </w:r>
          </w:p>
          <w:p w:rsidR="00E40C87" w:rsidRPr="00401691" w:rsidRDefault="00E40C87" w:rsidP="00B724B8">
            <w:pPr>
              <w:tabs>
                <w:tab w:val="left" w:pos="426"/>
                <w:tab w:val="left" w:pos="993"/>
              </w:tabs>
              <w:ind w:left="-18" w:right="-12"/>
              <w:contextualSpacing/>
              <w:jc w:val="both"/>
              <w:rPr>
                <w:rFonts w:asciiTheme="majorHAnsi" w:hAnsiTheme="majorHAnsi" w:cstheme="majorHAnsi"/>
                <w:sz w:val="20"/>
                <w:szCs w:val="20"/>
              </w:rPr>
            </w:pPr>
            <w:r>
              <w:rPr>
                <w:rFonts w:ascii="Calibri" w:eastAsia="Times New Roman" w:hAnsi="Calibri" w:cs="Calibri"/>
                <w:sz w:val="16"/>
                <w:szCs w:val="16"/>
              </w:rPr>
              <w:t>ME s</w:t>
            </w:r>
            <w:r w:rsidRPr="00D13B95">
              <w:rPr>
                <w:rFonts w:ascii="Calibri" w:eastAsia="Times New Roman" w:hAnsi="Calibri" w:cs="Calibri"/>
                <w:sz w:val="16"/>
                <w:szCs w:val="16"/>
              </w:rPr>
              <w:t>ă fortifice controlul și să analizeze activitățile zonelor economice libere asupra atingerii obiectivelor stabilite de cadrul legal.</w:t>
            </w:r>
          </w:p>
        </w:tc>
        <w:tc>
          <w:tcPr>
            <w:tcW w:w="4050" w:type="dxa"/>
          </w:tcPr>
          <w:p w:rsidR="00E40C87" w:rsidRPr="00401691" w:rsidRDefault="00E40C87" w:rsidP="00B724B8">
            <w:pPr>
              <w:ind w:left="-18" w:right="-12"/>
              <w:jc w:val="both"/>
              <w:rPr>
                <w:rFonts w:asciiTheme="majorHAnsi" w:hAnsiTheme="majorHAnsi" w:cstheme="majorHAnsi"/>
                <w:color w:val="3A3A3A"/>
                <w:sz w:val="20"/>
                <w:szCs w:val="20"/>
                <w:shd w:val="clear" w:color="auto" w:fill="FFFFFF"/>
              </w:rPr>
            </w:pPr>
            <w:r>
              <w:rPr>
                <w:rFonts w:ascii="Calibri" w:eastAsia="Times New Roman" w:hAnsi="Calibri" w:cs="Calibri"/>
                <w:sz w:val="16"/>
                <w:szCs w:val="16"/>
              </w:rPr>
              <w:t>Deși Ministerul a întreprins unele măsuri în vederea intensificării controlului activității ZEL, totuși</w:t>
            </w:r>
            <w:r w:rsidR="00F61DFB">
              <w:rPr>
                <w:rFonts w:ascii="Calibri" w:eastAsia="Times New Roman" w:hAnsi="Calibri" w:cs="Calibri"/>
                <w:sz w:val="16"/>
                <w:szCs w:val="16"/>
              </w:rPr>
              <w:t>,</w:t>
            </w:r>
            <w:r>
              <w:rPr>
                <w:rFonts w:ascii="Calibri" w:eastAsia="Times New Roman" w:hAnsi="Calibri" w:cs="Calibri"/>
                <w:sz w:val="16"/>
                <w:szCs w:val="16"/>
              </w:rPr>
              <w:t xml:space="preserve"> se </w:t>
            </w:r>
            <w:r w:rsidRPr="00BF6627">
              <w:rPr>
                <w:rFonts w:ascii="Calibri" w:eastAsia="Times New Roman" w:hAnsi="Calibri" w:cs="Calibri"/>
                <w:sz w:val="16"/>
                <w:szCs w:val="16"/>
              </w:rPr>
              <w:t>atestă o perpetuare a situației privind inactivitatea unor agenți economici care își desfășoară activitatea în zone</w:t>
            </w:r>
            <w:r>
              <w:rPr>
                <w:rFonts w:ascii="Calibri" w:eastAsia="Times New Roman" w:hAnsi="Calibri" w:cs="Calibri"/>
                <w:sz w:val="16"/>
                <w:szCs w:val="16"/>
              </w:rPr>
              <w:t xml:space="preserve"> (35% din numărul total al rezidenților), fiind necesară identificarea cauzelor care duc la acest fenomen.</w:t>
            </w:r>
          </w:p>
        </w:tc>
        <w:tc>
          <w:tcPr>
            <w:tcW w:w="81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c>
          <w:tcPr>
            <w:tcW w:w="810" w:type="dxa"/>
            <w:shd w:val="clear" w:color="auto" w:fill="F2F2F2" w:themeFill="background1" w:themeFillShade="F2"/>
          </w:tcPr>
          <w:p w:rsidR="00E40C87" w:rsidRPr="00C55E91" w:rsidRDefault="00E40C87" w:rsidP="00B724B8">
            <w:pPr>
              <w:jc w:val="center"/>
              <w:rPr>
                <w:rFonts w:ascii="Calibri" w:eastAsia="Times New Roman" w:hAnsi="Calibri" w:cs="Calibri"/>
                <w:sz w:val="16"/>
                <w:szCs w:val="16"/>
              </w:rPr>
            </w:pPr>
            <w:r w:rsidRPr="00C55E91">
              <w:rPr>
                <w:rFonts w:ascii="Calibri" w:eastAsia="Times New Roman" w:hAnsi="Calibri" w:cs="Calibri"/>
                <w:sz w:val="16"/>
                <w:szCs w:val="16"/>
              </w:rPr>
              <w:t>V</w:t>
            </w:r>
          </w:p>
          <w:p w:rsidR="00E40C87" w:rsidRPr="00C55E91" w:rsidRDefault="00E40C87" w:rsidP="00B724B8">
            <w:pPr>
              <w:jc w:val="center"/>
              <w:rPr>
                <w:rFonts w:ascii="Calibri" w:eastAsia="Times New Roman" w:hAnsi="Calibri" w:cs="Calibri"/>
                <w:sz w:val="14"/>
                <w:szCs w:val="14"/>
              </w:rPr>
            </w:pPr>
            <w:r w:rsidRPr="00C55E91">
              <w:rPr>
                <w:rFonts w:ascii="Calibri" w:eastAsia="Times New Roman" w:hAnsi="Calibri" w:cs="Calibri"/>
                <w:sz w:val="14"/>
                <w:szCs w:val="14"/>
              </w:rPr>
              <w:t>Problematica reiterată în subcapitolul nr.</w:t>
            </w:r>
            <w:r>
              <w:rPr>
                <w:rFonts w:ascii="Calibri" w:eastAsia="Times New Roman" w:hAnsi="Calibri" w:cs="Calibri"/>
                <w:sz w:val="14"/>
                <w:szCs w:val="14"/>
              </w:rPr>
              <w:t xml:space="preserve"> 4.2.5</w:t>
            </w:r>
            <w:r w:rsidRPr="00C55E91">
              <w:rPr>
                <w:rFonts w:ascii="Calibri" w:eastAsia="Times New Roman" w:hAnsi="Calibri" w:cs="Calibri"/>
                <w:sz w:val="14"/>
                <w:szCs w:val="14"/>
              </w:rPr>
              <w:t>.</w:t>
            </w:r>
          </w:p>
        </w:tc>
        <w:tc>
          <w:tcPr>
            <w:tcW w:w="900" w:type="dxa"/>
            <w:shd w:val="clear" w:color="auto" w:fill="F2F2F2" w:themeFill="background1" w:themeFillShade="F2"/>
          </w:tcPr>
          <w:p w:rsidR="00E40C87" w:rsidRPr="00401691" w:rsidRDefault="00E40C87" w:rsidP="00B724B8">
            <w:pPr>
              <w:jc w:val="center"/>
              <w:rPr>
                <w:rFonts w:asciiTheme="majorHAnsi" w:hAnsiTheme="majorHAnsi" w:cstheme="majorHAnsi"/>
                <w:sz w:val="20"/>
                <w:szCs w:val="20"/>
              </w:rPr>
            </w:pPr>
          </w:p>
        </w:tc>
      </w:tr>
      <w:tr w:rsidR="00E40C87" w:rsidRPr="00401691" w:rsidTr="007D6CDF">
        <w:trPr>
          <w:trHeight w:val="132"/>
        </w:trPr>
        <w:tc>
          <w:tcPr>
            <w:tcW w:w="9450" w:type="dxa"/>
            <w:gridSpan w:val="5"/>
            <w:shd w:val="clear" w:color="auto" w:fill="F2F2F2" w:themeFill="background1" w:themeFillShade="F2"/>
          </w:tcPr>
          <w:p w:rsidR="00E40C87" w:rsidRPr="00401691" w:rsidRDefault="00E40C87" w:rsidP="00B724B8">
            <w:pPr>
              <w:tabs>
                <w:tab w:val="left" w:pos="336"/>
                <w:tab w:val="left" w:pos="456"/>
              </w:tabs>
              <w:spacing w:before="120" w:after="120"/>
              <w:jc w:val="both"/>
              <w:rPr>
                <w:rFonts w:asciiTheme="majorHAnsi" w:eastAsia="Times New Roman" w:hAnsiTheme="majorHAnsi" w:cstheme="majorHAnsi"/>
                <w:iCs/>
                <w:color w:val="000000"/>
                <w:sz w:val="18"/>
                <w:szCs w:val="18"/>
              </w:rPr>
            </w:pPr>
            <w:r w:rsidRPr="00401691">
              <w:rPr>
                <w:rFonts w:asciiTheme="majorHAnsi" w:eastAsia="Times New Roman" w:hAnsiTheme="majorHAnsi" w:cstheme="majorHAnsi"/>
                <w:b/>
                <w:iCs/>
                <w:color w:val="000000"/>
                <w:sz w:val="18"/>
                <w:szCs w:val="18"/>
              </w:rPr>
              <w:t xml:space="preserve">Concluzie: </w:t>
            </w:r>
            <w:r>
              <w:rPr>
                <w:rFonts w:asciiTheme="majorHAnsi" w:eastAsia="Times New Roman" w:hAnsiTheme="majorHAnsi" w:cstheme="majorHAnsi"/>
                <w:iCs/>
                <w:color w:val="000000"/>
                <w:sz w:val="18"/>
                <w:szCs w:val="18"/>
              </w:rPr>
              <w:t xml:space="preserve">Fiind analizate acțiunile întreprinse de autoritățile statului implicate în întregul lanț de organizare și gestiune a sistemului de facilități fiscale, </w:t>
            </w:r>
            <w:r w:rsidRPr="00A643E6">
              <w:rPr>
                <w:rFonts w:asciiTheme="majorHAnsi" w:eastAsia="Times New Roman" w:hAnsiTheme="majorHAnsi" w:cstheme="majorHAnsi"/>
                <w:iCs/>
                <w:color w:val="000000"/>
                <w:sz w:val="18"/>
                <w:szCs w:val="18"/>
              </w:rPr>
              <w:t>rezumăm că</w:t>
            </w:r>
            <w:r w:rsidR="00F61DFB">
              <w:rPr>
                <w:rFonts w:asciiTheme="majorHAnsi" w:eastAsia="Times New Roman" w:hAnsiTheme="majorHAnsi" w:cstheme="majorHAnsi"/>
                <w:iCs/>
                <w:color w:val="000000"/>
                <w:sz w:val="18"/>
                <w:szCs w:val="18"/>
              </w:rPr>
              <w:t>,</w:t>
            </w:r>
            <w:r w:rsidRPr="00A643E6">
              <w:rPr>
                <w:rFonts w:asciiTheme="majorHAnsi" w:eastAsia="Times New Roman" w:hAnsiTheme="majorHAnsi" w:cstheme="majorHAnsi"/>
                <w:iCs/>
                <w:color w:val="000000"/>
                <w:sz w:val="18"/>
                <w:szCs w:val="18"/>
              </w:rPr>
              <w:t xml:space="preserve"> </w:t>
            </w:r>
            <w:r>
              <w:rPr>
                <w:rFonts w:asciiTheme="majorHAnsi" w:eastAsia="Times New Roman" w:hAnsiTheme="majorHAnsi" w:cstheme="majorHAnsi"/>
                <w:iCs/>
                <w:color w:val="000000"/>
                <w:sz w:val="18"/>
                <w:szCs w:val="18"/>
              </w:rPr>
              <w:t xml:space="preserve">din </w:t>
            </w:r>
            <w:r w:rsidRPr="00A643E6">
              <w:rPr>
                <w:rFonts w:asciiTheme="majorHAnsi" w:eastAsia="Times New Roman" w:hAnsiTheme="majorHAnsi" w:cstheme="majorHAnsi"/>
                <w:iCs/>
                <w:color w:val="000000"/>
                <w:sz w:val="18"/>
                <w:szCs w:val="18"/>
              </w:rPr>
              <w:t xml:space="preserve">cele </w:t>
            </w:r>
            <w:r>
              <w:rPr>
                <w:rFonts w:asciiTheme="majorHAnsi" w:eastAsia="Times New Roman" w:hAnsiTheme="majorHAnsi" w:cstheme="majorHAnsi"/>
                <w:iCs/>
                <w:color w:val="000000"/>
                <w:sz w:val="18"/>
                <w:szCs w:val="18"/>
              </w:rPr>
              <w:t>11 cerințe/</w:t>
            </w:r>
            <w:r w:rsidRPr="00A643E6">
              <w:rPr>
                <w:rFonts w:asciiTheme="majorHAnsi" w:eastAsia="Times New Roman" w:hAnsiTheme="majorHAnsi" w:cstheme="majorHAnsi"/>
                <w:iCs/>
                <w:color w:val="000000"/>
                <w:sz w:val="18"/>
                <w:szCs w:val="18"/>
              </w:rPr>
              <w:t>recomandări înaintate</w:t>
            </w:r>
            <w:r w:rsidR="00F61DFB">
              <w:rPr>
                <w:rFonts w:asciiTheme="majorHAnsi" w:eastAsia="Times New Roman" w:hAnsiTheme="majorHAnsi" w:cstheme="majorHAnsi"/>
                <w:iCs/>
                <w:color w:val="000000"/>
                <w:sz w:val="18"/>
                <w:szCs w:val="18"/>
              </w:rPr>
              <w:t>,</w:t>
            </w:r>
            <w:r w:rsidRPr="00A643E6">
              <w:rPr>
                <w:rFonts w:asciiTheme="majorHAnsi" w:eastAsia="Times New Roman" w:hAnsiTheme="majorHAnsi" w:cstheme="majorHAnsi"/>
                <w:iCs/>
                <w:color w:val="000000"/>
                <w:sz w:val="18"/>
                <w:szCs w:val="18"/>
              </w:rPr>
              <w:t xml:space="preserve"> au fost executate integral de către </w:t>
            </w:r>
            <w:r>
              <w:rPr>
                <w:rFonts w:asciiTheme="majorHAnsi" w:eastAsia="Times New Roman" w:hAnsiTheme="majorHAnsi" w:cstheme="majorHAnsi"/>
                <w:iCs/>
                <w:color w:val="000000"/>
                <w:sz w:val="18"/>
                <w:szCs w:val="18"/>
              </w:rPr>
              <w:t>autorități 3. La fel</w:t>
            </w:r>
            <w:r w:rsidR="00F61DFB">
              <w:rPr>
                <w:rFonts w:asciiTheme="majorHAnsi" w:eastAsia="Times New Roman" w:hAnsiTheme="majorHAnsi" w:cstheme="majorHAnsi"/>
                <w:iCs/>
                <w:color w:val="000000"/>
                <w:sz w:val="18"/>
                <w:szCs w:val="18"/>
              </w:rPr>
              <w:t>,</w:t>
            </w:r>
            <w:r>
              <w:rPr>
                <w:rFonts w:asciiTheme="majorHAnsi" w:eastAsia="Times New Roman" w:hAnsiTheme="majorHAnsi" w:cstheme="majorHAnsi"/>
                <w:iCs/>
                <w:color w:val="000000"/>
                <w:sz w:val="18"/>
                <w:szCs w:val="18"/>
              </w:rPr>
              <w:t xml:space="preserve"> 7 recomandări au fost parțial executate, </w:t>
            </w:r>
            <w:r w:rsidR="00F61DFB">
              <w:rPr>
                <w:rFonts w:asciiTheme="majorHAnsi" w:eastAsia="Times New Roman" w:hAnsiTheme="majorHAnsi" w:cstheme="majorHAnsi"/>
                <w:iCs/>
                <w:color w:val="000000"/>
                <w:sz w:val="18"/>
                <w:szCs w:val="18"/>
              </w:rPr>
              <w:t>iar</w:t>
            </w:r>
            <w:r>
              <w:rPr>
                <w:rFonts w:asciiTheme="majorHAnsi" w:eastAsia="Times New Roman" w:hAnsiTheme="majorHAnsi" w:cstheme="majorHAnsi"/>
                <w:iCs/>
                <w:color w:val="000000"/>
                <w:sz w:val="18"/>
                <w:szCs w:val="18"/>
              </w:rPr>
              <w:t xml:space="preserve"> una a rămas neexecutată. </w:t>
            </w:r>
            <w:r w:rsidRPr="00A643E6">
              <w:rPr>
                <w:rFonts w:asciiTheme="majorHAnsi" w:eastAsia="Times New Roman" w:hAnsiTheme="majorHAnsi" w:cstheme="majorHAnsi"/>
                <w:iCs/>
                <w:color w:val="000000"/>
                <w:sz w:val="18"/>
                <w:szCs w:val="18"/>
              </w:rPr>
              <w:t xml:space="preserve">Avându-se în vedere </w:t>
            </w:r>
            <w:r w:rsidR="00F61DFB">
              <w:rPr>
                <w:rFonts w:asciiTheme="majorHAnsi" w:eastAsia="Times New Roman" w:hAnsiTheme="majorHAnsi" w:cstheme="majorHAnsi"/>
                <w:iCs/>
                <w:color w:val="000000"/>
                <w:sz w:val="18"/>
                <w:szCs w:val="18"/>
              </w:rPr>
              <w:t xml:space="preserve">faptul </w:t>
            </w:r>
            <w:r w:rsidRPr="00A643E6">
              <w:rPr>
                <w:rFonts w:asciiTheme="majorHAnsi" w:eastAsia="Times New Roman" w:hAnsiTheme="majorHAnsi" w:cstheme="majorHAnsi"/>
                <w:iCs/>
                <w:color w:val="000000"/>
                <w:sz w:val="18"/>
                <w:szCs w:val="18"/>
              </w:rPr>
              <w:t>că în cadrul prezentei misiuni de audit au fost analizate și atestate deficiențe</w:t>
            </w:r>
            <w:r w:rsidR="00F61DFB">
              <w:rPr>
                <w:rFonts w:asciiTheme="majorHAnsi" w:eastAsia="Times New Roman" w:hAnsiTheme="majorHAnsi" w:cstheme="majorHAnsi"/>
                <w:iCs/>
                <w:color w:val="000000"/>
                <w:sz w:val="18"/>
                <w:szCs w:val="18"/>
              </w:rPr>
              <w:t>,</w:t>
            </w:r>
            <w:r w:rsidRPr="00A643E6">
              <w:rPr>
                <w:rFonts w:asciiTheme="majorHAnsi" w:eastAsia="Times New Roman" w:hAnsiTheme="majorHAnsi" w:cstheme="majorHAnsi"/>
                <w:iCs/>
                <w:color w:val="000000"/>
                <w:sz w:val="18"/>
                <w:szCs w:val="18"/>
              </w:rPr>
              <w:t xml:space="preserve"> care se perpetue</w:t>
            </w:r>
            <w:r w:rsidR="00936ECF">
              <w:rPr>
                <w:rFonts w:asciiTheme="majorHAnsi" w:eastAsia="Times New Roman" w:hAnsiTheme="majorHAnsi" w:cstheme="majorHAnsi"/>
                <w:iCs/>
                <w:color w:val="000000"/>
                <w:sz w:val="18"/>
                <w:szCs w:val="18"/>
              </w:rPr>
              <w:t>ază</w:t>
            </w:r>
            <w:r>
              <w:rPr>
                <w:rFonts w:asciiTheme="majorHAnsi" w:eastAsia="Times New Roman" w:hAnsiTheme="majorHAnsi" w:cstheme="majorHAnsi"/>
                <w:iCs/>
                <w:color w:val="000000"/>
                <w:sz w:val="18"/>
                <w:szCs w:val="18"/>
              </w:rPr>
              <w:t xml:space="preserve"> și </w:t>
            </w:r>
            <w:r w:rsidRPr="00A643E6">
              <w:rPr>
                <w:rFonts w:asciiTheme="majorHAnsi" w:eastAsia="Times New Roman" w:hAnsiTheme="majorHAnsi" w:cstheme="majorHAnsi"/>
                <w:iCs/>
                <w:color w:val="000000"/>
                <w:sz w:val="18"/>
                <w:szCs w:val="18"/>
              </w:rPr>
              <w:t>nu au fost remediate urmare recomandărilor înaintate</w:t>
            </w:r>
            <w:r>
              <w:rPr>
                <w:rFonts w:asciiTheme="majorHAnsi" w:eastAsia="Times New Roman" w:hAnsiTheme="majorHAnsi" w:cstheme="majorHAnsi"/>
                <w:iCs/>
                <w:color w:val="000000"/>
                <w:sz w:val="18"/>
                <w:szCs w:val="18"/>
              </w:rPr>
              <w:t xml:space="preserve">, </w:t>
            </w:r>
            <w:r w:rsidR="00F61DFB">
              <w:rPr>
                <w:rFonts w:asciiTheme="majorHAnsi" w:eastAsia="Times New Roman" w:hAnsiTheme="majorHAnsi" w:cstheme="majorHAnsi"/>
                <w:iCs/>
                <w:color w:val="000000"/>
                <w:sz w:val="18"/>
                <w:szCs w:val="18"/>
              </w:rPr>
              <w:t>s-</w:t>
            </w:r>
            <w:r>
              <w:rPr>
                <w:rFonts w:asciiTheme="majorHAnsi" w:eastAsia="Times New Roman" w:hAnsiTheme="majorHAnsi" w:cstheme="majorHAnsi"/>
                <w:iCs/>
                <w:color w:val="000000"/>
                <w:sz w:val="18"/>
                <w:szCs w:val="18"/>
              </w:rPr>
              <w:t>au</w:t>
            </w:r>
            <w:r w:rsidR="00F61DFB">
              <w:rPr>
                <w:rFonts w:asciiTheme="majorHAnsi" w:eastAsia="Times New Roman" w:hAnsiTheme="majorHAnsi" w:cstheme="majorHAnsi"/>
                <w:iCs/>
                <w:color w:val="000000"/>
                <w:sz w:val="18"/>
                <w:szCs w:val="18"/>
              </w:rPr>
              <w:t xml:space="preserve"> </w:t>
            </w:r>
            <w:r>
              <w:rPr>
                <w:rFonts w:asciiTheme="majorHAnsi" w:eastAsia="Times New Roman" w:hAnsiTheme="majorHAnsi" w:cstheme="majorHAnsi"/>
                <w:iCs/>
                <w:color w:val="000000"/>
                <w:sz w:val="18"/>
                <w:szCs w:val="18"/>
              </w:rPr>
              <w:t>analizat și reexaminat  problematicile</w:t>
            </w:r>
            <w:r w:rsidR="00F61DFB">
              <w:rPr>
                <w:rFonts w:asciiTheme="majorHAnsi" w:eastAsia="Times New Roman" w:hAnsiTheme="majorHAnsi" w:cstheme="majorHAnsi"/>
                <w:iCs/>
                <w:color w:val="000000"/>
                <w:sz w:val="18"/>
                <w:szCs w:val="18"/>
              </w:rPr>
              <w:t>,</w:t>
            </w:r>
            <w:r>
              <w:rPr>
                <w:rFonts w:asciiTheme="majorHAnsi" w:eastAsia="Times New Roman" w:hAnsiTheme="majorHAnsi" w:cstheme="majorHAnsi"/>
                <w:iCs/>
                <w:color w:val="000000"/>
                <w:sz w:val="18"/>
                <w:szCs w:val="18"/>
              </w:rPr>
              <w:t xml:space="preserve">  </w:t>
            </w:r>
            <w:r w:rsidRPr="00A643E6">
              <w:rPr>
                <w:rFonts w:asciiTheme="majorHAnsi" w:eastAsia="Times New Roman" w:hAnsiTheme="majorHAnsi" w:cstheme="majorHAnsi"/>
                <w:iCs/>
                <w:color w:val="000000"/>
                <w:sz w:val="18"/>
                <w:szCs w:val="18"/>
              </w:rPr>
              <w:t>fiind  înaintate entităților noi recomandări de audit</w:t>
            </w:r>
            <w:r w:rsidR="00F61DFB">
              <w:rPr>
                <w:rFonts w:asciiTheme="majorHAnsi" w:eastAsia="Times New Roman" w:hAnsiTheme="majorHAnsi" w:cstheme="majorHAnsi"/>
                <w:iCs/>
                <w:color w:val="000000"/>
                <w:sz w:val="18"/>
                <w:szCs w:val="18"/>
              </w:rPr>
              <w:t>,</w:t>
            </w:r>
            <w:r w:rsidRPr="00A643E6">
              <w:rPr>
                <w:rFonts w:asciiTheme="majorHAnsi" w:eastAsia="Times New Roman" w:hAnsiTheme="majorHAnsi" w:cstheme="majorHAnsi"/>
                <w:iCs/>
                <w:color w:val="000000"/>
                <w:sz w:val="18"/>
                <w:szCs w:val="18"/>
              </w:rPr>
              <w:t xml:space="preserve"> orientate spre remedierea acestor aspect</w:t>
            </w:r>
            <w:r>
              <w:rPr>
                <w:rFonts w:asciiTheme="majorHAnsi" w:eastAsia="Times New Roman" w:hAnsiTheme="majorHAnsi" w:cstheme="majorHAnsi"/>
                <w:iCs/>
                <w:color w:val="000000"/>
                <w:sz w:val="18"/>
                <w:szCs w:val="18"/>
              </w:rPr>
              <w:t>e deficitar</w:t>
            </w:r>
            <w:r w:rsidR="00F61DFB">
              <w:rPr>
                <w:rFonts w:asciiTheme="majorHAnsi" w:eastAsia="Times New Roman" w:hAnsiTheme="majorHAnsi" w:cstheme="majorHAnsi"/>
                <w:iCs/>
                <w:color w:val="000000"/>
                <w:sz w:val="18"/>
                <w:szCs w:val="18"/>
              </w:rPr>
              <w:t>e</w:t>
            </w:r>
            <w:r>
              <w:rPr>
                <w:rFonts w:asciiTheme="majorHAnsi" w:eastAsia="Times New Roman" w:hAnsiTheme="majorHAnsi" w:cstheme="majorHAnsi"/>
                <w:iCs/>
                <w:color w:val="000000"/>
                <w:sz w:val="18"/>
                <w:szCs w:val="18"/>
              </w:rPr>
              <w:t>. Reieșind din cele expuse</w:t>
            </w:r>
            <w:r w:rsidR="00F61DFB">
              <w:rPr>
                <w:rFonts w:asciiTheme="majorHAnsi" w:eastAsia="Times New Roman" w:hAnsiTheme="majorHAnsi" w:cstheme="majorHAnsi"/>
                <w:iCs/>
                <w:color w:val="000000"/>
                <w:sz w:val="18"/>
                <w:szCs w:val="18"/>
              </w:rPr>
              <w:t>,</w:t>
            </w:r>
            <w:r w:rsidRPr="00A643E6">
              <w:rPr>
                <w:rFonts w:asciiTheme="majorHAnsi" w:eastAsia="Times New Roman" w:hAnsiTheme="majorHAnsi" w:cstheme="majorHAnsi"/>
                <w:iCs/>
                <w:color w:val="000000"/>
                <w:sz w:val="18"/>
                <w:szCs w:val="18"/>
              </w:rPr>
              <w:t xml:space="preserve"> se exclud din regim de monitorizare </w:t>
            </w:r>
            <w:r>
              <w:rPr>
                <w:rFonts w:asciiTheme="majorHAnsi" w:eastAsia="Times New Roman" w:hAnsiTheme="majorHAnsi" w:cstheme="majorHAnsi"/>
                <w:iCs/>
                <w:color w:val="000000"/>
                <w:sz w:val="18"/>
                <w:szCs w:val="18"/>
              </w:rPr>
              <w:t>11 cerințe/</w:t>
            </w:r>
            <w:r w:rsidRPr="00A643E6">
              <w:rPr>
                <w:rFonts w:asciiTheme="majorHAnsi" w:eastAsia="Times New Roman" w:hAnsiTheme="majorHAnsi" w:cstheme="majorHAnsi"/>
                <w:iCs/>
                <w:color w:val="000000"/>
                <w:sz w:val="18"/>
                <w:szCs w:val="18"/>
              </w:rPr>
              <w:t>recomandări</w:t>
            </w:r>
            <w:r>
              <w:rPr>
                <w:rFonts w:asciiTheme="majorHAnsi" w:eastAsia="Times New Roman" w:hAnsiTheme="majorHAnsi" w:cstheme="majorHAnsi"/>
                <w:iCs/>
                <w:color w:val="000000"/>
                <w:sz w:val="18"/>
                <w:szCs w:val="18"/>
              </w:rPr>
              <w:t xml:space="preserve"> înaintate prin </w:t>
            </w:r>
            <w:r w:rsidRPr="00A643E6">
              <w:rPr>
                <w:rFonts w:asciiTheme="majorHAnsi" w:eastAsia="Times New Roman" w:hAnsiTheme="majorHAnsi" w:cstheme="majorHAnsi"/>
                <w:iCs/>
                <w:color w:val="000000"/>
                <w:sz w:val="18"/>
                <w:szCs w:val="18"/>
              </w:rPr>
              <w:t>Raportul  auditului de conformitate asociat auditului de performanță  al sistemului facilităților fiscale și vamale, aprobat prin Hotărârea Curții de Conturi  nr. 34  din  29.07.2016</w:t>
            </w:r>
            <w:r>
              <w:rPr>
                <w:rFonts w:asciiTheme="majorHAnsi" w:eastAsia="Times New Roman" w:hAnsiTheme="majorHAnsi" w:cstheme="majorHAnsi"/>
                <w:iCs/>
                <w:color w:val="000000"/>
                <w:sz w:val="18"/>
                <w:szCs w:val="18"/>
              </w:rPr>
              <w:t xml:space="preserve">.  </w:t>
            </w:r>
          </w:p>
        </w:tc>
      </w:tr>
    </w:tbl>
    <w:p w:rsidR="00E40C87" w:rsidRPr="001A52E5" w:rsidRDefault="00E40C87" w:rsidP="00E40C87"/>
    <w:p w:rsidR="00BA654B" w:rsidRPr="00CB5F81" w:rsidRDefault="00BA654B" w:rsidP="00BA654B">
      <w:pPr>
        <w:pStyle w:val="NormalWeb"/>
        <w:spacing w:after="120"/>
        <w:ind w:firstLine="0"/>
        <w:jc w:val="right"/>
        <w:rPr>
          <w:rFonts w:asciiTheme="majorHAnsi" w:eastAsia="Times New Roman" w:hAnsiTheme="majorHAnsi" w:cstheme="majorHAnsi"/>
          <w:b/>
          <w:bCs/>
          <w:lang w:val="ro-MD"/>
        </w:rPr>
      </w:pPr>
    </w:p>
    <w:sectPr w:rsidR="00BA654B" w:rsidRPr="00CB5F8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B9" w:rsidRDefault="00080CB9" w:rsidP="000823BD">
      <w:pPr>
        <w:spacing w:after="0" w:line="240" w:lineRule="auto"/>
      </w:pPr>
      <w:r>
        <w:separator/>
      </w:r>
    </w:p>
  </w:endnote>
  <w:endnote w:type="continuationSeparator" w:id="0">
    <w:p w:rsidR="00080CB9" w:rsidRDefault="00080CB9" w:rsidP="0008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684339"/>
      <w:docPartObj>
        <w:docPartGallery w:val="Page Numbers (Bottom of Page)"/>
        <w:docPartUnique/>
      </w:docPartObj>
    </w:sdtPr>
    <w:sdtEndPr>
      <w:rPr>
        <w:noProof/>
      </w:rPr>
    </w:sdtEndPr>
    <w:sdtContent>
      <w:p w:rsidR="008578F9" w:rsidRDefault="008578F9">
        <w:pPr>
          <w:pStyle w:val="Footer"/>
          <w:jc w:val="right"/>
        </w:pPr>
        <w:r>
          <w:fldChar w:fldCharType="begin"/>
        </w:r>
        <w:r>
          <w:instrText xml:space="preserve"> PAGE   \* MERGEFORMAT </w:instrText>
        </w:r>
        <w:r>
          <w:fldChar w:fldCharType="separate"/>
        </w:r>
        <w:r w:rsidR="008F6798">
          <w:rPr>
            <w:noProof/>
          </w:rPr>
          <w:t>21</w:t>
        </w:r>
        <w:r>
          <w:rPr>
            <w:noProof/>
          </w:rPr>
          <w:fldChar w:fldCharType="end"/>
        </w:r>
      </w:p>
    </w:sdtContent>
  </w:sdt>
  <w:p w:rsidR="008578F9" w:rsidRDefault="00857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F9" w:rsidRDefault="008578F9">
    <w:pPr>
      <w:pStyle w:val="Footer"/>
      <w:jc w:val="right"/>
    </w:pPr>
  </w:p>
  <w:p w:rsidR="008578F9" w:rsidRDefault="00857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6199"/>
      <w:docPartObj>
        <w:docPartGallery w:val="Page Numbers (Bottom of Page)"/>
        <w:docPartUnique/>
      </w:docPartObj>
    </w:sdtPr>
    <w:sdtEndPr>
      <w:rPr>
        <w:noProof/>
      </w:rPr>
    </w:sdtEndPr>
    <w:sdtContent>
      <w:p w:rsidR="008578F9" w:rsidRDefault="008578F9">
        <w:pPr>
          <w:pStyle w:val="Footer"/>
          <w:jc w:val="right"/>
        </w:pPr>
        <w:r>
          <w:fldChar w:fldCharType="begin"/>
        </w:r>
        <w:r>
          <w:instrText xml:space="preserve"> PAGE   \* MERGEFORMAT </w:instrText>
        </w:r>
        <w:r>
          <w:fldChar w:fldCharType="separate"/>
        </w:r>
        <w:r w:rsidR="008F6798">
          <w:rPr>
            <w:noProof/>
          </w:rPr>
          <w:t>35</w:t>
        </w:r>
        <w:r>
          <w:rPr>
            <w:noProof/>
          </w:rPr>
          <w:fldChar w:fldCharType="end"/>
        </w:r>
      </w:p>
    </w:sdtContent>
  </w:sdt>
  <w:p w:rsidR="008578F9" w:rsidRDefault="0085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B9" w:rsidRDefault="00080CB9" w:rsidP="000823BD">
      <w:pPr>
        <w:spacing w:after="0" w:line="240" w:lineRule="auto"/>
      </w:pPr>
      <w:r>
        <w:separator/>
      </w:r>
    </w:p>
  </w:footnote>
  <w:footnote w:type="continuationSeparator" w:id="0">
    <w:p w:rsidR="00080CB9" w:rsidRDefault="00080CB9" w:rsidP="000823BD">
      <w:pPr>
        <w:spacing w:after="0" w:line="240" w:lineRule="auto"/>
      </w:pPr>
      <w:r>
        <w:continuationSeparator/>
      </w:r>
    </w:p>
  </w:footnote>
  <w:footnote w:id="1">
    <w:p w:rsidR="008578F9" w:rsidRPr="009F5847" w:rsidRDefault="008578F9" w:rsidP="00415FB2">
      <w:pPr>
        <w:pStyle w:val="FootnoteText"/>
        <w:jc w:val="both"/>
        <w:rPr>
          <w:rFonts w:asciiTheme="majorHAnsi" w:hAnsiTheme="majorHAnsi" w:cstheme="majorHAnsi"/>
          <w:sz w:val="16"/>
          <w:szCs w:val="16"/>
          <w:lang w:val="ro-RO"/>
        </w:rPr>
      </w:pPr>
      <w:r w:rsidRPr="009F5847">
        <w:rPr>
          <w:rStyle w:val="FootnoteReference"/>
          <w:rFonts w:asciiTheme="majorHAnsi" w:hAnsiTheme="majorHAnsi"/>
          <w:sz w:val="16"/>
          <w:szCs w:val="16"/>
        </w:rPr>
        <w:footnoteRef/>
      </w:r>
      <w:r w:rsidRPr="009F5847">
        <w:rPr>
          <w:rFonts w:asciiTheme="majorHAnsi" w:hAnsiTheme="majorHAnsi"/>
          <w:sz w:val="16"/>
          <w:szCs w:val="16"/>
        </w:rPr>
        <w:t xml:space="preserve"> </w:t>
      </w:r>
      <w:r w:rsidRPr="009F5847">
        <w:rPr>
          <w:rFonts w:asciiTheme="majorHAnsi" w:hAnsiTheme="majorHAnsi" w:cstheme="majorHAnsi"/>
          <w:sz w:val="16"/>
          <w:szCs w:val="16"/>
        </w:rPr>
        <w:t>Programul activității de audit a Curții de Conturi pe anul 2022, aprobat prin Hotărârea Curții de Conturi nr.75 din 28.12.2021.</w:t>
      </w:r>
    </w:p>
  </w:footnote>
  <w:footnote w:id="2">
    <w:p w:rsidR="008578F9" w:rsidRPr="009F5847" w:rsidRDefault="008578F9" w:rsidP="00415FB2">
      <w:pPr>
        <w:pStyle w:val="FootnoteText"/>
        <w:jc w:val="both"/>
        <w:rPr>
          <w:rFonts w:asciiTheme="majorHAnsi" w:hAnsiTheme="majorHAnsi" w:cstheme="majorHAnsi"/>
          <w:sz w:val="16"/>
          <w:szCs w:val="16"/>
          <w:lang w:val="ro-RO"/>
        </w:rPr>
      </w:pPr>
      <w:r w:rsidRPr="009F5847">
        <w:rPr>
          <w:rStyle w:val="FootnoteReference"/>
          <w:rFonts w:asciiTheme="majorHAnsi" w:hAnsiTheme="majorHAnsi" w:cstheme="majorHAnsi"/>
          <w:sz w:val="16"/>
          <w:szCs w:val="16"/>
        </w:rPr>
        <w:footnoteRef/>
      </w:r>
      <w:r w:rsidRPr="009F5847">
        <w:rPr>
          <w:rFonts w:asciiTheme="majorHAnsi" w:hAnsiTheme="majorHAnsi" w:cstheme="majorHAnsi"/>
          <w:sz w:val="16"/>
          <w:szCs w:val="16"/>
        </w:rPr>
        <w:t xml:space="preserve"> Ministerul Economiei, MAIA etc.</w:t>
      </w:r>
    </w:p>
  </w:footnote>
  <w:footnote w:id="3">
    <w:p w:rsidR="008578F9" w:rsidRPr="0098547A" w:rsidRDefault="008578F9" w:rsidP="0098547A">
      <w:pPr>
        <w:pStyle w:val="NormalWeb"/>
        <w:ind w:firstLine="0"/>
        <w:rPr>
          <w:rFonts w:asciiTheme="minorHAnsi" w:hAnsiTheme="minorHAnsi" w:cstheme="minorHAnsi"/>
          <w:sz w:val="16"/>
          <w:szCs w:val="16"/>
          <w:lang w:val="ro-RO"/>
        </w:rPr>
      </w:pPr>
      <w:r w:rsidRPr="0098547A">
        <w:rPr>
          <w:rStyle w:val="FootnoteReference"/>
          <w:rFonts w:asciiTheme="minorHAnsi" w:hAnsiTheme="minorHAnsi" w:cstheme="minorHAnsi"/>
          <w:sz w:val="16"/>
          <w:szCs w:val="16"/>
        </w:rPr>
        <w:footnoteRef/>
      </w:r>
      <w:r w:rsidRPr="0098547A">
        <w:rPr>
          <w:rFonts w:asciiTheme="minorHAnsi" w:hAnsiTheme="minorHAnsi" w:cstheme="minorHAnsi"/>
          <w:sz w:val="16"/>
          <w:szCs w:val="16"/>
        </w:rPr>
        <w:t xml:space="preserve"> </w:t>
      </w:r>
      <w:r w:rsidRPr="005E3BE8">
        <w:rPr>
          <w:rFonts w:asciiTheme="minorHAnsi" w:hAnsiTheme="minorHAnsi" w:cstheme="minorHAnsi"/>
          <w:sz w:val="16"/>
          <w:szCs w:val="16"/>
          <w:lang w:val="ro-MD"/>
        </w:rPr>
        <w:t xml:space="preserve">Art.6 alin.(9) lit.g) din Codul fiscal, </w:t>
      </w:r>
      <w:hyperlink r:id="rId1" w:history="1">
        <w:r w:rsidRPr="005E3BE8">
          <w:rPr>
            <w:rStyle w:val="Hyperlink"/>
            <w:rFonts w:asciiTheme="minorHAnsi" w:hAnsiTheme="minorHAnsi" w:cstheme="minorHAnsi"/>
            <w:color w:val="auto"/>
            <w:sz w:val="16"/>
            <w:szCs w:val="16"/>
            <w:u w:val="none"/>
            <w:lang w:val="ro-MD"/>
          </w:rPr>
          <w:t>Legea nr.1163 din 24.04.1997</w:t>
        </w:r>
      </w:hyperlink>
      <w:r w:rsidRPr="005E3BE8">
        <w:rPr>
          <w:rFonts w:asciiTheme="minorHAnsi" w:hAnsiTheme="minorHAnsi" w:cstheme="minorHAnsi"/>
          <w:sz w:val="16"/>
          <w:szCs w:val="16"/>
          <w:lang w:val="ro-MD"/>
        </w:rPr>
        <w:t xml:space="preserve"> ( cu modificările ulterioare; în continuare – Codul fiscal).</w:t>
      </w:r>
    </w:p>
  </w:footnote>
  <w:footnote w:id="4">
    <w:p w:rsidR="008578F9" w:rsidRPr="0098547A" w:rsidRDefault="008578F9" w:rsidP="0098547A">
      <w:pPr>
        <w:pStyle w:val="FootnoteText"/>
        <w:jc w:val="both"/>
        <w:rPr>
          <w:rFonts w:cstheme="minorHAnsi"/>
          <w:sz w:val="16"/>
          <w:szCs w:val="16"/>
          <w:lang w:val="ro-RO"/>
        </w:rPr>
      </w:pPr>
      <w:r w:rsidRPr="0098547A">
        <w:rPr>
          <w:rStyle w:val="FootnoteReference"/>
          <w:rFonts w:cstheme="minorHAnsi"/>
          <w:sz w:val="16"/>
          <w:szCs w:val="16"/>
        </w:rPr>
        <w:footnoteRef/>
      </w:r>
      <w:r w:rsidRPr="0098547A">
        <w:rPr>
          <w:rFonts w:cstheme="minorHAnsi"/>
          <w:sz w:val="16"/>
          <w:szCs w:val="16"/>
        </w:rPr>
        <w:t xml:space="preserve"> </w:t>
      </w:r>
      <w:r w:rsidRPr="0098547A">
        <w:rPr>
          <w:rFonts w:eastAsia="Times New Roman" w:cstheme="minorHAnsi"/>
          <w:sz w:val="16"/>
          <w:szCs w:val="16"/>
        </w:rPr>
        <w:t>Legea nr. 288</w:t>
      </w:r>
      <w:r>
        <w:rPr>
          <w:rFonts w:eastAsia="Times New Roman" w:cstheme="minorHAnsi"/>
          <w:sz w:val="16"/>
          <w:szCs w:val="16"/>
        </w:rPr>
        <w:t xml:space="preserve"> </w:t>
      </w:r>
      <w:r w:rsidRPr="0098547A">
        <w:rPr>
          <w:rFonts w:eastAsia="Times New Roman" w:cstheme="minorHAnsi"/>
          <w:sz w:val="16"/>
          <w:szCs w:val="16"/>
        </w:rPr>
        <w:t>din</w:t>
      </w:r>
      <w:r>
        <w:rPr>
          <w:rFonts w:eastAsia="Times New Roman" w:cstheme="minorHAnsi"/>
          <w:sz w:val="16"/>
          <w:szCs w:val="16"/>
        </w:rPr>
        <w:t xml:space="preserve"> </w:t>
      </w:r>
      <w:r w:rsidRPr="0098547A">
        <w:rPr>
          <w:rFonts w:eastAsia="Times New Roman" w:cstheme="minorHAnsi"/>
          <w:sz w:val="16"/>
          <w:szCs w:val="16"/>
        </w:rPr>
        <w:t>15.12.2017 cu privire la modificarea și completarea unor acte legislative.</w:t>
      </w:r>
    </w:p>
  </w:footnote>
  <w:footnote w:id="5">
    <w:p w:rsidR="008578F9" w:rsidRPr="00F42B13" w:rsidRDefault="008578F9" w:rsidP="0098547A">
      <w:pPr>
        <w:pStyle w:val="FootnoteText"/>
        <w:jc w:val="both"/>
        <w:rPr>
          <w:sz w:val="16"/>
          <w:szCs w:val="16"/>
          <w:lang w:val="ro-RO"/>
        </w:rPr>
      </w:pPr>
      <w:r w:rsidRPr="0098547A">
        <w:rPr>
          <w:rStyle w:val="FootnoteReference"/>
          <w:rFonts w:cstheme="minorHAnsi"/>
          <w:sz w:val="16"/>
          <w:szCs w:val="16"/>
        </w:rPr>
        <w:footnoteRef/>
      </w:r>
      <w:r w:rsidRPr="0098547A">
        <w:rPr>
          <w:rFonts w:cstheme="minorHAnsi"/>
          <w:sz w:val="16"/>
          <w:szCs w:val="16"/>
        </w:rPr>
        <w:t xml:space="preserve"> </w:t>
      </w:r>
      <w:r w:rsidRPr="0098547A">
        <w:rPr>
          <w:rFonts w:eastAsia="Times New Roman" w:cstheme="minorHAnsi"/>
          <w:sz w:val="16"/>
          <w:szCs w:val="16"/>
        </w:rPr>
        <w:t xml:space="preserve">Specificate </w:t>
      </w:r>
      <w:r>
        <w:rPr>
          <w:rFonts w:eastAsia="Times New Roman" w:cstheme="minorHAnsi"/>
          <w:sz w:val="16"/>
          <w:szCs w:val="16"/>
        </w:rPr>
        <w:t>în</w:t>
      </w:r>
      <w:r w:rsidRPr="0098547A">
        <w:rPr>
          <w:rFonts w:eastAsia="Times New Roman" w:cstheme="minorHAnsi"/>
          <w:sz w:val="16"/>
          <w:szCs w:val="16"/>
        </w:rPr>
        <w:t xml:space="preserve"> art.33, </w:t>
      </w:r>
      <w:r>
        <w:rPr>
          <w:rFonts w:eastAsia="Times New Roman" w:cstheme="minorHAnsi"/>
          <w:sz w:val="16"/>
          <w:szCs w:val="16"/>
        </w:rPr>
        <w:t>art.</w:t>
      </w:r>
      <w:r w:rsidRPr="0098547A">
        <w:rPr>
          <w:rFonts w:eastAsia="Times New Roman" w:cstheme="minorHAnsi"/>
          <w:sz w:val="16"/>
          <w:szCs w:val="16"/>
        </w:rPr>
        <w:t xml:space="preserve">34 și </w:t>
      </w:r>
      <w:r>
        <w:rPr>
          <w:rFonts w:eastAsia="Times New Roman" w:cstheme="minorHAnsi"/>
          <w:sz w:val="16"/>
          <w:szCs w:val="16"/>
        </w:rPr>
        <w:t>art.</w:t>
      </w:r>
      <w:r w:rsidRPr="0098547A">
        <w:rPr>
          <w:rFonts w:eastAsia="Times New Roman" w:cstheme="minorHAnsi"/>
          <w:sz w:val="16"/>
          <w:szCs w:val="16"/>
        </w:rPr>
        <w:t>35 din Codul fiscal.</w:t>
      </w:r>
    </w:p>
  </w:footnote>
  <w:footnote w:id="6">
    <w:p w:rsidR="008578F9" w:rsidRPr="00847C32" w:rsidRDefault="008578F9" w:rsidP="006C6D95">
      <w:pPr>
        <w:pStyle w:val="FootnoteText"/>
        <w:rPr>
          <w:sz w:val="16"/>
          <w:szCs w:val="16"/>
        </w:rPr>
      </w:pPr>
      <w:r>
        <w:rPr>
          <w:rStyle w:val="FootnoteReference"/>
        </w:rPr>
        <w:footnoteRef/>
      </w:r>
      <w:r>
        <w:t xml:space="preserve"> </w:t>
      </w:r>
      <w:r w:rsidRPr="00847C32">
        <w:rPr>
          <w:sz w:val="16"/>
          <w:szCs w:val="16"/>
        </w:rPr>
        <w:t>Legea nr. 112  din  02.07.2014  pentru ratificarea Acordului de Asociere între Republica Moldova, pe de o parte, şi  Uniunea Europeană şi Comunitatea Europeană a Energiei Atomice şi statele membre ale acestora, pe de altă parte</w:t>
      </w:r>
      <w:r>
        <w:rPr>
          <w:sz w:val="16"/>
          <w:szCs w:val="16"/>
        </w:rPr>
        <w:t>.</w:t>
      </w:r>
    </w:p>
    <w:p w:rsidR="008578F9" w:rsidRDefault="008578F9" w:rsidP="006C6D95">
      <w:pPr>
        <w:pStyle w:val="FootnoteText"/>
      </w:pPr>
      <w:r>
        <w:t> </w:t>
      </w:r>
    </w:p>
    <w:p w:rsidR="008578F9" w:rsidRPr="006C6D95" w:rsidRDefault="008578F9" w:rsidP="006C6D95">
      <w:pPr>
        <w:pStyle w:val="FootnoteText"/>
        <w:rPr>
          <w:lang w:val="ro-RO"/>
        </w:rPr>
      </w:pPr>
    </w:p>
  </w:footnote>
  <w:footnote w:id="7">
    <w:p w:rsidR="008578F9" w:rsidRPr="009F51A2" w:rsidRDefault="008578F9" w:rsidP="00920F1F">
      <w:pPr>
        <w:pStyle w:val="FootnoteText"/>
        <w:jc w:val="both"/>
        <w:rPr>
          <w:rFonts w:asciiTheme="majorHAnsi" w:hAnsiTheme="majorHAnsi" w:cstheme="majorHAnsi"/>
          <w:sz w:val="16"/>
          <w:szCs w:val="16"/>
        </w:rPr>
      </w:pPr>
      <w:r w:rsidRPr="00AD043B">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9F51A2">
        <w:rPr>
          <w:rFonts w:asciiTheme="majorHAnsi" w:hAnsiTheme="majorHAnsi" w:cstheme="majorHAnsi"/>
          <w:sz w:val="16"/>
          <w:szCs w:val="16"/>
        </w:rPr>
        <w:t>Hotărârea Curții de Conturi nr.2 din 24.01.2020 „Cu privire la Cadrul Declarațiilor Profesionale ale INTOSAI”.</w:t>
      </w:r>
    </w:p>
  </w:footnote>
  <w:footnote w:id="8">
    <w:p w:rsidR="008578F9" w:rsidRPr="00044A5B" w:rsidRDefault="008578F9" w:rsidP="00CC7136">
      <w:pPr>
        <w:pStyle w:val="FootnoteText"/>
        <w:rPr>
          <w:rFonts w:asciiTheme="majorHAnsi" w:hAnsiTheme="majorHAnsi" w:cstheme="majorHAnsi"/>
          <w:sz w:val="18"/>
          <w:szCs w:val="18"/>
        </w:rPr>
      </w:pPr>
      <w:r w:rsidRPr="00E47E07">
        <w:rPr>
          <w:rStyle w:val="FootnoteReference"/>
          <w:rFonts w:cstheme="majorHAnsi"/>
          <w:sz w:val="16"/>
          <w:szCs w:val="16"/>
        </w:rPr>
        <w:footnoteRef/>
      </w:r>
      <w:r w:rsidRPr="00E47E07">
        <w:rPr>
          <w:rFonts w:asciiTheme="majorHAnsi" w:hAnsiTheme="majorHAnsi" w:cstheme="majorHAnsi"/>
          <w:sz w:val="16"/>
          <w:szCs w:val="16"/>
        </w:rPr>
        <w:t xml:space="preserve"> </w:t>
      </w:r>
      <w:r w:rsidRPr="00E47E07">
        <w:rPr>
          <w:rFonts w:asciiTheme="majorHAnsi" w:eastAsia="Times New Roman" w:hAnsiTheme="majorHAnsi" w:cstheme="majorHAnsi"/>
          <w:sz w:val="16"/>
          <w:szCs w:val="16"/>
          <w:lang w:val="ro-RO"/>
        </w:rPr>
        <w:t>Hotărârea Curții de Conturi nr.19 din 05.04.2019 „Cu privire la aprobarea Codului etic al Curții de Conturi”.</w:t>
      </w:r>
      <w:r w:rsidRPr="00044A5B">
        <w:rPr>
          <w:rFonts w:asciiTheme="majorHAnsi" w:eastAsia="Times New Roman" w:hAnsiTheme="majorHAnsi" w:cstheme="majorHAnsi"/>
          <w:sz w:val="18"/>
          <w:szCs w:val="18"/>
          <w:lang w:val="ro-RO"/>
        </w:rPr>
        <w:t xml:space="preserve"> </w:t>
      </w:r>
    </w:p>
  </w:footnote>
  <w:footnote w:id="9">
    <w:p w:rsidR="008578F9" w:rsidRPr="00C2339C" w:rsidRDefault="008578F9" w:rsidP="00C2339C">
      <w:pPr>
        <w:pStyle w:val="FootnoteText"/>
        <w:jc w:val="both"/>
        <w:rPr>
          <w:rFonts w:cstheme="minorHAnsi"/>
          <w:sz w:val="16"/>
          <w:szCs w:val="16"/>
          <w:lang w:val="ro-RO"/>
        </w:rPr>
      </w:pPr>
      <w:r>
        <w:rPr>
          <w:rFonts w:cstheme="minorHAnsi"/>
          <w:sz w:val="16"/>
          <w:szCs w:val="16"/>
        </w:rPr>
        <w:t xml:space="preserve">  </w:t>
      </w:r>
      <w:r w:rsidRPr="00C2339C">
        <w:rPr>
          <w:rStyle w:val="FootnoteReference"/>
          <w:rFonts w:cstheme="minorHAnsi"/>
          <w:sz w:val="16"/>
          <w:szCs w:val="16"/>
        </w:rPr>
        <w:footnoteRef/>
      </w:r>
      <w:r w:rsidRPr="00C2339C">
        <w:rPr>
          <w:rFonts w:cstheme="minorHAnsi"/>
          <w:sz w:val="16"/>
          <w:szCs w:val="16"/>
        </w:rPr>
        <w:t xml:space="preserve"> </w:t>
      </w:r>
      <w:r w:rsidRPr="00C2339C">
        <w:rPr>
          <w:rFonts w:cstheme="minorHAnsi"/>
          <w:sz w:val="16"/>
          <w:szCs w:val="16"/>
          <w:lang w:val="ro-RO"/>
        </w:rPr>
        <w:t>Legea</w:t>
      </w:r>
      <w:r>
        <w:rPr>
          <w:rFonts w:cstheme="minorHAnsi"/>
          <w:sz w:val="16"/>
          <w:szCs w:val="16"/>
          <w:lang w:val="ro-RO"/>
        </w:rPr>
        <w:t xml:space="preserve"> </w:t>
      </w:r>
      <w:r w:rsidRPr="00C2339C">
        <w:rPr>
          <w:rFonts w:cstheme="minorHAnsi"/>
          <w:sz w:val="16"/>
          <w:szCs w:val="16"/>
          <w:lang w:val="ro-RO"/>
        </w:rPr>
        <w:t>finanțelor publice și responsabilității bugetar-fiscale nr. 181</w:t>
      </w:r>
      <w:r>
        <w:rPr>
          <w:rFonts w:cstheme="minorHAnsi"/>
          <w:sz w:val="16"/>
          <w:szCs w:val="16"/>
          <w:lang w:val="ro-RO"/>
        </w:rPr>
        <w:t xml:space="preserve"> </w:t>
      </w:r>
      <w:r w:rsidRPr="00C2339C">
        <w:rPr>
          <w:rFonts w:cstheme="minorHAnsi"/>
          <w:sz w:val="16"/>
          <w:szCs w:val="16"/>
          <w:lang w:val="ro-RO"/>
        </w:rPr>
        <w:t>din</w:t>
      </w:r>
      <w:r>
        <w:rPr>
          <w:rFonts w:cstheme="minorHAnsi"/>
          <w:sz w:val="16"/>
          <w:szCs w:val="16"/>
          <w:lang w:val="ro-RO"/>
        </w:rPr>
        <w:t xml:space="preserve"> </w:t>
      </w:r>
      <w:r w:rsidRPr="00C2339C">
        <w:rPr>
          <w:rFonts w:cstheme="minorHAnsi"/>
          <w:sz w:val="16"/>
          <w:szCs w:val="16"/>
          <w:lang w:val="ro-RO"/>
        </w:rPr>
        <w:t>25.07.2014 ( În continuare</w:t>
      </w:r>
      <w:r>
        <w:rPr>
          <w:rFonts w:cstheme="minorHAnsi"/>
          <w:sz w:val="16"/>
          <w:szCs w:val="16"/>
          <w:lang w:val="ro-RO"/>
        </w:rPr>
        <w:t xml:space="preserve"> </w:t>
      </w:r>
      <w:r w:rsidRPr="00C2339C">
        <w:rPr>
          <w:rFonts w:cstheme="minorHAnsi"/>
          <w:sz w:val="16"/>
          <w:szCs w:val="16"/>
          <w:lang w:val="ro-RO"/>
        </w:rPr>
        <w:t>-</w:t>
      </w:r>
      <w:r>
        <w:rPr>
          <w:rFonts w:cstheme="minorHAnsi"/>
          <w:sz w:val="16"/>
          <w:szCs w:val="16"/>
          <w:lang w:val="ro-RO"/>
        </w:rPr>
        <w:t xml:space="preserve"> </w:t>
      </w:r>
      <w:r w:rsidRPr="00C2339C">
        <w:rPr>
          <w:rFonts w:eastAsia="Times New Roman" w:cstheme="minorHAnsi"/>
          <w:sz w:val="16"/>
          <w:szCs w:val="16"/>
        </w:rPr>
        <w:t xml:space="preserve">Legea </w:t>
      </w:r>
      <w:r>
        <w:rPr>
          <w:rFonts w:eastAsia="Times New Roman" w:cstheme="minorHAnsi"/>
          <w:sz w:val="16"/>
          <w:szCs w:val="16"/>
        </w:rPr>
        <w:t>nr.</w:t>
      </w:r>
      <w:r w:rsidRPr="00C2339C">
        <w:rPr>
          <w:rFonts w:eastAsia="Times New Roman" w:cstheme="minorHAnsi"/>
          <w:sz w:val="16"/>
          <w:szCs w:val="16"/>
        </w:rPr>
        <w:t>181/2014).</w:t>
      </w:r>
    </w:p>
  </w:footnote>
  <w:footnote w:id="10">
    <w:p w:rsidR="008578F9" w:rsidRPr="00C2339C" w:rsidRDefault="008578F9" w:rsidP="00C2339C">
      <w:pPr>
        <w:pStyle w:val="FootnoteText"/>
        <w:jc w:val="both"/>
        <w:rPr>
          <w:rFonts w:cstheme="minorHAnsi"/>
          <w:sz w:val="16"/>
          <w:szCs w:val="16"/>
          <w:lang w:val="en-US"/>
        </w:rPr>
      </w:pPr>
      <w:r w:rsidRPr="00C2339C">
        <w:rPr>
          <w:rStyle w:val="FootnoteReference"/>
          <w:rFonts w:cstheme="minorHAnsi"/>
          <w:sz w:val="16"/>
          <w:szCs w:val="16"/>
        </w:rPr>
        <w:footnoteRef/>
      </w:r>
      <w:r w:rsidRPr="00C2339C">
        <w:rPr>
          <w:rFonts w:cstheme="minorHAnsi"/>
          <w:sz w:val="16"/>
          <w:szCs w:val="16"/>
        </w:rPr>
        <w:t xml:space="preserve"> Legea cu privire la ajutorul de stat nr. 139</w:t>
      </w:r>
      <w:r>
        <w:rPr>
          <w:rFonts w:cstheme="minorHAnsi"/>
          <w:sz w:val="16"/>
          <w:szCs w:val="16"/>
        </w:rPr>
        <w:t xml:space="preserve"> </w:t>
      </w:r>
      <w:r w:rsidRPr="00C2339C">
        <w:rPr>
          <w:rFonts w:cstheme="minorHAnsi"/>
          <w:sz w:val="16"/>
          <w:szCs w:val="16"/>
        </w:rPr>
        <w:t>din</w:t>
      </w:r>
      <w:r>
        <w:rPr>
          <w:rFonts w:cstheme="minorHAnsi"/>
          <w:sz w:val="16"/>
          <w:szCs w:val="16"/>
        </w:rPr>
        <w:t xml:space="preserve"> </w:t>
      </w:r>
      <w:r w:rsidRPr="00C2339C">
        <w:rPr>
          <w:rFonts w:cstheme="minorHAnsi"/>
          <w:sz w:val="16"/>
          <w:szCs w:val="16"/>
        </w:rPr>
        <w:t xml:space="preserve">15.06.2012. </w:t>
      </w:r>
    </w:p>
  </w:footnote>
  <w:footnote w:id="11">
    <w:p w:rsidR="008578F9" w:rsidRPr="00C2339C" w:rsidRDefault="008578F9" w:rsidP="00C2339C">
      <w:pPr>
        <w:pStyle w:val="FootnoteText"/>
        <w:jc w:val="both"/>
        <w:rPr>
          <w:rFonts w:cstheme="minorHAnsi"/>
          <w:sz w:val="16"/>
          <w:szCs w:val="16"/>
          <w:lang w:val="ro-RO"/>
        </w:rPr>
      </w:pPr>
      <w:r w:rsidRPr="00C2339C">
        <w:rPr>
          <w:rStyle w:val="FootnoteReference"/>
          <w:rFonts w:cstheme="minorHAnsi"/>
          <w:sz w:val="16"/>
          <w:szCs w:val="16"/>
        </w:rPr>
        <w:footnoteRef/>
      </w:r>
      <w:r w:rsidRPr="00C2339C">
        <w:rPr>
          <w:rFonts w:cstheme="minorHAnsi"/>
          <w:bCs/>
          <w:sz w:val="16"/>
          <w:szCs w:val="16"/>
          <w:lang w:val="ro-RO"/>
        </w:rPr>
        <w:t>Recomandarea nr.1 înaintată Ministerului Finanțelor conform</w:t>
      </w:r>
      <w:r>
        <w:rPr>
          <w:rFonts w:cstheme="minorHAnsi"/>
          <w:bCs/>
          <w:sz w:val="16"/>
          <w:szCs w:val="16"/>
          <w:lang w:val="ro-RO"/>
        </w:rPr>
        <w:t xml:space="preserve"> </w:t>
      </w:r>
      <w:r w:rsidRPr="00C2339C">
        <w:rPr>
          <w:rFonts w:cstheme="minorHAnsi"/>
          <w:bCs/>
          <w:sz w:val="16"/>
          <w:szCs w:val="16"/>
          <w:lang w:val="ro-RO"/>
        </w:rPr>
        <w:t>Raportului</w:t>
      </w:r>
      <w:r>
        <w:rPr>
          <w:rFonts w:cstheme="minorHAnsi"/>
          <w:bCs/>
          <w:sz w:val="16"/>
          <w:szCs w:val="16"/>
          <w:lang w:val="ro-RO"/>
        </w:rPr>
        <w:t xml:space="preserve"> </w:t>
      </w:r>
      <w:r w:rsidRPr="00C2339C">
        <w:rPr>
          <w:rFonts w:cstheme="minorHAnsi"/>
          <w:bCs/>
          <w:sz w:val="16"/>
          <w:szCs w:val="16"/>
          <w:lang w:val="ro-RO"/>
        </w:rPr>
        <w:t>auditului de conformitate asociat auditului de performanț</w:t>
      </w:r>
      <w:r>
        <w:rPr>
          <w:rFonts w:cstheme="minorHAnsi"/>
          <w:bCs/>
          <w:sz w:val="16"/>
          <w:szCs w:val="16"/>
          <w:lang w:val="ro-RO"/>
        </w:rPr>
        <w:t>ă</w:t>
      </w:r>
      <w:r w:rsidRPr="00C2339C">
        <w:rPr>
          <w:rFonts w:cstheme="minorHAnsi"/>
          <w:bCs/>
          <w:sz w:val="16"/>
          <w:szCs w:val="16"/>
          <w:lang w:val="ro-RO"/>
        </w:rPr>
        <w:t xml:space="preserve"> al sistemului facilităților fiscale și vamale, aprobat prin Hotărârea Curții de Conturi nr. 34</w:t>
      </w:r>
      <w:r>
        <w:rPr>
          <w:rFonts w:cstheme="minorHAnsi"/>
          <w:bCs/>
          <w:sz w:val="16"/>
          <w:szCs w:val="16"/>
          <w:lang w:val="ro-RO"/>
        </w:rPr>
        <w:t xml:space="preserve"> </w:t>
      </w:r>
      <w:r w:rsidRPr="00C2339C">
        <w:rPr>
          <w:rFonts w:cstheme="minorHAnsi"/>
          <w:bCs/>
          <w:sz w:val="16"/>
          <w:szCs w:val="16"/>
          <w:lang w:val="ro-RO"/>
        </w:rPr>
        <w:t>din</w:t>
      </w:r>
      <w:r>
        <w:rPr>
          <w:rFonts w:cstheme="minorHAnsi"/>
          <w:sz w:val="16"/>
          <w:szCs w:val="16"/>
        </w:rPr>
        <w:t xml:space="preserve"> </w:t>
      </w:r>
      <w:r w:rsidRPr="00C2339C">
        <w:rPr>
          <w:rFonts w:cstheme="minorHAnsi"/>
          <w:sz w:val="16"/>
          <w:szCs w:val="16"/>
        </w:rPr>
        <w:t>29.07.2016.</w:t>
      </w:r>
    </w:p>
  </w:footnote>
  <w:footnote w:id="12">
    <w:p w:rsidR="008578F9" w:rsidRPr="00C72D9E" w:rsidRDefault="008578F9" w:rsidP="00C2339C">
      <w:pPr>
        <w:pStyle w:val="FootnoteText"/>
        <w:jc w:val="both"/>
        <w:rPr>
          <w:sz w:val="16"/>
          <w:szCs w:val="16"/>
          <w:lang w:val="ro-RO"/>
        </w:rPr>
      </w:pPr>
      <w:r w:rsidRPr="00C2339C">
        <w:rPr>
          <w:rStyle w:val="FootnoteReference"/>
          <w:rFonts w:cstheme="minorHAnsi"/>
          <w:sz w:val="16"/>
          <w:szCs w:val="16"/>
        </w:rPr>
        <w:footnoteRef/>
      </w:r>
      <w:r w:rsidRPr="00C2339C">
        <w:rPr>
          <w:rFonts w:cstheme="minorHAnsi"/>
          <w:sz w:val="16"/>
          <w:szCs w:val="16"/>
        </w:rPr>
        <w:t xml:space="preserve"> </w:t>
      </w:r>
      <w:r w:rsidRPr="00C2339C">
        <w:rPr>
          <w:rFonts w:cstheme="minorHAnsi"/>
          <w:sz w:val="16"/>
          <w:szCs w:val="16"/>
          <w:lang w:val="ro-RO"/>
        </w:rPr>
        <w:t xml:space="preserve">Recomandare de politică publică </w:t>
      </w:r>
      <w:r>
        <w:rPr>
          <w:rFonts w:cstheme="minorHAnsi"/>
          <w:sz w:val="16"/>
          <w:szCs w:val="16"/>
          <w:lang w:val="ro-RO"/>
        </w:rPr>
        <w:t>„</w:t>
      </w:r>
      <w:r w:rsidRPr="00C2339C">
        <w:rPr>
          <w:rFonts w:cstheme="minorHAnsi"/>
          <w:sz w:val="16"/>
          <w:szCs w:val="16"/>
          <w:lang w:val="ro-RO"/>
        </w:rPr>
        <w:t>Facilitățile fiscale</w:t>
      </w:r>
      <w:r>
        <w:rPr>
          <w:rFonts w:cstheme="minorHAnsi"/>
          <w:sz w:val="16"/>
          <w:szCs w:val="16"/>
          <w:lang w:val="ro-RO"/>
        </w:rPr>
        <w:t xml:space="preserve"> </w:t>
      </w:r>
      <w:r w:rsidRPr="00C2339C">
        <w:rPr>
          <w:rFonts w:cstheme="minorHAnsi"/>
          <w:sz w:val="16"/>
          <w:szCs w:val="16"/>
          <w:lang w:val="ro-RO"/>
        </w:rPr>
        <w:t>în Republica Moldova și impactul lor asupra bugetului public național</w:t>
      </w:r>
      <w:r>
        <w:rPr>
          <w:rFonts w:cstheme="minorHAnsi"/>
          <w:sz w:val="16"/>
          <w:szCs w:val="16"/>
          <w:lang w:val="ro-RO"/>
        </w:rPr>
        <w:t>”</w:t>
      </w:r>
      <w:r w:rsidRPr="00C2339C">
        <w:rPr>
          <w:rFonts w:cstheme="minorHAnsi"/>
          <w:sz w:val="16"/>
          <w:szCs w:val="16"/>
          <w:lang w:val="ro-RO"/>
        </w:rPr>
        <w:t>, elaborată de Institutul pentru Dezvoltare și Inițiative Sociale Viitorul" în anul 2021.</w:t>
      </w:r>
      <w:r w:rsidRPr="00C72D9E">
        <w:rPr>
          <w:sz w:val="16"/>
          <w:szCs w:val="16"/>
          <w:lang w:val="ro-RO"/>
        </w:rPr>
        <w:t xml:space="preserve"> </w:t>
      </w:r>
    </w:p>
  </w:footnote>
  <w:footnote w:id="13">
    <w:p w:rsidR="008578F9" w:rsidRPr="00C62E7D" w:rsidRDefault="008578F9" w:rsidP="00A2105C">
      <w:pPr>
        <w:pStyle w:val="FootnoteText"/>
        <w:jc w:val="both"/>
        <w:rPr>
          <w:rFonts w:cstheme="minorHAnsi"/>
          <w:sz w:val="16"/>
          <w:szCs w:val="16"/>
          <w:lang w:val="ro-RO"/>
        </w:rPr>
      </w:pPr>
      <w:r w:rsidRPr="00C62E7D">
        <w:rPr>
          <w:rStyle w:val="FootnoteReference"/>
          <w:rFonts w:cstheme="minorHAnsi"/>
          <w:sz w:val="16"/>
          <w:szCs w:val="16"/>
        </w:rPr>
        <w:footnoteRef/>
      </w:r>
      <w:r w:rsidRPr="00C62E7D">
        <w:rPr>
          <w:rFonts w:cstheme="minorHAnsi"/>
          <w:sz w:val="16"/>
          <w:szCs w:val="16"/>
        </w:rPr>
        <w:t xml:space="preserve"> </w:t>
      </w:r>
      <w:r w:rsidRPr="00C62E7D">
        <w:rPr>
          <w:rFonts w:cstheme="minorHAnsi"/>
          <w:bCs/>
          <w:sz w:val="16"/>
          <w:szCs w:val="16"/>
          <w:lang w:val="ro-RO"/>
        </w:rPr>
        <w:t>Raportul</w:t>
      </w:r>
      <w:r>
        <w:rPr>
          <w:rFonts w:cstheme="minorHAnsi"/>
          <w:bCs/>
          <w:sz w:val="16"/>
          <w:szCs w:val="16"/>
          <w:lang w:val="ro-RO"/>
        </w:rPr>
        <w:t xml:space="preserve"> </w:t>
      </w:r>
      <w:r w:rsidRPr="00C62E7D">
        <w:rPr>
          <w:rFonts w:cstheme="minorHAnsi"/>
          <w:bCs/>
          <w:sz w:val="16"/>
          <w:szCs w:val="16"/>
          <w:lang w:val="ro-RO"/>
        </w:rPr>
        <w:t>auditului de conformitate asociat auditului de performanț</w:t>
      </w:r>
      <w:r>
        <w:rPr>
          <w:rFonts w:cstheme="minorHAnsi"/>
          <w:bCs/>
          <w:sz w:val="16"/>
          <w:szCs w:val="16"/>
          <w:lang w:val="ro-RO"/>
        </w:rPr>
        <w:t>ă</w:t>
      </w:r>
      <w:r w:rsidRPr="00C62E7D">
        <w:rPr>
          <w:rFonts w:cstheme="minorHAnsi"/>
          <w:bCs/>
          <w:sz w:val="16"/>
          <w:szCs w:val="16"/>
          <w:lang w:val="ro-RO"/>
        </w:rPr>
        <w:t xml:space="preserve"> al sistemului facilităților fiscale și vamale, aprobat prin Hotărârea Curții de Conturi nr. 34</w:t>
      </w:r>
      <w:r>
        <w:rPr>
          <w:rFonts w:cstheme="minorHAnsi"/>
          <w:bCs/>
          <w:sz w:val="16"/>
          <w:szCs w:val="16"/>
          <w:lang w:val="ro-RO"/>
        </w:rPr>
        <w:t xml:space="preserve"> </w:t>
      </w:r>
      <w:r w:rsidRPr="00C62E7D">
        <w:rPr>
          <w:rFonts w:cstheme="minorHAnsi"/>
          <w:bCs/>
          <w:sz w:val="16"/>
          <w:szCs w:val="16"/>
          <w:lang w:val="ro-RO"/>
        </w:rPr>
        <w:t>din</w:t>
      </w:r>
      <w:r>
        <w:rPr>
          <w:rFonts w:cstheme="minorHAnsi"/>
          <w:sz w:val="16"/>
          <w:szCs w:val="16"/>
        </w:rPr>
        <w:t xml:space="preserve"> </w:t>
      </w:r>
      <w:r w:rsidRPr="00C62E7D">
        <w:rPr>
          <w:rFonts w:cstheme="minorHAnsi"/>
          <w:sz w:val="16"/>
          <w:szCs w:val="16"/>
        </w:rPr>
        <w:t>29.07.2016.</w:t>
      </w:r>
    </w:p>
  </w:footnote>
  <w:footnote w:id="14">
    <w:p w:rsidR="008578F9" w:rsidRPr="002221EA" w:rsidRDefault="008578F9" w:rsidP="00A2105C">
      <w:pPr>
        <w:pStyle w:val="FootnoteText"/>
        <w:jc w:val="both"/>
        <w:rPr>
          <w:rFonts w:asciiTheme="majorHAnsi" w:hAnsiTheme="majorHAnsi" w:cstheme="majorHAnsi"/>
          <w:sz w:val="16"/>
          <w:szCs w:val="16"/>
          <w:lang w:val="ro-RO"/>
        </w:rPr>
      </w:pPr>
      <w:r w:rsidRPr="00C62E7D">
        <w:rPr>
          <w:rStyle w:val="FootnoteReference"/>
          <w:rFonts w:cstheme="minorHAnsi"/>
          <w:sz w:val="16"/>
          <w:szCs w:val="16"/>
        </w:rPr>
        <w:footnoteRef/>
      </w:r>
      <w:r w:rsidRPr="00C62E7D">
        <w:rPr>
          <w:rFonts w:cstheme="minorHAnsi"/>
          <w:sz w:val="16"/>
          <w:szCs w:val="16"/>
        </w:rPr>
        <w:t xml:space="preserve"> Ordinul Ministerului Finanțelor nr</w:t>
      </w:r>
      <w:r>
        <w:rPr>
          <w:rFonts w:cstheme="minorHAnsi"/>
          <w:sz w:val="16"/>
          <w:szCs w:val="16"/>
        </w:rPr>
        <w:t>.</w:t>
      </w:r>
      <w:r w:rsidRPr="00C62E7D">
        <w:rPr>
          <w:rFonts w:cstheme="minorHAnsi"/>
          <w:sz w:val="16"/>
          <w:szCs w:val="16"/>
        </w:rPr>
        <w:t xml:space="preserve"> 45 din 15.02.2018 „Cu privire la aprobarea Registrului</w:t>
      </w:r>
      <w:r>
        <w:rPr>
          <w:rFonts w:cstheme="minorHAnsi"/>
          <w:sz w:val="16"/>
          <w:szCs w:val="16"/>
        </w:rPr>
        <w:t xml:space="preserve"> </w:t>
      </w:r>
      <w:r w:rsidRPr="00C62E7D">
        <w:rPr>
          <w:rFonts w:cstheme="minorHAnsi"/>
          <w:sz w:val="16"/>
          <w:szCs w:val="16"/>
        </w:rPr>
        <w:t>unic al facilităților fiscale si vamale”</w:t>
      </w:r>
      <w:r>
        <w:rPr>
          <w:rFonts w:cstheme="minorHAnsi"/>
          <w:sz w:val="16"/>
          <w:szCs w:val="16"/>
        </w:rPr>
        <w:t>.</w:t>
      </w:r>
    </w:p>
  </w:footnote>
  <w:footnote w:id="15">
    <w:p w:rsidR="008578F9" w:rsidRPr="00370422" w:rsidRDefault="008578F9">
      <w:pPr>
        <w:pStyle w:val="FootnoteText"/>
        <w:rPr>
          <w:sz w:val="16"/>
          <w:szCs w:val="16"/>
          <w:lang w:val="ro-RO"/>
        </w:rPr>
      </w:pPr>
      <w:r>
        <w:rPr>
          <w:rStyle w:val="FootnoteReference"/>
        </w:rPr>
        <w:footnoteRef/>
      </w:r>
      <w:r>
        <w:t xml:space="preserve"> </w:t>
      </w:r>
      <w:r w:rsidRPr="00370422">
        <w:rPr>
          <w:sz w:val="16"/>
          <w:szCs w:val="16"/>
          <w:lang w:val="ro-RO"/>
        </w:rPr>
        <w:t>Scrisoarea SFS nr.26-07/2-14/14499 din 10.03.2022.</w:t>
      </w:r>
    </w:p>
  </w:footnote>
  <w:footnote w:id="16">
    <w:p w:rsidR="008578F9" w:rsidRPr="00370422" w:rsidRDefault="008578F9">
      <w:pPr>
        <w:pStyle w:val="FootnoteText"/>
        <w:rPr>
          <w:sz w:val="16"/>
          <w:szCs w:val="16"/>
          <w:lang w:val="ro-RO"/>
        </w:rPr>
      </w:pPr>
      <w:r w:rsidRPr="00370422">
        <w:rPr>
          <w:rStyle w:val="FootnoteReference"/>
          <w:sz w:val="16"/>
          <w:szCs w:val="16"/>
        </w:rPr>
        <w:footnoteRef/>
      </w:r>
      <w:r w:rsidRPr="00370422">
        <w:rPr>
          <w:sz w:val="16"/>
          <w:szCs w:val="16"/>
        </w:rPr>
        <w:t xml:space="preserve"> </w:t>
      </w:r>
      <w:r w:rsidRPr="00370422">
        <w:rPr>
          <w:sz w:val="16"/>
          <w:szCs w:val="16"/>
          <w:lang w:val="ro-RO"/>
        </w:rPr>
        <w:t>Ace</w:t>
      </w:r>
      <w:r>
        <w:rPr>
          <w:sz w:val="16"/>
          <w:szCs w:val="16"/>
          <w:lang w:val="ro-RO"/>
        </w:rPr>
        <w:t>a</w:t>
      </w:r>
      <w:r w:rsidRPr="00370422">
        <w:rPr>
          <w:sz w:val="16"/>
          <w:szCs w:val="16"/>
          <w:lang w:val="ro-RO"/>
        </w:rPr>
        <w:t>stă abordare a fost reiterată în cadrul comunicării verbale între auditori și responsabilii SFS.</w:t>
      </w:r>
    </w:p>
  </w:footnote>
  <w:footnote w:id="17">
    <w:p w:rsidR="008578F9" w:rsidRPr="00370422" w:rsidRDefault="008578F9" w:rsidP="00002CB4">
      <w:pPr>
        <w:pStyle w:val="FootnoteText"/>
        <w:jc w:val="both"/>
        <w:rPr>
          <w:rFonts w:cstheme="majorHAnsi"/>
          <w:sz w:val="16"/>
          <w:szCs w:val="16"/>
          <w:lang w:val="en-US"/>
        </w:rPr>
      </w:pPr>
      <w:r w:rsidRPr="00370422">
        <w:rPr>
          <w:rStyle w:val="FootnoteReference"/>
          <w:rFonts w:cstheme="majorHAnsi"/>
          <w:sz w:val="16"/>
          <w:szCs w:val="16"/>
        </w:rPr>
        <w:footnoteRef/>
      </w:r>
      <w:r w:rsidRPr="00370422">
        <w:rPr>
          <w:rFonts w:cstheme="majorHAnsi"/>
          <w:sz w:val="16"/>
          <w:szCs w:val="16"/>
          <w:lang w:val="en-US"/>
        </w:rPr>
        <w:t xml:space="preserve"> </w:t>
      </w:r>
      <w:r w:rsidRPr="00370422">
        <w:rPr>
          <w:rFonts w:cstheme="majorHAnsi"/>
          <w:sz w:val="16"/>
          <w:szCs w:val="16"/>
        </w:rPr>
        <w:t>Valoarea cumulativă a livrărilor de mărfuri și servicii scutite de TVA fără drept de deducere din anul 2020</w:t>
      </w:r>
      <w:r>
        <w:rPr>
          <w:rFonts w:cstheme="majorHAnsi"/>
          <w:sz w:val="16"/>
          <w:szCs w:val="16"/>
        </w:rPr>
        <w:t>,</w:t>
      </w:r>
      <w:r w:rsidRPr="00370422">
        <w:rPr>
          <w:rFonts w:cstheme="majorHAnsi"/>
          <w:sz w:val="16"/>
          <w:szCs w:val="16"/>
        </w:rPr>
        <w:t xml:space="preserve"> reflectată în boxa 6 din Formularul TVA12, înmulțită la 16,67%.</w:t>
      </w:r>
    </w:p>
  </w:footnote>
  <w:footnote w:id="18">
    <w:p w:rsidR="008578F9" w:rsidRPr="00370422" w:rsidRDefault="008578F9">
      <w:pPr>
        <w:pStyle w:val="FootnoteText"/>
        <w:rPr>
          <w:sz w:val="16"/>
          <w:szCs w:val="16"/>
          <w:lang w:val="ro-RO"/>
        </w:rPr>
      </w:pPr>
      <w:r w:rsidRPr="00370422">
        <w:rPr>
          <w:rStyle w:val="FootnoteReference"/>
          <w:sz w:val="16"/>
          <w:szCs w:val="16"/>
        </w:rPr>
        <w:footnoteRef/>
      </w:r>
      <w:r w:rsidRPr="00370422">
        <w:rPr>
          <w:sz w:val="16"/>
          <w:szCs w:val="16"/>
        </w:rPr>
        <w:t xml:space="preserve"> </w:t>
      </w:r>
      <w:r w:rsidRPr="00370422">
        <w:rPr>
          <w:sz w:val="16"/>
          <w:szCs w:val="16"/>
          <w:lang w:val="ro-RO"/>
        </w:rPr>
        <w:t xml:space="preserve"> Scopul acestor recalcule de audit a avut ca țintă elucidarea faptului dacă SFS aplică același raționament în calcule față de toți contribuabilii care beneficiază de această scutire.</w:t>
      </w:r>
    </w:p>
  </w:footnote>
  <w:footnote w:id="19">
    <w:p w:rsidR="008578F9" w:rsidRPr="00370422" w:rsidRDefault="008578F9">
      <w:pPr>
        <w:pStyle w:val="FootnoteText"/>
        <w:rPr>
          <w:sz w:val="16"/>
          <w:szCs w:val="16"/>
          <w:lang w:val="ro-RO"/>
        </w:rPr>
      </w:pPr>
      <w:r w:rsidRPr="00370422">
        <w:rPr>
          <w:rStyle w:val="FootnoteReference"/>
          <w:sz w:val="16"/>
          <w:szCs w:val="16"/>
        </w:rPr>
        <w:footnoteRef/>
      </w:r>
      <w:r w:rsidRPr="00370422">
        <w:rPr>
          <w:sz w:val="16"/>
          <w:szCs w:val="16"/>
        </w:rPr>
        <w:t xml:space="preserve"> </w:t>
      </w:r>
      <w:r>
        <w:rPr>
          <w:sz w:val="16"/>
          <w:szCs w:val="16"/>
        </w:rPr>
        <w:t>Scrisoarea SFS nr.26-07/2-14/4/3075 din 30.06.2022.</w:t>
      </w:r>
    </w:p>
  </w:footnote>
  <w:footnote w:id="20">
    <w:p w:rsidR="008578F9" w:rsidRPr="00D05E06" w:rsidRDefault="008578F9" w:rsidP="00002CB4">
      <w:pPr>
        <w:pStyle w:val="FootnoteText"/>
        <w:jc w:val="both"/>
        <w:rPr>
          <w:rFonts w:cstheme="majorHAnsi"/>
          <w:sz w:val="16"/>
          <w:szCs w:val="16"/>
          <w:lang w:val="en-US"/>
        </w:rPr>
      </w:pPr>
      <w:r w:rsidRPr="00CC60F9">
        <w:rPr>
          <w:rStyle w:val="FootnoteReference"/>
          <w:rFonts w:cstheme="majorHAnsi"/>
          <w:sz w:val="16"/>
          <w:szCs w:val="16"/>
        </w:rPr>
        <w:footnoteRef/>
      </w:r>
      <w:r w:rsidRPr="00CC60F9">
        <w:rPr>
          <w:rFonts w:cstheme="majorHAnsi"/>
          <w:sz w:val="16"/>
          <w:szCs w:val="16"/>
        </w:rPr>
        <w:t xml:space="preserve"> </w:t>
      </w:r>
      <w:r w:rsidRPr="00D05E06">
        <w:rPr>
          <w:rFonts w:cstheme="majorHAnsi"/>
          <w:sz w:val="16"/>
          <w:szCs w:val="16"/>
        </w:rPr>
        <w:t>Autoturismele şi alte autovehicule scutite (de la pozițiile tarifare 870321, 870322, 870323, 870324, 870331, 870332, 870333, 870340, 870350000, 870360, 870370000, 870380, 9705), scuterele cu motor electric (de la poziția tarifară 871160900).</w:t>
      </w:r>
    </w:p>
  </w:footnote>
  <w:footnote w:id="21">
    <w:p w:rsidR="008578F9" w:rsidRPr="00D05E06" w:rsidRDefault="008578F9" w:rsidP="00002CB4">
      <w:pPr>
        <w:pStyle w:val="FootnoteText"/>
        <w:jc w:val="both"/>
        <w:rPr>
          <w:rFonts w:cstheme="minorHAnsi"/>
          <w:sz w:val="16"/>
          <w:szCs w:val="16"/>
          <w:lang w:val="ro-RO"/>
        </w:rPr>
      </w:pPr>
      <w:r w:rsidRPr="00D05E06">
        <w:rPr>
          <w:rStyle w:val="FootnoteReference"/>
          <w:rFonts w:cstheme="minorHAnsi"/>
          <w:sz w:val="16"/>
          <w:szCs w:val="16"/>
        </w:rPr>
        <w:footnoteRef/>
      </w:r>
      <w:r w:rsidRPr="00D05E06">
        <w:rPr>
          <w:rFonts w:cstheme="minorHAnsi"/>
          <w:sz w:val="16"/>
          <w:szCs w:val="16"/>
        </w:rPr>
        <w:t xml:space="preserve"> </w:t>
      </w:r>
      <w:r w:rsidRPr="00D05E06">
        <w:rPr>
          <w:rFonts w:eastAsiaTheme="minorEastAsia" w:cstheme="minorHAnsi"/>
          <w:sz w:val="16"/>
          <w:szCs w:val="16"/>
          <w:lang w:eastAsia="ru-RU"/>
        </w:rPr>
        <w:t>Art. 103 alin.(1) pct.13) din Codul fiscal.</w:t>
      </w:r>
    </w:p>
  </w:footnote>
  <w:footnote w:id="22">
    <w:p w:rsidR="008578F9" w:rsidRPr="00D05E06" w:rsidRDefault="008578F9" w:rsidP="00C62E7D">
      <w:pPr>
        <w:pStyle w:val="FootnoteText"/>
        <w:jc w:val="both"/>
        <w:rPr>
          <w:rFonts w:cstheme="minorHAnsi"/>
          <w:sz w:val="16"/>
          <w:szCs w:val="16"/>
          <w:lang w:val="ro-RO"/>
        </w:rPr>
      </w:pPr>
      <w:r w:rsidRPr="00D05E06">
        <w:rPr>
          <w:rStyle w:val="FootnoteReference"/>
          <w:rFonts w:cstheme="minorHAnsi"/>
          <w:sz w:val="16"/>
          <w:szCs w:val="16"/>
        </w:rPr>
        <w:footnoteRef/>
      </w:r>
      <w:r w:rsidRPr="00D05E06">
        <w:rPr>
          <w:rFonts w:cstheme="minorHAnsi"/>
          <w:sz w:val="16"/>
          <w:szCs w:val="16"/>
        </w:rPr>
        <w:t xml:space="preserve"> </w:t>
      </w:r>
      <w:r w:rsidRPr="00D05E06">
        <w:rPr>
          <w:rFonts w:cstheme="minorHAnsi"/>
          <w:sz w:val="16"/>
          <w:szCs w:val="16"/>
          <w:lang w:val="ro-RO"/>
        </w:rPr>
        <w:t xml:space="preserve">Suma indicată reprezintă valoarea actualizată prezentată suplimentar echipei de audit, pe când Ministerului Finanțelor i-a fost raportată suma de 361,3 mil.lei. </w:t>
      </w:r>
    </w:p>
  </w:footnote>
  <w:footnote w:id="23">
    <w:p w:rsidR="008578F9" w:rsidRPr="00C62E7D" w:rsidRDefault="008578F9" w:rsidP="00C62E7D">
      <w:pPr>
        <w:pStyle w:val="FootnoteText"/>
        <w:jc w:val="both"/>
        <w:rPr>
          <w:sz w:val="16"/>
          <w:szCs w:val="16"/>
          <w:lang w:val="en-US"/>
        </w:rPr>
      </w:pPr>
      <w:r w:rsidRPr="00C62E7D">
        <w:rPr>
          <w:rStyle w:val="FootnoteReference"/>
          <w:sz w:val="16"/>
          <w:szCs w:val="16"/>
        </w:rPr>
        <w:footnoteRef/>
      </w:r>
      <w:r w:rsidRPr="00C62E7D">
        <w:rPr>
          <w:sz w:val="16"/>
          <w:szCs w:val="16"/>
          <w:lang w:val="en-US"/>
        </w:rPr>
        <w:t xml:space="preserve"> </w:t>
      </w:r>
      <w:r w:rsidRPr="00C62E7D">
        <w:rPr>
          <w:rFonts w:cstheme="minorHAnsi"/>
          <w:sz w:val="16"/>
          <w:szCs w:val="16"/>
        </w:rPr>
        <w:t>Cod atribuit conform Nomenclatorului codurilor aferent facilităților la impozitul pe venit</w:t>
      </w:r>
      <w:r>
        <w:rPr>
          <w:rFonts w:cstheme="minorHAnsi"/>
          <w:sz w:val="16"/>
          <w:szCs w:val="16"/>
        </w:rPr>
        <w:t>,</w:t>
      </w:r>
      <w:r w:rsidRPr="00C62E7D">
        <w:rPr>
          <w:rFonts w:cstheme="minorHAnsi"/>
          <w:sz w:val="16"/>
          <w:szCs w:val="16"/>
        </w:rPr>
        <w:t xml:space="preserve"> aprobat prin </w:t>
      </w:r>
      <w:r w:rsidRPr="007B162D">
        <w:rPr>
          <w:rFonts w:cstheme="minorHAnsi"/>
          <w:sz w:val="16"/>
          <w:szCs w:val="16"/>
        </w:rPr>
        <w:t>Ordinul IFPS nr</w:t>
      </w:r>
      <w:r w:rsidRPr="00C62E7D">
        <w:rPr>
          <w:rFonts w:cstheme="minorHAnsi"/>
          <w:sz w:val="16"/>
          <w:szCs w:val="16"/>
        </w:rPr>
        <w:t>.1080 din 10 octombrie 2012.</w:t>
      </w:r>
      <w:r>
        <w:rPr>
          <w:rFonts w:cstheme="minorHAnsi"/>
          <w:sz w:val="16"/>
          <w:szCs w:val="16"/>
        </w:rPr>
        <w:t xml:space="preserve"> </w:t>
      </w:r>
    </w:p>
  </w:footnote>
  <w:footnote w:id="24">
    <w:p w:rsidR="008578F9" w:rsidRPr="00C62E7D" w:rsidRDefault="008578F9" w:rsidP="00C62E7D">
      <w:pPr>
        <w:pStyle w:val="FootnoteText"/>
        <w:jc w:val="both"/>
        <w:rPr>
          <w:sz w:val="16"/>
          <w:szCs w:val="16"/>
          <w:lang w:val="en-US"/>
        </w:rPr>
      </w:pPr>
      <w:r w:rsidRPr="00C62E7D">
        <w:rPr>
          <w:rStyle w:val="FootnoteReference"/>
          <w:sz w:val="16"/>
          <w:szCs w:val="16"/>
        </w:rPr>
        <w:footnoteRef/>
      </w:r>
      <w:r w:rsidRPr="00C62E7D">
        <w:rPr>
          <w:sz w:val="16"/>
          <w:szCs w:val="16"/>
          <w:lang w:val="en-US"/>
        </w:rPr>
        <w:t xml:space="preserve"> </w:t>
      </w:r>
      <w:r w:rsidRPr="00C62E7D">
        <w:rPr>
          <w:rFonts w:cstheme="minorHAnsi"/>
          <w:sz w:val="16"/>
          <w:szCs w:val="16"/>
        </w:rPr>
        <w:t>Ordinul MF nr. 153 din 22 decembrie 2017 privind aprobarea formularului tipizat al Declarației cu privire la impozitul pe venit pentru agenții economici (modificat prin Ordinul MF nr.162 din 26 septembrie 2018).</w:t>
      </w:r>
    </w:p>
  </w:footnote>
  <w:footnote w:id="25">
    <w:p w:rsidR="008578F9" w:rsidRPr="004B7B26" w:rsidRDefault="008578F9" w:rsidP="00C62E7D">
      <w:pPr>
        <w:pStyle w:val="FootnoteText"/>
        <w:jc w:val="both"/>
        <w:rPr>
          <w:lang w:val="en-US"/>
        </w:rPr>
      </w:pPr>
      <w:r w:rsidRPr="00C62E7D">
        <w:rPr>
          <w:rStyle w:val="FootnoteReference"/>
          <w:sz w:val="16"/>
          <w:szCs w:val="16"/>
        </w:rPr>
        <w:footnoteRef/>
      </w:r>
      <w:r w:rsidRPr="00C62E7D">
        <w:rPr>
          <w:sz w:val="16"/>
          <w:szCs w:val="16"/>
          <w:lang w:val="en-US"/>
        </w:rPr>
        <w:t xml:space="preserve"> </w:t>
      </w:r>
      <w:r w:rsidRPr="00C62E7D">
        <w:rPr>
          <w:rFonts w:cstheme="minorHAnsi"/>
          <w:sz w:val="16"/>
          <w:szCs w:val="16"/>
          <w:lang w:val="en-US"/>
        </w:rPr>
        <w:t>A</w:t>
      </w:r>
      <w:r w:rsidRPr="00C62E7D">
        <w:rPr>
          <w:rFonts w:cstheme="minorHAnsi"/>
          <w:sz w:val="16"/>
          <w:szCs w:val="16"/>
        </w:rPr>
        <w:t>probat prin Ordinul IFPS nr.1080 din 10 octombrie 2012 (cu modificările și completările ulterioare).</w:t>
      </w:r>
    </w:p>
  </w:footnote>
  <w:footnote w:id="26">
    <w:p w:rsidR="008578F9" w:rsidRPr="00C62E7D" w:rsidRDefault="008578F9" w:rsidP="00FD1349">
      <w:pPr>
        <w:pStyle w:val="FootnoteText"/>
        <w:jc w:val="both"/>
        <w:rPr>
          <w:sz w:val="16"/>
          <w:szCs w:val="16"/>
          <w:lang w:val="ro-RO"/>
        </w:rPr>
      </w:pPr>
      <w:r w:rsidRPr="00C62E7D">
        <w:rPr>
          <w:rStyle w:val="FootnoteReference"/>
          <w:sz w:val="16"/>
          <w:szCs w:val="16"/>
        </w:rPr>
        <w:footnoteRef/>
      </w:r>
      <w:r w:rsidRPr="00C62E7D">
        <w:rPr>
          <w:sz w:val="16"/>
          <w:szCs w:val="16"/>
        </w:rPr>
        <w:t xml:space="preserve"> Instituții care nu au prezentat Formularul </w:t>
      </w:r>
      <w:r w:rsidRPr="00405A66">
        <w:rPr>
          <w:sz w:val="16"/>
          <w:szCs w:val="16"/>
        </w:rPr>
        <w:t>VEN12: IP Liceul „Da Vinci”, Liceul „Columna”, Liceul Teoretic „Gaudeamus”, toate din mun. Chișinău, etc. și instituții care nu au indicat suma impozitului pe venit: Universitatea de Stat „Alecu Russo” din Bălți, Gimnaziul „M. Eminescu” din st. Ulmu, r-nul Ialoveni, Gimnaziul „Ustia” din st. Ustia, r-nul Dubăsari etc.</w:t>
      </w:r>
      <w:r>
        <w:rPr>
          <w:sz w:val="16"/>
          <w:szCs w:val="16"/>
        </w:rPr>
        <w:t xml:space="preserve"> </w:t>
      </w:r>
    </w:p>
  </w:footnote>
  <w:footnote w:id="27">
    <w:p w:rsidR="008578F9" w:rsidRPr="00FA4801" w:rsidRDefault="008578F9">
      <w:pPr>
        <w:pStyle w:val="FootnoteText"/>
        <w:rPr>
          <w:rFonts w:asciiTheme="majorHAnsi" w:hAnsiTheme="majorHAnsi" w:cstheme="majorHAnsi"/>
          <w:sz w:val="16"/>
          <w:szCs w:val="16"/>
          <w:lang w:val="ro-RO"/>
        </w:rPr>
      </w:pPr>
      <w:r w:rsidRPr="001A6761">
        <w:rPr>
          <w:rStyle w:val="FootnoteReference"/>
          <w:rFonts w:asciiTheme="majorHAnsi" w:hAnsiTheme="majorHAnsi" w:cstheme="majorHAnsi"/>
          <w:sz w:val="16"/>
          <w:szCs w:val="16"/>
        </w:rPr>
        <w:footnoteRef/>
      </w:r>
      <w:r w:rsidRPr="001A6761">
        <w:rPr>
          <w:rFonts w:asciiTheme="majorHAnsi" w:hAnsiTheme="majorHAnsi" w:cstheme="majorHAnsi"/>
          <w:sz w:val="16"/>
          <w:szCs w:val="16"/>
        </w:rPr>
        <w:t xml:space="preserve"> </w:t>
      </w:r>
      <w:r w:rsidRPr="00FA4801">
        <w:rPr>
          <w:rFonts w:asciiTheme="majorHAnsi" w:hAnsiTheme="majorHAnsi" w:cstheme="majorHAnsi"/>
          <w:sz w:val="16"/>
          <w:szCs w:val="16"/>
        </w:rPr>
        <w:t>A</w:t>
      </w:r>
      <w:r w:rsidRPr="00FA4801">
        <w:rPr>
          <w:rFonts w:asciiTheme="majorHAnsi" w:eastAsia="Times New Roman" w:hAnsiTheme="majorHAnsi" w:cstheme="majorHAnsi"/>
          <w:sz w:val="16"/>
          <w:szCs w:val="16"/>
        </w:rPr>
        <w:t>rt.124 alin.(16) din Codul fiscal.</w:t>
      </w:r>
    </w:p>
  </w:footnote>
  <w:footnote w:id="28">
    <w:p w:rsidR="008578F9" w:rsidRPr="00FA4801" w:rsidRDefault="008578F9" w:rsidP="00C62E7D">
      <w:pPr>
        <w:pStyle w:val="FootnoteText"/>
        <w:jc w:val="both"/>
        <w:rPr>
          <w:rFonts w:asciiTheme="majorHAnsi" w:hAnsiTheme="majorHAnsi" w:cstheme="majorHAnsi"/>
          <w:sz w:val="16"/>
          <w:szCs w:val="16"/>
          <w:lang w:val="ro-RO"/>
        </w:rPr>
      </w:pPr>
      <w:r w:rsidRPr="00FA4801">
        <w:rPr>
          <w:rStyle w:val="FootnoteReference"/>
          <w:rFonts w:asciiTheme="majorHAnsi" w:hAnsiTheme="majorHAnsi" w:cstheme="majorHAnsi"/>
          <w:sz w:val="16"/>
          <w:szCs w:val="16"/>
        </w:rPr>
        <w:footnoteRef/>
      </w:r>
      <w:r w:rsidRPr="00FA4801">
        <w:rPr>
          <w:rFonts w:asciiTheme="majorHAnsi" w:hAnsiTheme="majorHAnsi" w:cstheme="majorHAnsi"/>
          <w:sz w:val="16"/>
          <w:szCs w:val="16"/>
        </w:rPr>
        <w:t xml:space="preserve"> Scrisoarea MAIA către Serviciul Fiscal de Stat nr.25-244/9830/5270 din 18.11.2020, prin care s-a cerut coordonarea facilității acordate SC „Rodital –Lux” SRL pentru anul 2021. </w:t>
      </w:r>
    </w:p>
  </w:footnote>
  <w:footnote w:id="29">
    <w:p w:rsidR="008578F9" w:rsidRPr="00FA4801" w:rsidRDefault="008578F9" w:rsidP="00C62E7D">
      <w:pPr>
        <w:pStyle w:val="FootnoteText"/>
        <w:jc w:val="both"/>
        <w:rPr>
          <w:rFonts w:asciiTheme="majorHAnsi" w:hAnsiTheme="majorHAnsi" w:cstheme="majorHAnsi"/>
          <w:sz w:val="16"/>
          <w:szCs w:val="16"/>
          <w:lang w:val="ro-RO"/>
        </w:rPr>
      </w:pPr>
      <w:r w:rsidRPr="00FA4801">
        <w:rPr>
          <w:rStyle w:val="FootnoteReference"/>
          <w:rFonts w:asciiTheme="majorHAnsi" w:hAnsiTheme="majorHAnsi" w:cstheme="majorHAnsi"/>
          <w:sz w:val="16"/>
          <w:szCs w:val="16"/>
        </w:rPr>
        <w:footnoteRef/>
      </w:r>
      <w:r w:rsidRPr="00FA4801">
        <w:rPr>
          <w:rFonts w:asciiTheme="majorHAnsi" w:hAnsiTheme="majorHAnsi" w:cstheme="majorHAnsi"/>
          <w:sz w:val="16"/>
          <w:szCs w:val="16"/>
        </w:rPr>
        <w:t xml:space="preserve"> </w:t>
      </w:r>
      <w:r w:rsidRPr="00FA4801">
        <w:rPr>
          <w:rFonts w:asciiTheme="majorHAnsi" w:hAnsiTheme="majorHAnsi" w:cstheme="majorHAnsi"/>
          <w:color w:val="000000"/>
          <w:sz w:val="16"/>
          <w:szCs w:val="16"/>
        </w:rPr>
        <w:t>Art.14</w:t>
      </w:r>
      <w:r w:rsidRPr="00FA4801">
        <w:rPr>
          <w:rFonts w:asciiTheme="majorHAnsi" w:hAnsiTheme="majorHAnsi" w:cstheme="majorHAnsi"/>
          <w:color w:val="000000"/>
          <w:sz w:val="16"/>
          <w:szCs w:val="16"/>
          <w:vertAlign w:val="superscript"/>
        </w:rPr>
        <w:t>1</w:t>
      </w:r>
      <w:r w:rsidRPr="00FA4801">
        <w:rPr>
          <w:rFonts w:asciiTheme="majorHAnsi" w:hAnsiTheme="majorHAnsi" w:cstheme="majorHAnsi"/>
          <w:bCs/>
          <w:sz w:val="16"/>
          <w:szCs w:val="16"/>
        </w:rPr>
        <w:t>, art.294</w:t>
      </w:r>
      <w:r w:rsidRPr="00FA4801">
        <w:rPr>
          <w:rFonts w:asciiTheme="majorHAnsi" w:hAnsiTheme="majorHAnsi" w:cstheme="majorHAnsi"/>
          <w:bCs/>
          <w:sz w:val="16"/>
          <w:szCs w:val="16"/>
          <w:vertAlign w:val="superscript"/>
        </w:rPr>
        <w:t>1</w:t>
      </w:r>
      <w:bookmarkStart w:id="27" w:name="Articolul_342&lt;sup&gt;1&lt;/sup&gt;."/>
      <w:r w:rsidRPr="00FA4801">
        <w:rPr>
          <w:rFonts w:asciiTheme="majorHAnsi" w:hAnsiTheme="majorHAnsi" w:cstheme="majorHAnsi"/>
          <w:bCs/>
          <w:sz w:val="16"/>
          <w:szCs w:val="16"/>
        </w:rPr>
        <w:t>, art. 342</w:t>
      </w:r>
      <w:r w:rsidRPr="00FA4801">
        <w:rPr>
          <w:rFonts w:asciiTheme="majorHAnsi" w:hAnsiTheme="majorHAnsi" w:cstheme="majorHAnsi"/>
          <w:bCs/>
          <w:sz w:val="16"/>
          <w:szCs w:val="16"/>
          <w:vertAlign w:val="superscript"/>
        </w:rPr>
        <w:t>1</w:t>
      </w:r>
      <w:bookmarkEnd w:id="27"/>
      <w:r w:rsidRPr="00FA4801">
        <w:rPr>
          <w:rFonts w:asciiTheme="majorHAnsi" w:hAnsiTheme="majorHAnsi" w:cstheme="majorHAnsi"/>
          <w:sz w:val="16"/>
          <w:szCs w:val="16"/>
        </w:rPr>
        <w:t xml:space="preserve"> din Codul fiscal „Norme speciale aplicabile rezidenților parcurilor pentru tehnologia informației și angajaților acestora”.</w:t>
      </w:r>
    </w:p>
  </w:footnote>
  <w:footnote w:id="30">
    <w:p w:rsidR="008578F9" w:rsidRPr="00FA4801" w:rsidRDefault="008578F9" w:rsidP="00C62E7D">
      <w:pPr>
        <w:spacing w:after="0" w:line="240" w:lineRule="auto"/>
        <w:jc w:val="both"/>
        <w:rPr>
          <w:rFonts w:asciiTheme="majorHAnsi" w:hAnsiTheme="majorHAnsi" w:cstheme="majorHAnsi"/>
          <w:lang w:val="ro-RO"/>
        </w:rPr>
      </w:pPr>
      <w:r w:rsidRPr="00FA4801">
        <w:rPr>
          <w:rStyle w:val="FootnoteReference"/>
          <w:rFonts w:asciiTheme="majorHAnsi" w:hAnsiTheme="majorHAnsi" w:cstheme="majorHAnsi"/>
          <w:sz w:val="16"/>
          <w:szCs w:val="16"/>
        </w:rPr>
        <w:footnoteRef/>
      </w:r>
      <w:r w:rsidRPr="00FA4801">
        <w:rPr>
          <w:rFonts w:asciiTheme="majorHAnsi" w:hAnsiTheme="majorHAnsi" w:cstheme="majorHAnsi"/>
          <w:sz w:val="16"/>
          <w:szCs w:val="16"/>
        </w:rPr>
        <w:t xml:space="preserve"> </w:t>
      </w:r>
      <w:r w:rsidRPr="00FA4801">
        <w:rPr>
          <w:rFonts w:asciiTheme="majorHAnsi" w:hAnsiTheme="majorHAnsi" w:cstheme="majorHAnsi"/>
          <w:color w:val="000000"/>
          <w:sz w:val="16"/>
          <w:szCs w:val="16"/>
        </w:rPr>
        <w:t xml:space="preserve">Impozitul </w:t>
      </w:r>
      <w:r w:rsidRPr="00FA4801">
        <w:rPr>
          <w:rFonts w:asciiTheme="majorHAnsi" w:hAnsiTheme="majorHAnsi" w:cstheme="majorHAnsi"/>
          <w:sz w:val="16"/>
          <w:szCs w:val="16"/>
        </w:rPr>
        <w:t>pe venit din activitatea de întreprinzător, impozitul pe venit din salariu, contribuțiile de asigurări sociale de stat obligatorii datorate de angajatori și  angajați, primele de asigurare obligatorie de asistență medicală datorate de angajatori și angajați, taxele locale, impozitul pe bunurile imobiliare, taxa pentru folosirea drumurilor.</w:t>
      </w:r>
    </w:p>
  </w:footnote>
  <w:footnote w:id="31">
    <w:p w:rsidR="008578F9" w:rsidRPr="00C62E7D" w:rsidRDefault="008578F9" w:rsidP="00C62E7D">
      <w:pPr>
        <w:pStyle w:val="FootnoteText"/>
        <w:jc w:val="both"/>
        <w:rPr>
          <w:rFonts w:cstheme="minorHAnsi"/>
          <w:sz w:val="16"/>
          <w:szCs w:val="16"/>
          <w:lang w:val="ro-RO"/>
        </w:rPr>
      </w:pPr>
      <w:r w:rsidRPr="00C62E7D">
        <w:rPr>
          <w:rStyle w:val="FootnoteReference"/>
          <w:rFonts w:cstheme="minorHAnsi"/>
          <w:sz w:val="16"/>
          <w:szCs w:val="16"/>
        </w:rPr>
        <w:footnoteRef/>
      </w:r>
      <w:r w:rsidRPr="00C62E7D">
        <w:rPr>
          <w:rFonts w:cstheme="minorHAnsi"/>
          <w:sz w:val="16"/>
          <w:szCs w:val="16"/>
        </w:rPr>
        <w:t xml:space="preserve"> </w:t>
      </w:r>
      <w:r w:rsidRPr="00C62E7D">
        <w:rPr>
          <w:rFonts w:cstheme="minorHAnsi"/>
          <w:color w:val="000000" w:themeColor="text1"/>
          <w:sz w:val="16"/>
          <w:szCs w:val="16"/>
        </w:rPr>
        <w:t>Decizia Consiliului Concurenței</w:t>
      </w:r>
      <w:r>
        <w:rPr>
          <w:rFonts w:cstheme="minorHAnsi"/>
          <w:color w:val="000000" w:themeColor="text1"/>
          <w:sz w:val="16"/>
          <w:szCs w:val="16"/>
        </w:rPr>
        <w:t xml:space="preserve"> </w:t>
      </w:r>
      <w:r w:rsidRPr="00C62E7D">
        <w:rPr>
          <w:rFonts w:cstheme="minorHAnsi"/>
          <w:color w:val="000000" w:themeColor="text1"/>
          <w:sz w:val="16"/>
          <w:szCs w:val="16"/>
        </w:rPr>
        <w:t xml:space="preserve"> </w:t>
      </w:r>
      <w:r w:rsidRPr="00C62E7D">
        <w:rPr>
          <w:rFonts w:cstheme="minorHAnsi"/>
          <w:sz w:val="16"/>
          <w:szCs w:val="16"/>
        </w:rPr>
        <w:t>n</w:t>
      </w:r>
      <w:r w:rsidRPr="00C62E7D">
        <w:rPr>
          <w:rFonts w:cstheme="minorHAnsi"/>
          <w:color w:val="000000"/>
          <w:sz w:val="16"/>
          <w:szCs w:val="16"/>
          <w:lang w:eastAsia="ro-RO" w:bidi="ro-RO"/>
        </w:rPr>
        <w:t>r. ASS-17 din 29.03.2018, în partea constatatoare se</w:t>
      </w:r>
      <w:r>
        <w:rPr>
          <w:rFonts w:cstheme="minorHAnsi"/>
          <w:color w:val="000000"/>
          <w:sz w:val="16"/>
          <w:szCs w:val="16"/>
          <w:lang w:eastAsia="ro-RO" w:bidi="ro-RO"/>
        </w:rPr>
        <w:t xml:space="preserve"> </w:t>
      </w:r>
      <w:r w:rsidRPr="00C62E7D">
        <w:rPr>
          <w:rFonts w:cstheme="minorHAnsi"/>
          <w:color w:val="000000"/>
          <w:sz w:val="16"/>
          <w:szCs w:val="16"/>
          <w:lang w:eastAsia="ro-RO" w:bidi="ro-RO"/>
        </w:rPr>
        <w:t>menționează</w:t>
      </w:r>
      <w:r>
        <w:rPr>
          <w:rFonts w:cstheme="minorHAnsi"/>
          <w:color w:val="000000"/>
          <w:sz w:val="16"/>
          <w:szCs w:val="16"/>
          <w:lang w:eastAsia="ro-RO" w:bidi="ro-RO"/>
        </w:rPr>
        <w:t xml:space="preserve"> </w:t>
      </w:r>
      <w:r w:rsidRPr="00C62E7D">
        <w:rPr>
          <w:rFonts w:cstheme="minorHAnsi"/>
          <w:sz w:val="16"/>
          <w:szCs w:val="16"/>
        </w:rPr>
        <w:t>că „Luând în considerare că cota impozitului unic constituie 7% din venitul d</w:t>
      </w:r>
      <w:r>
        <w:rPr>
          <w:rFonts w:cstheme="minorHAnsi"/>
          <w:sz w:val="16"/>
          <w:szCs w:val="16"/>
        </w:rPr>
        <w:t>in</w:t>
      </w:r>
      <w:r w:rsidRPr="00C62E7D">
        <w:rPr>
          <w:rFonts w:cstheme="minorHAnsi"/>
          <w:sz w:val="16"/>
          <w:szCs w:val="16"/>
        </w:rPr>
        <w:t xml:space="preserve"> vânzări, iar rata efectivă de impozitare estimativă este de 12,7%, potrivit informației din Analiza modelului impozitului unic și a facilităților la import pentru rezidenții parcurilor din industria tehnologiei informației, se estimează faptul că rezidenții parcurilor pentru tehnologia informației vor beneficia de o reducere a poverii fiscale în mărime de 5,7 puncte procentuale raportate la venitul din vânzări</w:t>
      </w:r>
      <w:r>
        <w:rPr>
          <w:rFonts w:cstheme="minorHAnsi"/>
          <w:sz w:val="16"/>
          <w:szCs w:val="16"/>
        </w:rPr>
        <w:t>”</w:t>
      </w:r>
      <w:r w:rsidRPr="00C62E7D">
        <w:rPr>
          <w:rFonts w:cstheme="minorHAnsi"/>
          <w:sz w:val="16"/>
          <w:szCs w:val="16"/>
        </w:rPr>
        <w:t>.</w:t>
      </w:r>
    </w:p>
  </w:footnote>
  <w:footnote w:id="32">
    <w:p w:rsidR="008578F9" w:rsidRPr="000C060A" w:rsidRDefault="008578F9" w:rsidP="00C62E7D">
      <w:pPr>
        <w:pStyle w:val="FootnoteText"/>
        <w:jc w:val="both"/>
        <w:rPr>
          <w:rFonts w:asciiTheme="majorHAnsi" w:hAnsiTheme="majorHAnsi" w:cstheme="majorHAnsi"/>
          <w:sz w:val="16"/>
          <w:szCs w:val="16"/>
          <w:lang w:val="ro-RO"/>
        </w:rPr>
      </w:pPr>
      <w:r w:rsidRPr="00C62E7D">
        <w:rPr>
          <w:rStyle w:val="FootnoteReference"/>
          <w:rFonts w:cstheme="minorHAnsi"/>
          <w:sz w:val="16"/>
          <w:szCs w:val="16"/>
        </w:rPr>
        <w:footnoteRef/>
      </w:r>
      <w:r w:rsidRPr="00C62E7D">
        <w:rPr>
          <w:rFonts w:cstheme="minorHAnsi"/>
          <w:sz w:val="16"/>
          <w:szCs w:val="16"/>
        </w:rPr>
        <w:t xml:space="preserve"> Formularul nr. RG11961 de raportare a ajutoarelor de stat acordate în anul</w:t>
      </w:r>
      <w:r>
        <w:rPr>
          <w:rFonts w:cstheme="minorHAnsi"/>
          <w:sz w:val="16"/>
          <w:szCs w:val="16"/>
        </w:rPr>
        <w:t xml:space="preserve"> </w:t>
      </w:r>
      <w:r w:rsidRPr="00C62E7D">
        <w:rPr>
          <w:rFonts w:cstheme="minorHAnsi"/>
          <w:sz w:val="16"/>
          <w:szCs w:val="16"/>
        </w:rPr>
        <w:t>2020.</w:t>
      </w:r>
    </w:p>
  </w:footnote>
  <w:footnote w:id="33">
    <w:p w:rsidR="008578F9" w:rsidRPr="005405A7" w:rsidRDefault="008578F9" w:rsidP="00C62E7D">
      <w:pPr>
        <w:pStyle w:val="FootnoteText"/>
        <w:jc w:val="both"/>
        <w:rPr>
          <w:rFonts w:cstheme="minorHAnsi"/>
          <w:sz w:val="16"/>
          <w:szCs w:val="16"/>
          <w:lang w:val="ro-RO"/>
        </w:rPr>
      </w:pPr>
      <w:r w:rsidRPr="00C62E7D">
        <w:rPr>
          <w:rStyle w:val="FootnoteReference"/>
          <w:rFonts w:cstheme="minorHAnsi"/>
          <w:sz w:val="16"/>
          <w:szCs w:val="16"/>
        </w:rPr>
        <w:footnoteRef/>
      </w:r>
      <w:r w:rsidRPr="00C62E7D">
        <w:rPr>
          <w:rFonts w:cstheme="minorHAnsi"/>
          <w:sz w:val="16"/>
          <w:szCs w:val="16"/>
        </w:rPr>
        <w:t xml:space="preserve"> </w:t>
      </w:r>
      <w:r w:rsidRPr="00C62E7D">
        <w:rPr>
          <w:rFonts w:cstheme="minorHAnsi"/>
          <w:sz w:val="16"/>
          <w:szCs w:val="16"/>
          <w:lang w:val="ro-RO"/>
        </w:rPr>
        <w:t>Acțiunea 4.11.2. din Planul de acțiuni al Guvernului pentru anii 2020-2023</w:t>
      </w:r>
      <w:r>
        <w:rPr>
          <w:rFonts w:cstheme="minorHAnsi"/>
          <w:sz w:val="16"/>
          <w:szCs w:val="16"/>
          <w:lang w:val="ro-RO"/>
        </w:rPr>
        <w:t xml:space="preserve">, </w:t>
      </w:r>
      <w:r w:rsidRPr="005405A7">
        <w:rPr>
          <w:rFonts w:cstheme="minorHAnsi"/>
          <w:sz w:val="16"/>
          <w:szCs w:val="16"/>
          <w:lang w:val="ro-RO"/>
        </w:rPr>
        <w:t>aprobat prin Hotărârea Guvernului nr.636   din 11.12.2019.</w:t>
      </w:r>
    </w:p>
  </w:footnote>
  <w:footnote w:id="34">
    <w:p w:rsidR="008578F9" w:rsidRPr="00C62E7D" w:rsidRDefault="008578F9" w:rsidP="00C62E7D">
      <w:pPr>
        <w:pStyle w:val="FootnoteText"/>
        <w:jc w:val="both"/>
        <w:rPr>
          <w:rFonts w:cstheme="minorHAnsi"/>
          <w:sz w:val="16"/>
          <w:szCs w:val="16"/>
        </w:rPr>
      </w:pPr>
      <w:r w:rsidRPr="005405A7">
        <w:rPr>
          <w:rStyle w:val="FootnoteReference"/>
          <w:rFonts w:cstheme="minorHAnsi"/>
          <w:sz w:val="16"/>
          <w:szCs w:val="16"/>
        </w:rPr>
        <w:footnoteRef/>
      </w:r>
      <w:r w:rsidRPr="005405A7">
        <w:rPr>
          <w:rFonts w:cstheme="minorHAnsi"/>
          <w:sz w:val="16"/>
          <w:szCs w:val="16"/>
        </w:rPr>
        <w:t xml:space="preserve"> Anularea următoarelor impozite:</w:t>
      </w:r>
    </w:p>
    <w:p w:rsidR="008578F9" w:rsidRPr="00C62E7D" w:rsidRDefault="008578F9" w:rsidP="00C62E7D">
      <w:pPr>
        <w:pStyle w:val="FootnoteText"/>
        <w:jc w:val="both"/>
        <w:rPr>
          <w:rFonts w:cstheme="minorHAnsi"/>
          <w:sz w:val="16"/>
          <w:szCs w:val="16"/>
        </w:rPr>
      </w:pPr>
      <w:r w:rsidRPr="00C62E7D">
        <w:rPr>
          <w:rFonts w:cstheme="minorHAnsi"/>
          <w:sz w:val="16"/>
          <w:szCs w:val="16"/>
        </w:rPr>
        <w:t>- scutir</w:t>
      </w:r>
      <w:r>
        <w:rPr>
          <w:rFonts w:cstheme="minorHAnsi"/>
          <w:sz w:val="16"/>
          <w:szCs w:val="16"/>
        </w:rPr>
        <w:t>ea</w:t>
      </w:r>
      <w:r w:rsidRPr="00C62E7D">
        <w:rPr>
          <w:rFonts w:cstheme="minorHAnsi"/>
          <w:sz w:val="16"/>
          <w:szCs w:val="16"/>
        </w:rPr>
        <w:t xml:space="preserve"> de TVA</w:t>
      </w:r>
      <w:r>
        <w:rPr>
          <w:rFonts w:cstheme="minorHAnsi"/>
          <w:sz w:val="16"/>
          <w:szCs w:val="16"/>
        </w:rPr>
        <w:t>,</w:t>
      </w:r>
      <w:r w:rsidRPr="00C62E7D">
        <w:rPr>
          <w:rFonts w:cstheme="minorHAnsi"/>
          <w:sz w:val="16"/>
          <w:szCs w:val="16"/>
        </w:rPr>
        <w:t xml:space="preserve"> fără drept de deducere</w:t>
      </w:r>
      <w:r>
        <w:rPr>
          <w:rFonts w:cstheme="minorHAnsi"/>
          <w:sz w:val="16"/>
          <w:szCs w:val="16"/>
        </w:rPr>
        <w:t>,</w:t>
      </w:r>
      <w:r w:rsidRPr="00C62E7D">
        <w:rPr>
          <w:rFonts w:cstheme="minorHAnsi"/>
          <w:sz w:val="16"/>
          <w:szCs w:val="16"/>
        </w:rPr>
        <w:t xml:space="preserve"> a materiei prime, materialelor, articolelor de completare și accesoriilor necesare procesului propriu de producție, importate de către organizațiile și întreprinderile societăților nevăzătorilor, societăților surzilor și societăților invalizilor, precum si  scutir</w:t>
      </w:r>
      <w:r>
        <w:rPr>
          <w:rFonts w:cstheme="minorHAnsi"/>
          <w:sz w:val="16"/>
          <w:szCs w:val="16"/>
        </w:rPr>
        <w:t>ea</w:t>
      </w:r>
      <w:r w:rsidRPr="00C62E7D">
        <w:rPr>
          <w:rFonts w:cstheme="minorHAnsi"/>
          <w:sz w:val="16"/>
          <w:szCs w:val="16"/>
        </w:rPr>
        <w:t xml:space="preserve"> pentru organizațiile şi întreprinderile menționate de vărsarea la buget a sumei TVA pentru mărfurile produse şi serviciile prestate, conform listei organizațiilor şi întreprinderilor respective, aprobată de Guvern, prin abrogarea art.4 pct.(18) din Legea nr.1417/1997 pentru punerea în aplicare a Titlului III al Codului fiscal;</w:t>
      </w:r>
    </w:p>
    <w:p w:rsidR="008578F9" w:rsidRPr="00C62E7D" w:rsidRDefault="008578F9" w:rsidP="00C62E7D">
      <w:pPr>
        <w:pStyle w:val="FootnoteText"/>
        <w:jc w:val="both"/>
        <w:rPr>
          <w:rFonts w:cstheme="minorHAnsi"/>
          <w:sz w:val="16"/>
          <w:szCs w:val="16"/>
        </w:rPr>
      </w:pPr>
      <w:r w:rsidRPr="00C62E7D">
        <w:rPr>
          <w:rFonts w:cstheme="minorHAnsi"/>
          <w:sz w:val="16"/>
          <w:szCs w:val="16"/>
        </w:rPr>
        <w:t>- scutir</w:t>
      </w:r>
      <w:r>
        <w:rPr>
          <w:rFonts w:cstheme="minorHAnsi"/>
          <w:sz w:val="16"/>
          <w:szCs w:val="16"/>
        </w:rPr>
        <w:t>ea</w:t>
      </w:r>
      <w:r w:rsidRPr="00C62E7D">
        <w:rPr>
          <w:rFonts w:cstheme="minorHAnsi"/>
          <w:sz w:val="16"/>
          <w:szCs w:val="16"/>
        </w:rPr>
        <w:t xml:space="preserve"> de TVA</w:t>
      </w:r>
      <w:r>
        <w:rPr>
          <w:rFonts w:cstheme="minorHAnsi"/>
          <w:sz w:val="16"/>
          <w:szCs w:val="16"/>
        </w:rPr>
        <w:t>,</w:t>
      </w:r>
      <w:r w:rsidRPr="00C62E7D">
        <w:rPr>
          <w:rFonts w:cstheme="minorHAnsi"/>
          <w:sz w:val="16"/>
          <w:szCs w:val="16"/>
        </w:rPr>
        <w:t xml:space="preserve"> cu drept de deducere, a acciz</w:t>
      </w:r>
      <w:r>
        <w:rPr>
          <w:rFonts w:cstheme="minorHAnsi"/>
          <w:sz w:val="16"/>
          <w:szCs w:val="16"/>
        </w:rPr>
        <w:t>elor</w:t>
      </w:r>
      <w:r w:rsidRPr="00C62E7D">
        <w:rPr>
          <w:rFonts w:cstheme="minorHAnsi"/>
          <w:sz w:val="16"/>
          <w:szCs w:val="16"/>
        </w:rPr>
        <w:t>, taxei vamale si taxei pentru efectuarea procedurilor vamale la importul şi/sau livrarea pe teritoriul țârii a mărfurilor, serviciilor destinate proiectelor de asistență investițională, finanțate din contul împrumuturilor sau acordate cu garanție de stat, din contul împrumuturilor acordate de organismele financiare internaționale (inclusiv din cota-parte a Guvernului);</w:t>
      </w:r>
    </w:p>
    <w:p w:rsidR="008578F9" w:rsidRPr="00C62E7D" w:rsidRDefault="008578F9" w:rsidP="00C62E7D">
      <w:pPr>
        <w:pStyle w:val="FootnoteText"/>
        <w:jc w:val="both"/>
        <w:rPr>
          <w:rFonts w:cstheme="minorHAnsi"/>
          <w:sz w:val="16"/>
          <w:szCs w:val="16"/>
        </w:rPr>
      </w:pPr>
      <w:r w:rsidRPr="00C62E7D">
        <w:rPr>
          <w:rFonts w:cstheme="minorHAnsi"/>
          <w:sz w:val="16"/>
          <w:szCs w:val="16"/>
        </w:rPr>
        <w:t>- facilit</w:t>
      </w:r>
      <w:r>
        <w:rPr>
          <w:rFonts w:cstheme="minorHAnsi"/>
          <w:sz w:val="16"/>
          <w:szCs w:val="16"/>
        </w:rPr>
        <w:t>atea</w:t>
      </w:r>
      <w:r w:rsidRPr="00C62E7D">
        <w:rPr>
          <w:rFonts w:cstheme="minorHAnsi"/>
          <w:sz w:val="16"/>
          <w:szCs w:val="16"/>
        </w:rPr>
        <w:t xml:space="preserve"> ce vizează dreptul la reducerea cu 15% a sumei impozitului pe bunurile imobiliare pentru contribuabilii care achită suma integrală a impozitului pentru anul fiscal în curs până la 30 iunie a anului respectiv;</w:t>
      </w:r>
    </w:p>
    <w:p w:rsidR="008578F9" w:rsidRPr="00C62E7D" w:rsidRDefault="008578F9" w:rsidP="00C62E7D">
      <w:pPr>
        <w:pStyle w:val="FootnoteText"/>
        <w:jc w:val="both"/>
        <w:rPr>
          <w:rFonts w:cstheme="minorHAnsi"/>
          <w:sz w:val="16"/>
          <w:szCs w:val="16"/>
        </w:rPr>
      </w:pPr>
      <w:r w:rsidRPr="00C62E7D">
        <w:rPr>
          <w:rFonts w:cstheme="minorHAnsi"/>
          <w:sz w:val="16"/>
          <w:szCs w:val="16"/>
        </w:rPr>
        <w:t>- scutir</w:t>
      </w:r>
      <w:r>
        <w:rPr>
          <w:rFonts w:cstheme="minorHAnsi"/>
          <w:sz w:val="16"/>
          <w:szCs w:val="16"/>
        </w:rPr>
        <w:t>ea</w:t>
      </w:r>
      <w:r w:rsidRPr="00C62E7D">
        <w:rPr>
          <w:rFonts w:cstheme="minorHAnsi"/>
          <w:sz w:val="16"/>
          <w:szCs w:val="16"/>
        </w:rPr>
        <w:t xml:space="preserve"> de plata impozitului pe venit pentru dobânzile persoanelor fizice rezidente, cu excepția celor înregistrate într-o formă de organizare juridică a activității de întreprinzător, de la depozitele bancare; valorile mobiliare corporative sub formă de obligațiuni şi valorile mobiliare care sunt instrumente ale pieței monetare, cum ar fi certificatele bancare de depozit şi cambiile bancare; depunerile membrilor pe conturile de economii personale în asociațiile de economii şi împrumut ale cetățenilor</w:t>
      </w:r>
      <w:r>
        <w:rPr>
          <w:rFonts w:cstheme="minorHAnsi"/>
          <w:sz w:val="16"/>
          <w:szCs w:val="16"/>
        </w:rPr>
        <w:t>,</w:t>
      </w:r>
      <w:r w:rsidRPr="00C62E7D">
        <w:rPr>
          <w:rFonts w:cstheme="minorHAnsi"/>
          <w:sz w:val="16"/>
          <w:szCs w:val="16"/>
        </w:rPr>
        <w:t xml:space="preserve"> amplasate pe teritoriul Republicii Moldova;</w:t>
      </w:r>
    </w:p>
    <w:p w:rsidR="008578F9" w:rsidRPr="00C62E7D" w:rsidRDefault="008578F9" w:rsidP="00C62E7D">
      <w:pPr>
        <w:pStyle w:val="FootnoteText"/>
        <w:jc w:val="both"/>
        <w:rPr>
          <w:rFonts w:cstheme="minorHAnsi"/>
          <w:sz w:val="16"/>
          <w:szCs w:val="16"/>
          <w:lang w:val="ro-RO"/>
        </w:rPr>
      </w:pPr>
      <w:r w:rsidRPr="00C62E7D">
        <w:rPr>
          <w:rFonts w:cstheme="minorHAnsi"/>
          <w:sz w:val="16"/>
          <w:szCs w:val="16"/>
        </w:rPr>
        <w:t>- facilitățil</w:t>
      </w:r>
      <w:r>
        <w:rPr>
          <w:rFonts w:cstheme="minorHAnsi"/>
          <w:sz w:val="16"/>
          <w:szCs w:val="16"/>
        </w:rPr>
        <w:t>e</w:t>
      </w:r>
      <w:r w:rsidRPr="00C62E7D">
        <w:rPr>
          <w:rFonts w:cstheme="minorHAnsi"/>
          <w:sz w:val="16"/>
          <w:szCs w:val="16"/>
        </w:rPr>
        <w:t xml:space="preserve"> aferente introducerii </w:t>
      </w:r>
      <w:r>
        <w:rPr>
          <w:rFonts w:cstheme="minorHAnsi"/>
          <w:sz w:val="16"/>
          <w:szCs w:val="16"/>
        </w:rPr>
        <w:t xml:space="preserve">în țară a </w:t>
      </w:r>
      <w:r w:rsidRPr="00C62E7D">
        <w:rPr>
          <w:rFonts w:cstheme="minorHAnsi"/>
          <w:sz w:val="16"/>
          <w:szCs w:val="16"/>
        </w:rPr>
        <w:t>unui mijloc de transport fără achitarea drepturilor de import pentru personalul misiunilor diplomatice si membrii familiilor acestora la reîntoarcerea</w:t>
      </w:r>
      <w:r>
        <w:rPr>
          <w:rFonts w:cstheme="minorHAnsi"/>
          <w:sz w:val="16"/>
          <w:szCs w:val="16"/>
        </w:rPr>
        <w:t xml:space="preserve"> lor</w:t>
      </w:r>
      <w:r w:rsidRPr="00C62E7D">
        <w:rPr>
          <w:rFonts w:cstheme="minorHAnsi"/>
          <w:sz w:val="16"/>
          <w:szCs w:val="16"/>
        </w:rPr>
        <w:t xml:space="preserve"> din misiune.</w:t>
      </w:r>
    </w:p>
  </w:footnote>
  <w:footnote w:id="35">
    <w:p w:rsidR="008578F9" w:rsidRPr="00E22E15" w:rsidRDefault="008578F9" w:rsidP="00C62E7D">
      <w:pPr>
        <w:pStyle w:val="FootnoteText"/>
        <w:jc w:val="both"/>
        <w:rPr>
          <w:rFonts w:asciiTheme="majorHAnsi" w:hAnsiTheme="majorHAnsi" w:cstheme="majorHAnsi"/>
          <w:sz w:val="16"/>
          <w:szCs w:val="16"/>
          <w:lang w:val="ro-RO"/>
        </w:rPr>
      </w:pPr>
      <w:r w:rsidRPr="00C62E7D">
        <w:rPr>
          <w:rStyle w:val="FootnoteReference"/>
          <w:rFonts w:cstheme="minorHAnsi"/>
          <w:sz w:val="16"/>
          <w:szCs w:val="16"/>
        </w:rPr>
        <w:footnoteRef/>
      </w:r>
      <w:r w:rsidRPr="00C62E7D">
        <w:rPr>
          <w:rFonts w:cstheme="minorHAnsi"/>
          <w:sz w:val="16"/>
          <w:szCs w:val="16"/>
        </w:rPr>
        <w:t xml:space="preserve"> </w:t>
      </w:r>
      <w:r w:rsidRPr="00C62E7D">
        <w:rPr>
          <w:rFonts w:cstheme="minorHAnsi"/>
          <w:sz w:val="16"/>
          <w:szCs w:val="16"/>
          <w:lang w:val="ro-RO"/>
        </w:rPr>
        <w:t>Adoptat în anul 1997.</w:t>
      </w:r>
    </w:p>
  </w:footnote>
  <w:footnote w:id="36">
    <w:p w:rsidR="008578F9" w:rsidRPr="00F73496" w:rsidRDefault="008578F9" w:rsidP="00F42290">
      <w:pPr>
        <w:pStyle w:val="FootnoteText"/>
        <w:jc w:val="both"/>
        <w:rPr>
          <w:rFonts w:cstheme="minorHAnsi"/>
          <w:sz w:val="16"/>
          <w:szCs w:val="16"/>
          <w:lang w:val="ro-RO"/>
        </w:rPr>
      </w:pPr>
      <w:r w:rsidRPr="00F73496">
        <w:rPr>
          <w:rStyle w:val="FootnoteReference"/>
          <w:rFonts w:cstheme="minorHAnsi"/>
          <w:sz w:val="16"/>
          <w:szCs w:val="16"/>
        </w:rPr>
        <w:footnoteRef/>
      </w:r>
      <w:r w:rsidRPr="00F73496">
        <w:rPr>
          <w:rFonts w:cstheme="minorHAnsi"/>
          <w:sz w:val="16"/>
          <w:szCs w:val="16"/>
        </w:rPr>
        <w:t xml:space="preserve"> Prestate de către subiecții care desfășoară activitate de întreprinzător în sfera jocurilor de noroc (inclusiv cu folosirea jocurilor automate), cu excepția serviciilor a căror valoare, în totalitate sau parțial, a fost inclusă în miză sau în plata pentru intrare și a altor servicii prestate spectatorilor sau participanților.</w:t>
      </w:r>
    </w:p>
  </w:footnote>
  <w:footnote w:id="37">
    <w:p w:rsidR="008578F9" w:rsidRPr="00F42290" w:rsidRDefault="008578F9" w:rsidP="00F42290">
      <w:pPr>
        <w:spacing w:after="0"/>
        <w:jc w:val="both"/>
        <w:rPr>
          <w:rFonts w:cstheme="minorHAnsi"/>
          <w:sz w:val="16"/>
          <w:szCs w:val="16"/>
          <w:lang w:val="ro-RO"/>
        </w:rPr>
      </w:pPr>
      <w:r w:rsidRPr="00F73496">
        <w:rPr>
          <w:rStyle w:val="FootnoteReference"/>
          <w:rFonts w:cstheme="minorHAnsi"/>
          <w:sz w:val="16"/>
          <w:szCs w:val="16"/>
        </w:rPr>
        <w:footnoteRef/>
      </w:r>
      <w:r>
        <w:rPr>
          <w:rFonts w:eastAsia="Times New Roman" w:cstheme="minorHAnsi"/>
          <w:sz w:val="16"/>
          <w:szCs w:val="16"/>
          <w:lang w:eastAsia="ru-RU"/>
        </w:rPr>
        <w:t xml:space="preserve"> SFS nu deține metodologia de calcul la estimarea costului facilității.</w:t>
      </w:r>
    </w:p>
  </w:footnote>
  <w:footnote w:id="38">
    <w:p w:rsidR="008578F9" w:rsidRPr="00F42290" w:rsidRDefault="008578F9" w:rsidP="00F42290">
      <w:pPr>
        <w:pStyle w:val="FootnoteText"/>
        <w:jc w:val="both"/>
        <w:rPr>
          <w:rFonts w:cstheme="minorHAnsi"/>
          <w:sz w:val="16"/>
          <w:szCs w:val="16"/>
          <w:lang w:val="ro-RO"/>
        </w:rPr>
      </w:pPr>
      <w:r w:rsidRPr="003F23A8">
        <w:rPr>
          <w:rStyle w:val="FootnoteReference"/>
          <w:rFonts w:cstheme="minorHAnsi"/>
          <w:sz w:val="16"/>
          <w:szCs w:val="16"/>
        </w:rPr>
        <w:footnoteRef/>
      </w:r>
      <w:r w:rsidRPr="003F23A8">
        <w:rPr>
          <w:rFonts w:cstheme="minorHAnsi"/>
          <w:sz w:val="16"/>
          <w:szCs w:val="16"/>
        </w:rPr>
        <w:t xml:space="preserve"> Art.135 din DIRECTIVA 2006/112/CE a Consiliului din 28.11.2006 privind sistemul comun al taxei pe</w:t>
      </w:r>
      <w:r w:rsidRPr="00F42290">
        <w:rPr>
          <w:rFonts w:cstheme="minorHAnsi"/>
          <w:sz w:val="16"/>
          <w:szCs w:val="16"/>
        </w:rPr>
        <w:t xml:space="preserve"> valoarea adăugată</w:t>
      </w:r>
      <w:r>
        <w:rPr>
          <w:rFonts w:cstheme="minorHAnsi"/>
          <w:sz w:val="16"/>
          <w:szCs w:val="16"/>
        </w:rPr>
        <w:t>.</w:t>
      </w:r>
    </w:p>
  </w:footnote>
  <w:footnote w:id="39">
    <w:p w:rsidR="008578F9" w:rsidRPr="005405A7" w:rsidRDefault="008578F9" w:rsidP="00F42290">
      <w:pPr>
        <w:pStyle w:val="FootnoteText"/>
        <w:jc w:val="both"/>
        <w:rPr>
          <w:rFonts w:cstheme="minorHAnsi"/>
          <w:sz w:val="16"/>
          <w:szCs w:val="16"/>
          <w:lang w:val="ro-RO"/>
        </w:rPr>
      </w:pPr>
      <w:r w:rsidRPr="00F42290">
        <w:rPr>
          <w:rStyle w:val="FootnoteReference"/>
          <w:rFonts w:cstheme="minorHAnsi"/>
          <w:sz w:val="16"/>
          <w:szCs w:val="16"/>
        </w:rPr>
        <w:footnoteRef/>
      </w:r>
      <w:r w:rsidRPr="00F42290">
        <w:rPr>
          <w:rFonts w:cstheme="minorHAnsi"/>
          <w:sz w:val="16"/>
          <w:szCs w:val="16"/>
        </w:rPr>
        <w:t xml:space="preserve"> Documentele prezentate de Secretariatul Parlamentului prin </w:t>
      </w:r>
      <w:r>
        <w:rPr>
          <w:rFonts w:cstheme="minorHAnsi"/>
          <w:sz w:val="16"/>
          <w:szCs w:val="16"/>
        </w:rPr>
        <w:t>S</w:t>
      </w:r>
      <w:r w:rsidRPr="00F42290">
        <w:rPr>
          <w:rFonts w:cstheme="minorHAnsi"/>
          <w:sz w:val="16"/>
          <w:szCs w:val="16"/>
        </w:rPr>
        <w:t xml:space="preserve">crisoarea </w:t>
      </w:r>
      <w:r w:rsidRPr="005405A7">
        <w:rPr>
          <w:rFonts w:cstheme="minorHAnsi"/>
          <w:sz w:val="16"/>
          <w:szCs w:val="16"/>
        </w:rPr>
        <w:t xml:space="preserve">nr. SG3 nr.205 din 10.05.2022. </w:t>
      </w:r>
    </w:p>
  </w:footnote>
  <w:footnote w:id="40">
    <w:p w:rsidR="008578F9" w:rsidRPr="008F3160" w:rsidRDefault="008578F9" w:rsidP="00F42290">
      <w:pPr>
        <w:pStyle w:val="FootnoteText"/>
        <w:jc w:val="both"/>
        <w:rPr>
          <w:rFonts w:asciiTheme="majorHAnsi" w:hAnsiTheme="majorHAnsi" w:cstheme="majorHAnsi"/>
          <w:sz w:val="16"/>
          <w:szCs w:val="16"/>
          <w:lang w:val="ro-RO"/>
        </w:rPr>
      </w:pPr>
      <w:r w:rsidRPr="005405A7">
        <w:rPr>
          <w:rStyle w:val="FootnoteReference"/>
          <w:rFonts w:cstheme="minorHAnsi"/>
          <w:sz w:val="16"/>
          <w:szCs w:val="16"/>
        </w:rPr>
        <w:footnoteRef/>
      </w:r>
      <w:r w:rsidRPr="005405A7">
        <w:rPr>
          <w:rFonts w:cstheme="minorHAnsi"/>
          <w:sz w:val="16"/>
          <w:szCs w:val="16"/>
        </w:rPr>
        <w:t xml:space="preserve"> Cerință statuată în art.59 din Regulamentul Parlamentului, aprobat prin Legea </w:t>
      </w:r>
      <w:r>
        <w:rPr>
          <w:rFonts w:cstheme="minorHAnsi"/>
          <w:sz w:val="16"/>
          <w:szCs w:val="16"/>
        </w:rPr>
        <w:t>n</w:t>
      </w:r>
      <w:r w:rsidRPr="005405A7">
        <w:rPr>
          <w:rFonts w:cstheme="minorHAnsi"/>
          <w:sz w:val="16"/>
          <w:szCs w:val="16"/>
        </w:rPr>
        <w:t>r. 797 din 02.04.1996</w:t>
      </w:r>
      <w:r>
        <w:rPr>
          <w:rFonts w:cstheme="minorHAnsi"/>
          <w:sz w:val="16"/>
          <w:szCs w:val="16"/>
        </w:rPr>
        <w:t>.</w:t>
      </w:r>
    </w:p>
  </w:footnote>
  <w:footnote w:id="41">
    <w:p w:rsidR="008578F9" w:rsidRPr="00F42290" w:rsidRDefault="008578F9" w:rsidP="00F42290">
      <w:pPr>
        <w:spacing w:after="0"/>
        <w:jc w:val="both"/>
        <w:rPr>
          <w:rFonts w:cstheme="minorHAnsi"/>
          <w:sz w:val="16"/>
          <w:szCs w:val="16"/>
          <w:lang w:val="ro-RO"/>
        </w:rPr>
      </w:pPr>
      <w:r w:rsidRPr="00F42290">
        <w:rPr>
          <w:rStyle w:val="FootnoteReference"/>
          <w:rFonts w:cstheme="minorHAnsi"/>
          <w:sz w:val="16"/>
          <w:szCs w:val="16"/>
        </w:rPr>
        <w:footnoteRef/>
      </w:r>
      <w:r w:rsidRPr="00F42290">
        <w:rPr>
          <w:rFonts w:cstheme="minorHAnsi"/>
          <w:sz w:val="16"/>
          <w:szCs w:val="16"/>
        </w:rPr>
        <w:t xml:space="preserve"> Art.II din Legea nr.1128-XV din 14 iunie 2002</w:t>
      </w:r>
      <w:r>
        <w:rPr>
          <w:rFonts w:cstheme="minorHAnsi"/>
          <w:sz w:val="16"/>
          <w:szCs w:val="16"/>
        </w:rPr>
        <w:t xml:space="preserve"> </w:t>
      </w:r>
      <w:r w:rsidRPr="00F42290">
        <w:rPr>
          <w:rFonts w:cstheme="minorHAnsi"/>
          <w:sz w:val="16"/>
          <w:szCs w:val="16"/>
        </w:rPr>
        <w:t xml:space="preserve">pentru modificarea articolului 103 din Titlul III şi a anexei la Titlul IV ale Codului fiscal, care statua că </w:t>
      </w:r>
      <w:r>
        <w:rPr>
          <w:rFonts w:cstheme="minorHAnsi"/>
          <w:sz w:val="16"/>
          <w:szCs w:val="16"/>
        </w:rPr>
        <w:t>„</w:t>
      </w:r>
      <w:r w:rsidRPr="00F42290">
        <w:rPr>
          <w:rFonts w:cstheme="minorHAnsi"/>
          <w:sz w:val="16"/>
          <w:szCs w:val="16"/>
        </w:rPr>
        <w:t xml:space="preserve"> Punctul 4 al notelor din anexa la Titlul IV al Codului fiscal nr.1053-XIV din 16 iunie 2000 va avea următorul cuprins:</w:t>
      </w:r>
      <w:r>
        <w:rPr>
          <w:rFonts w:cstheme="minorHAnsi"/>
          <w:sz w:val="16"/>
          <w:szCs w:val="16"/>
        </w:rPr>
        <w:t xml:space="preserve"> </w:t>
      </w:r>
      <w:r w:rsidRPr="00F42290">
        <w:rPr>
          <w:rFonts w:cstheme="minorHAnsi"/>
          <w:sz w:val="16"/>
          <w:szCs w:val="16"/>
        </w:rPr>
        <w:t xml:space="preserve">Prin derogare de la prevederile art.125, suma accizelor vărsată în buget pentru alcoolul etilic nedenaturat de la poziția tarifară 2207 10 000, procurat în scopul utilizării lui în medicină şi în industria de parfumerie şi cosmetică în volumul contingentului anual stabilit de Guvern, se restituie conform Regulamentului aprobat de Guvern”. </w:t>
      </w:r>
    </w:p>
  </w:footnote>
  <w:footnote w:id="42">
    <w:p w:rsidR="008578F9" w:rsidRPr="00F42290" w:rsidRDefault="008578F9" w:rsidP="00F42290">
      <w:pPr>
        <w:pStyle w:val="FootnoteText"/>
        <w:jc w:val="both"/>
        <w:rPr>
          <w:rFonts w:cstheme="minorHAnsi"/>
          <w:sz w:val="16"/>
          <w:szCs w:val="16"/>
          <w:lang w:val="ro-RO"/>
        </w:rPr>
      </w:pPr>
      <w:r w:rsidRPr="00F42290">
        <w:rPr>
          <w:rStyle w:val="FootnoteReference"/>
          <w:rFonts w:cstheme="minorHAnsi"/>
          <w:sz w:val="16"/>
          <w:szCs w:val="16"/>
        </w:rPr>
        <w:footnoteRef/>
      </w:r>
      <w:r w:rsidRPr="00F42290">
        <w:rPr>
          <w:rFonts w:cstheme="minorHAnsi"/>
          <w:sz w:val="16"/>
          <w:szCs w:val="16"/>
        </w:rPr>
        <w:t xml:space="preserve"> Scrisorile </w:t>
      </w:r>
      <w:r w:rsidRPr="007B162D">
        <w:rPr>
          <w:rFonts w:cstheme="minorHAnsi"/>
          <w:sz w:val="16"/>
          <w:szCs w:val="16"/>
        </w:rPr>
        <w:t>MADRM n</w:t>
      </w:r>
      <w:r w:rsidRPr="00F42290">
        <w:rPr>
          <w:rFonts w:cstheme="minorHAnsi"/>
          <w:sz w:val="16"/>
          <w:szCs w:val="16"/>
        </w:rPr>
        <w:t xml:space="preserve">r. </w:t>
      </w:r>
      <w:r w:rsidRPr="00F42290">
        <w:rPr>
          <w:rStyle w:val="Bodytext20"/>
          <w:rFonts w:asciiTheme="minorHAnsi" w:eastAsiaTheme="minorHAnsi" w:hAnsiTheme="minorHAnsi" w:cstheme="minorHAnsi"/>
          <w:color w:val="auto"/>
          <w:sz w:val="16"/>
          <w:szCs w:val="16"/>
        </w:rPr>
        <w:t>21/2-124 din 12.03.2016; nr. 01/01-1713 din 24.11.2017; nr. 01/01-5755 din 15.12.2018.</w:t>
      </w:r>
    </w:p>
  </w:footnote>
  <w:footnote w:id="43">
    <w:p w:rsidR="008578F9" w:rsidRPr="00F42290" w:rsidRDefault="008578F9" w:rsidP="00F42290">
      <w:pPr>
        <w:pStyle w:val="FootnoteText"/>
        <w:jc w:val="both"/>
        <w:rPr>
          <w:rFonts w:cstheme="minorHAnsi"/>
          <w:sz w:val="16"/>
          <w:szCs w:val="16"/>
          <w:lang w:val="ro-RO"/>
        </w:rPr>
      </w:pPr>
      <w:r w:rsidRPr="00F42290">
        <w:rPr>
          <w:rStyle w:val="FootnoteReference"/>
          <w:rFonts w:cstheme="minorHAnsi"/>
          <w:sz w:val="16"/>
          <w:szCs w:val="16"/>
        </w:rPr>
        <w:footnoteRef/>
      </w:r>
      <w:r w:rsidRPr="00F42290">
        <w:rPr>
          <w:rFonts w:cstheme="minorHAnsi"/>
          <w:sz w:val="16"/>
          <w:szCs w:val="16"/>
        </w:rPr>
        <w:t xml:space="preserve"> N</w:t>
      </w:r>
      <w:r w:rsidRPr="00F42290">
        <w:rPr>
          <w:rStyle w:val="Bodytext20"/>
          <w:rFonts w:asciiTheme="minorHAnsi" w:eastAsiaTheme="minorHAnsi" w:hAnsiTheme="minorHAnsi" w:cstheme="minorHAnsi"/>
          <w:color w:val="auto"/>
          <w:sz w:val="16"/>
          <w:szCs w:val="16"/>
        </w:rPr>
        <w:t>umăr</w:t>
      </w:r>
      <w:r>
        <w:rPr>
          <w:rStyle w:val="Bodytext20"/>
          <w:rFonts w:asciiTheme="minorHAnsi" w:eastAsiaTheme="minorHAnsi" w:hAnsiTheme="minorHAnsi" w:cstheme="minorHAnsi"/>
          <w:color w:val="auto"/>
          <w:sz w:val="16"/>
          <w:szCs w:val="16"/>
        </w:rPr>
        <w:t>ul</w:t>
      </w:r>
      <w:r w:rsidRPr="00F42290">
        <w:rPr>
          <w:rStyle w:val="Bodytext20"/>
          <w:rFonts w:asciiTheme="minorHAnsi" w:eastAsiaTheme="minorHAnsi" w:hAnsiTheme="minorHAnsi" w:cstheme="minorHAnsi"/>
          <w:color w:val="auto"/>
          <w:sz w:val="16"/>
          <w:szCs w:val="16"/>
        </w:rPr>
        <w:t xml:space="preserve"> unic al proiectului documentului 517/MF/2021.</w:t>
      </w:r>
    </w:p>
  </w:footnote>
  <w:footnote w:id="44">
    <w:p w:rsidR="008578F9" w:rsidRPr="00F42290" w:rsidRDefault="008578F9" w:rsidP="00F42290">
      <w:pPr>
        <w:pStyle w:val="FootnoteText"/>
        <w:jc w:val="both"/>
        <w:rPr>
          <w:rFonts w:cstheme="minorHAnsi"/>
          <w:sz w:val="16"/>
          <w:szCs w:val="16"/>
          <w:lang w:val="ro-RO"/>
        </w:rPr>
      </w:pPr>
      <w:r w:rsidRPr="00F42290">
        <w:rPr>
          <w:rStyle w:val="FootnoteReference"/>
          <w:rFonts w:cstheme="minorHAnsi"/>
          <w:sz w:val="16"/>
          <w:szCs w:val="16"/>
        </w:rPr>
        <w:footnoteRef/>
      </w:r>
      <w:r w:rsidRPr="00F42290">
        <w:rPr>
          <w:rFonts w:cstheme="minorHAnsi"/>
          <w:sz w:val="16"/>
          <w:szCs w:val="16"/>
        </w:rPr>
        <w:t xml:space="preserve"> </w:t>
      </w:r>
      <w:r w:rsidRPr="00F42290">
        <w:rPr>
          <w:rFonts w:cstheme="minorHAnsi"/>
          <w:sz w:val="16"/>
          <w:szCs w:val="16"/>
          <w:lang w:val="ro-RO"/>
        </w:rPr>
        <w:t>Scrisoarea Agenției Naționale pentru Sănătate Publică</w:t>
      </w:r>
      <w:r>
        <w:rPr>
          <w:rFonts w:cstheme="minorHAnsi"/>
          <w:sz w:val="16"/>
          <w:szCs w:val="16"/>
          <w:lang w:val="ro-RO"/>
        </w:rPr>
        <w:t>,</w:t>
      </w:r>
      <w:r w:rsidRPr="00F42290">
        <w:rPr>
          <w:rFonts w:cstheme="minorHAnsi"/>
          <w:sz w:val="16"/>
          <w:szCs w:val="16"/>
          <w:lang w:val="ro-RO"/>
        </w:rPr>
        <w:t xml:space="preserve"> adresată Curții de Conturi</w:t>
      </w:r>
      <w:r>
        <w:rPr>
          <w:rFonts w:cstheme="minorHAnsi"/>
          <w:sz w:val="16"/>
          <w:szCs w:val="16"/>
          <w:lang w:val="ro-RO"/>
        </w:rPr>
        <w:t>,</w:t>
      </w:r>
      <w:r w:rsidRPr="00F42290">
        <w:rPr>
          <w:rFonts w:cstheme="minorHAnsi"/>
          <w:sz w:val="16"/>
          <w:szCs w:val="16"/>
          <w:lang w:val="ro-RO"/>
        </w:rPr>
        <w:t xml:space="preserve"> cu nr.01-13/6-1591 din 21.04.2022.</w:t>
      </w:r>
    </w:p>
  </w:footnote>
  <w:footnote w:id="45">
    <w:p w:rsidR="008578F9" w:rsidRPr="002D11E3" w:rsidRDefault="008578F9" w:rsidP="00F42290">
      <w:pPr>
        <w:pStyle w:val="FootnoteText"/>
        <w:jc w:val="both"/>
        <w:rPr>
          <w:rFonts w:asciiTheme="majorHAnsi" w:hAnsiTheme="majorHAnsi" w:cstheme="majorHAnsi"/>
          <w:sz w:val="16"/>
          <w:szCs w:val="16"/>
          <w:lang w:val="ro-RO"/>
        </w:rPr>
      </w:pPr>
      <w:r w:rsidRPr="00F42290">
        <w:rPr>
          <w:rStyle w:val="FootnoteReference"/>
          <w:rFonts w:cstheme="minorHAnsi"/>
          <w:sz w:val="16"/>
          <w:szCs w:val="16"/>
        </w:rPr>
        <w:footnoteRef/>
      </w:r>
      <w:r w:rsidRPr="00F42290">
        <w:rPr>
          <w:rFonts w:cstheme="minorHAnsi"/>
          <w:sz w:val="16"/>
          <w:szCs w:val="16"/>
        </w:rPr>
        <w:t xml:space="preserve"> În anul 2020</w:t>
      </w:r>
      <w:r>
        <w:rPr>
          <w:rFonts w:cstheme="minorHAnsi"/>
          <w:sz w:val="16"/>
          <w:szCs w:val="16"/>
        </w:rPr>
        <w:t xml:space="preserve"> </w:t>
      </w:r>
      <w:r w:rsidRPr="00F42290">
        <w:rPr>
          <w:rFonts w:cstheme="minorHAnsi"/>
          <w:sz w:val="16"/>
          <w:szCs w:val="16"/>
        </w:rPr>
        <w:t>-</w:t>
      </w:r>
      <w:r>
        <w:rPr>
          <w:rFonts w:cstheme="minorHAnsi"/>
          <w:sz w:val="16"/>
          <w:szCs w:val="16"/>
        </w:rPr>
        <w:t xml:space="preserve"> </w:t>
      </w:r>
      <w:r w:rsidRPr="00F42290">
        <w:rPr>
          <w:rFonts w:eastAsia="Times New Roman" w:cstheme="minorHAnsi"/>
          <w:sz w:val="16"/>
          <w:szCs w:val="16"/>
        </w:rPr>
        <w:t>695,8 mil.lei</w:t>
      </w:r>
      <w:r>
        <w:rPr>
          <w:rFonts w:eastAsia="Times New Roman" w:cstheme="minorHAnsi"/>
          <w:sz w:val="16"/>
          <w:szCs w:val="16"/>
        </w:rPr>
        <w:t xml:space="preserve">, </w:t>
      </w:r>
      <w:r w:rsidRPr="00F42290">
        <w:rPr>
          <w:rFonts w:eastAsia="Times New Roman" w:cstheme="minorHAnsi"/>
          <w:sz w:val="16"/>
          <w:szCs w:val="16"/>
        </w:rPr>
        <w:t>și în anul 2021 -</w:t>
      </w:r>
      <w:r>
        <w:rPr>
          <w:rFonts w:eastAsia="Times New Roman" w:cstheme="minorHAnsi"/>
          <w:sz w:val="16"/>
          <w:szCs w:val="16"/>
        </w:rPr>
        <w:t xml:space="preserve"> </w:t>
      </w:r>
      <w:r w:rsidRPr="00F42290">
        <w:rPr>
          <w:rFonts w:eastAsia="Times New Roman" w:cstheme="minorHAnsi"/>
          <w:sz w:val="16"/>
          <w:szCs w:val="16"/>
        </w:rPr>
        <w:t>362,4 mil.lei.</w:t>
      </w:r>
      <w:r w:rsidRPr="002D11E3">
        <w:rPr>
          <w:rFonts w:asciiTheme="majorHAnsi" w:eastAsia="Times New Roman" w:hAnsiTheme="majorHAnsi" w:cstheme="majorHAnsi"/>
          <w:sz w:val="16"/>
          <w:szCs w:val="16"/>
        </w:rPr>
        <w:t xml:space="preserve"> </w:t>
      </w:r>
    </w:p>
  </w:footnote>
  <w:footnote w:id="46">
    <w:p w:rsidR="008578F9" w:rsidRPr="000C66ED" w:rsidRDefault="008578F9" w:rsidP="000C66ED">
      <w:pPr>
        <w:spacing w:after="0"/>
        <w:jc w:val="both"/>
        <w:rPr>
          <w:rFonts w:cstheme="minorHAnsi"/>
          <w:sz w:val="16"/>
          <w:szCs w:val="16"/>
          <w:lang w:val="ro-RO"/>
        </w:rPr>
      </w:pPr>
      <w:r w:rsidRPr="000C66ED">
        <w:rPr>
          <w:rStyle w:val="FootnoteReference"/>
          <w:rFonts w:cstheme="minorHAnsi"/>
          <w:sz w:val="16"/>
          <w:szCs w:val="16"/>
        </w:rPr>
        <w:footnoteRef/>
      </w:r>
      <w:r w:rsidRPr="000C66ED">
        <w:rPr>
          <w:rFonts w:cstheme="minorHAnsi"/>
          <w:sz w:val="16"/>
          <w:szCs w:val="16"/>
        </w:rPr>
        <w:t xml:space="preserve"> Conform prevederilor </w:t>
      </w:r>
      <w:r w:rsidRPr="000C66ED">
        <w:rPr>
          <w:rFonts w:cstheme="minorHAnsi"/>
          <w:color w:val="000000"/>
          <w:sz w:val="16"/>
          <w:szCs w:val="16"/>
          <w:shd w:val="clear" w:color="auto" w:fill="FFFFFF"/>
        </w:rPr>
        <w:t xml:space="preserve">Nomenclatorului </w:t>
      </w:r>
      <w:r w:rsidRPr="000C66ED">
        <w:rPr>
          <w:rFonts w:cstheme="minorHAnsi"/>
          <w:color w:val="000000"/>
          <w:sz w:val="16"/>
          <w:szCs w:val="16"/>
          <w:lang w:bidi="en-US"/>
        </w:rPr>
        <w:t>combinat al mărfurilor, aprobat prin Legea nr.</w:t>
      </w:r>
      <w:r w:rsidRPr="000C66ED">
        <w:rPr>
          <w:rFonts w:cstheme="minorHAnsi"/>
          <w:color w:val="000000"/>
          <w:sz w:val="16"/>
          <w:szCs w:val="16"/>
          <w:lang w:bidi="ru-RU"/>
        </w:rPr>
        <w:t>172/2014,</w:t>
      </w:r>
      <w:r w:rsidRPr="000C66ED">
        <w:rPr>
          <w:rFonts w:cstheme="minorHAnsi"/>
          <w:color w:val="000000"/>
          <w:sz w:val="16"/>
          <w:szCs w:val="16"/>
          <w:shd w:val="clear" w:color="auto" w:fill="FFFFFF"/>
        </w:rPr>
        <w:t xml:space="preserve"> dezinfectanții sunt atribuiți la poziția tarifară 3808 94 „Dezinfectanți”, capitolul „Produse diverse ale industriei chimice”. La fel, se relevă că, în conformitate cu prescripțiile atât ale HG nr.564/2009, cât și ale HG nr.344/2020,</w:t>
      </w:r>
      <w:r>
        <w:rPr>
          <w:rFonts w:cstheme="minorHAnsi"/>
          <w:color w:val="000000"/>
          <w:sz w:val="16"/>
          <w:szCs w:val="16"/>
          <w:shd w:val="clear" w:color="auto" w:fill="FFFFFF"/>
        </w:rPr>
        <w:t xml:space="preserve"> </w:t>
      </w:r>
      <w:r w:rsidRPr="000C66ED">
        <w:rPr>
          <w:rFonts w:cstheme="minorHAnsi"/>
          <w:color w:val="000000"/>
          <w:sz w:val="16"/>
          <w:szCs w:val="16"/>
          <w:shd w:val="clear" w:color="auto" w:fill="FFFFFF"/>
        </w:rPr>
        <w:t>dezinfectanții fac parte din grupele și tipurile de produse biocide, și nu pot fi</w:t>
      </w:r>
      <w:r>
        <w:rPr>
          <w:rFonts w:cstheme="minorHAnsi"/>
          <w:color w:val="000000"/>
          <w:sz w:val="16"/>
          <w:szCs w:val="16"/>
          <w:shd w:val="clear" w:color="auto" w:fill="FFFFFF"/>
        </w:rPr>
        <w:t xml:space="preserve"> </w:t>
      </w:r>
      <w:r w:rsidRPr="000C66ED">
        <w:rPr>
          <w:rFonts w:cstheme="minorHAnsi"/>
          <w:color w:val="000000"/>
          <w:sz w:val="16"/>
          <w:szCs w:val="16"/>
          <w:shd w:val="clear" w:color="auto" w:fill="FFFFFF"/>
        </w:rPr>
        <w:t>atribuite la categoria produselor cosmetice.</w:t>
      </w:r>
    </w:p>
  </w:footnote>
  <w:footnote w:id="47">
    <w:p w:rsidR="008578F9" w:rsidRPr="000C66ED" w:rsidRDefault="008578F9" w:rsidP="000C66ED">
      <w:pPr>
        <w:pStyle w:val="FootnoteText"/>
        <w:jc w:val="both"/>
        <w:rPr>
          <w:rFonts w:cstheme="minorHAnsi"/>
          <w:sz w:val="16"/>
          <w:szCs w:val="16"/>
          <w:lang w:val="ro-RO"/>
        </w:rPr>
      </w:pPr>
      <w:r w:rsidRPr="000C66ED">
        <w:rPr>
          <w:rStyle w:val="FootnoteReference"/>
          <w:rFonts w:cstheme="minorHAnsi"/>
          <w:sz w:val="16"/>
          <w:szCs w:val="16"/>
        </w:rPr>
        <w:footnoteRef/>
      </w:r>
      <w:r w:rsidRPr="000C66ED">
        <w:rPr>
          <w:rFonts w:cstheme="minorHAnsi"/>
          <w:sz w:val="16"/>
          <w:szCs w:val="16"/>
        </w:rPr>
        <w:t xml:space="preserve"> </w:t>
      </w:r>
      <w:r w:rsidRPr="000C66ED">
        <w:rPr>
          <w:rFonts w:eastAsia="Times New Roman" w:cstheme="minorHAnsi"/>
          <w:sz w:val="16"/>
          <w:szCs w:val="16"/>
        </w:rPr>
        <w:t>Produsele care urmează a fi fabricate, cantitatea produsă, cantitatea de alcool etilic destinată fabricării acestor produse.</w:t>
      </w:r>
    </w:p>
  </w:footnote>
  <w:footnote w:id="48">
    <w:p w:rsidR="008578F9" w:rsidRPr="000C66ED" w:rsidRDefault="008578F9" w:rsidP="000C66ED">
      <w:pPr>
        <w:pStyle w:val="FootnoteText"/>
        <w:jc w:val="both"/>
        <w:rPr>
          <w:rFonts w:cstheme="minorHAnsi"/>
          <w:sz w:val="16"/>
          <w:szCs w:val="16"/>
          <w:lang w:val="en-US"/>
        </w:rPr>
      </w:pPr>
      <w:r w:rsidRPr="000C66ED">
        <w:rPr>
          <w:rStyle w:val="FootnoteReference"/>
          <w:rFonts w:cstheme="minorHAnsi"/>
          <w:sz w:val="16"/>
          <w:szCs w:val="16"/>
        </w:rPr>
        <w:footnoteRef/>
      </w:r>
      <w:r w:rsidRPr="000C66ED">
        <w:rPr>
          <w:rFonts w:cstheme="minorHAnsi"/>
          <w:sz w:val="16"/>
          <w:szCs w:val="16"/>
        </w:rPr>
        <w:t xml:space="preserve"> Drept exemplu se menționează adresarea către MAIA din 18.03.2020 a</w:t>
      </w:r>
      <w:r>
        <w:rPr>
          <w:rFonts w:cstheme="minorHAnsi"/>
          <w:sz w:val="16"/>
          <w:szCs w:val="16"/>
        </w:rPr>
        <w:t xml:space="preserve"> </w:t>
      </w:r>
      <w:r w:rsidRPr="000C66ED">
        <w:rPr>
          <w:rFonts w:cstheme="minorHAnsi"/>
          <w:sz w:val="16"/>
          <w:szCs w:val="16"/>
        </w:rPr>
        <w:t>agentului economic</w:t>
      </w:r>
      <w:r>
        <w:rPr>
          <w:rFonts w:cstheme="minorHAnsi"/>
          <w:sz w:val="16"/>
          <w:szCs w:val="16"/>
        </w:rPr>
        <w:t xml:space="preserve"> </w:t>
      </w:r>
      <w:r w:rsidRPr="000C66ED">
        <w:rPr>
          <w:rFonts w:cstheme="minorHAnsi"/>
          <w:sz w:val="16"/>
          <w:szCs w:val="16"/>
        </w:rPr>
        <w:t>(c/f 1014600043744).</w:t>
      </w:r>
    </w:p>
  </w:footnote>
  <w:footnote w:id="49">
    <w:p w:rsidR="008578F9" w:rsidRPr="000C66ED" w:rsidRDefault="008578F9" w:rsidP="000C66ED">
      <w:pPr>
        <w:pStyle w:val="FootnoteText"/>
        <w:jc w:val="both"/>
        <w:rPr>
          <w:rFonts w:cstheme="minorHAnsi"/>
          <w:sz w:val="16"/>
          <w:szCs w:val="16"/>
          <w:lang w:val="ro-RO"/>
        </w:rPr>
      </w:pPr>
      <w:r w:rsidRPr="000C66ED">
        <w:rPr>
          <w:rStyle w:val="FootnoteReference"/>
          <w:rFonts w:cstheme="minorHAnsi"/>
          <w:sz w:val="16"/>
          <w:szCs w:val="16"/>
        </w:rPr>
        <w:footnoteRef/>
      </w:r>
      <w:r w:rsidRPr="000C66ED">
        <w:rPr>
          <w:rFonts w:cstheme="minorHAnsi"/>
          <w:sz w:val="16"/>
          <w:szCs w:val="16"/>
        </w:rPr>
        <w:t xml:space="preserve"> MADRM a remis de pe adresa</w:t>
      </w:r>
      <w:r>
        <w:rPr>
          <w:rFonts w:cstheme="minorHAnsi"/>
          <w:sz w:val="16"/>
          <w:szCs w:val="16"/>
        </w:rPr>
        <w:t xml:space="preserve"> </w:t>
      </w:r>
      <w:r w:rsidRPr="000C66ED">
        <w:rPr>
          <w:rFonts w:cstheme="minorHAnsi"/>
          <w:color w:val="2E74B5" w:themeColor="accent1" w:themeShade="BF"/>
          <w:sz w:val="16"/>
          <w:szCs w:val="16"/>
        </w:rPr>
        <w:t>cancelaria@madrm.gov.md</w:t>
      </w:r>
      <w:r>
        <w:rPr>
          <w:rFonts w:cstheme="minorHAnsi"/>
          <w:color w:val="2E74B5" w:themeColor="accent1" w:themeShade="BF"/>
          <w:sz w:val="16"/>
          <w:szCs w:val="16"/>
        </w:rPr>
        <w:t xml:space="preserve"> </w:t>
      </w:r>
      <w:r w:rsidRPr="000C66ED">
        <w:rPr>
          <w:rFonts w:cstheme="minorHAnsi"/>
          <w:sz w:val="16"/>
          <w:szCs w:val="16"/>
        </w:rPr>
        <w:t xml:space="preserve">pe </w:t>
      </w:r>
      <w:r w:rsidRPr="0025791B">
        <w:rPr>
          <w:rFonts w:cstheme="minorHAnsi"/>
          <w:sz w:val="16"/>
          <w:szCs w:val="16"/>
        </w:rPr>
        <w:t>adresa de e</w:t>
      </w:r>
      <w:r w:rsidRPr="00D05E06">
        <w:rPr>
          <w:rFonts w:cstheme="minorHAnsi"/>
          <w:sz w:val="16"/>
          <w:szCs w:val="16"/>
        </w:rPr>
        <w:t>-</w:t>
      </w:r>
      <w:r w:rsidRPr="0025791B">
        <w:rPr>
          <w:rFonts w:cstheme="minorHAnsi"/>
          <w:sz w:val="16"/>
          <w:szCs w:val="16"/>
        </w:rPr>
        <w:t>mail a organului</w:t>
      </w:r>
      <w:r w:rsidRPr="000C66ED">
        <w:rPr>
          <w:rFonts w:cstheme="minorHAnsi"/>
          <w:sz w:val="16"/>
          <w:szCs w:val="16"/>
        </w:rPr>
        <w:t xml:space="preserve"> fiscal (</w:t>
      </w:r>
      <w:r w:rsidRPr="000C66ED">
        <w:rPr>
          <w:rFonts w:cstheme="minorHAnsi"/>
          <w:color w:val="2E74B5" w:themeColor="accent1" w:themeShade="BF"/>
          <w:sz w:val="16"/>
          <w:szCs w:val="16"/>
        </w:rPr>
        <w:t>mail@sfs.md</w:t>
      </w:r>
      <w:r w:rsidRPr="000C66ED">
        <w:rPr>
          <w:rFonts w:cstheme="minorHAnsi"/>
          <w:sz w:val="16"/>
          <w:szCs w:val="16"/>
        </w:rPr>
        <w:t>)</w:t>
      </w:r>
      <w:r>
        <w:rPr>
          <w:rFonts w:cstheme="minorHAnsi"/>
          <w:sz w:val="16"/>
          <w:szCs w:val="16"/>
        </w:rPr>
        <w:t>.</w:t>
      </w:r>
    </w:p>
  </w:footnote>
  <w:footnote w:id="50">
    <w:p w:rsidR="008578F9" w:rsidRPr="000C66ED" w:rsidRDefault="008578F9" w:rsidP="000C66ED">
      <w:pPr>
        <w:spacing w:after="0"/>
        <w:jc w:val="both"/>
        <w:rPr>
          <w:rFonts w:cstheme="minorHAnsi"/>
          <w:sz w:val="16"/>
          <w:szCs w:val="16"/>
          <w:lang w:val="ro-RO"/>
        </w:rPr>
      </w:pPr>
      <w:r w:rsidRPr="000C66ED">
        <w:rPr>
          <w:rStyle w:val="FootnoteReference"/>
          <w:rFonts w:cstheme="minorHAnsi"/>
          <w:sz w:val="16"/>
          <w:szCs w:val="16"/>
        </w:rPr>
        <w:footnoteRef/>
      </w:r>
      <w:r w:rsidRPr="000C66ED">
        <w:rPr>
          <w:rFonts w:cstheme="minorHAnsi"/>
          <w:sz w:val="16"/>
          <w:szCs w:val="16"/>
        </w:rPr>
        <w:t xml:space="preserve"> </w:t>
      </w:r>
      <w:r w:rsidRPr="000C66ED">
        <w:rPr>
          <w:rFonts w:eastAsia="Times New Roman" w:cstheme="minorHAnsi"/>
          <w:sz w:val="16"/>
          <w:szCs w:val="16"/>
        </w:rPr>
        <w:t>SRL „MC Pharmaceuticals”- 11500, 0 dal;</w:t>
      </w:r>
      <w:r w:rsidRPr="000C66ED">
        <w:rPr>
          <w:rFonts w:cstheme="minorHAnsi"/>
          <w:sz w:val="16"/>
          <w:szCs w:val="16"/>
        </w:rPr>
        <w:t xml:space="preserve"> </w:t>
      </w:r>
      <w:r w:rsidRPr="000C66ED">
        <w:rPr>
          <w:rFonts w:eastAsia="Times New Roman" w:cstheme="minorHAnsi"/>
          <w:sz w:val="16"/>
          <w:szCs w:val="16"/>
        </w:rPr>
        <w:t>SA „Viorica-Cosmetic”- 440000,0 dal;</w:t>
      </w:r>
      <w:r w:rsidRPr="000C66ED">
        <w:rPr>
          <w:rFonts w:cstheme="minorHAnsi"/>
          <w:sz w:val="16"/>
          <w:szCs w:val="16"/>
        </w:rPr>
        <w:t xml:space="preserve"> S</w:t>
      </w:r>
      <w:r w:rsidRPr="000C66ED">
        <w:rPr>
          <w:rFonts w:eastAsia="Times New Roman" w:cstheme="minorHAnsi"/>
          <w:sz w:val="16"/>
          <w:szCs w:val="16"/>
        </w:rPr>
        <w:t>RL „Marigold” -</w:t>
      </w:r>
      <w:r>
        <w:rPr>
          <w:rFonts w:eastAsia="Times New Roman" w:cstheme="minorHAnsi"/>
          <w:sz w:val="16"/>
          <w:szCs w:val="16"/>
        </w:rPr>
        <w:t xml:space="preserve"> </w:t>
      </w:r>
      <w:r w:rsidRPr="000C66ED">
        <w:rPr>
          <w:rFonts w:eastAsia="Times New Roman" w:cstheme="minorHAnsi"/>
          <w:sz w:val="16"/>
          <w:szCs w:val="16"/>
        </w:rPr>
        <w:t>6300 dal;</w:t>
      </w:r>
      <w:r w:rsidRPr="000C66ED">
        <w:rPr>
          <w:rFonts w:cstheme="minorHAnsi"/>
          <w:color w:val="000000"/>
          <w:sz w:val="16"/>
          <w:szCs w:val="16"/>
        </w:rPr>
        <w:t xml:space="preserve"> </w:t>
      </w:r>
      <w:r w:rsidRPr="000C66ED">
        <w:rPr>
          <w:rFonts w:eastAsia="Times New Roman" w:cstheme="minorHAnsi"/>
          <w:color w:val="000000"/>
          <w:sz w:val="16"/>
          <w:szCs w:val="16"/>
          <w:lang w:val="en-US"/>
        </w:rPr>
        <w:t>SRL</w:t>
      </w:r>
      <w:r>
        <w:rPr>
          <w:rFonts w:eastAsia="Times New Roman" w:cstheme="minorHAnsi"/>
          <w:color w:val="000000"/>
          <w:sz w:val="16"/>
          <w:szCs w:val="16"/>
          <w:lang w:val="en-US"/>
        </w:rPr>
        <w:t xml:space="preserve"> </w:t>
      </w:r>
      <w:r w:rsidRPr="000C66ED">
        <w:rPr>
          <w:rFonts w:eastAsia="Times New Roman" w:cstheme="minorHAnsi"/>
          <w:color w:val="000000"/>
          <w:sz w:val="16"/>
          <w:szCs w:val="16"/>
          <w:lang w:val="en-US"/>
        </w:rPr>
        <w:t>„Magichim”</w:t>
      </w:r>
      <w:r>
        <w:rPr>
          <w:rFonts w:eastAsia="Times New Roman" w:cstheme="minorHAnsi"/>
          <w:color w:val="000000"/>
          <w:sz w:val="16"/>
          <w:szCs w:val="16"/>
          <w:lang w:val="en-US"/>
        </w:rPr>
        <w:t xml:space="preserve"> </w:t>
      </w:r>
      <w:r w:rsidRPr="000C66ED">
        <w:rPr>
          <w:rFonts w:eastAsia="Times New Roman" w:cstheme="minorHAnsi"/>
          <w:color w:val="000000"/>
          <w:sz w:val="16"/>
          <w:szCs w:val="16"/>
          <w:lang w:val="en-US"/>
        </w:rPr>
        <w:t>- 600 dal;</w:t>
      </w:r>
      <w:r w:rsidRPr="000C66ED">
        <w:rPr>
          <w:rFonts w:cstheme="minorHAnsi"/>
          <w:sz w:val="16"/>
          <w:szCs w:val="16"/>
        </w:rPr>
        <w:t xml:space="preserve"> </w:t>
      </w:r>
      <w:r w:rsidRPr="000C66ED">
        <w:rPr>
          <w:rFonts w:eastAsia="Times New Roman" w:cstheme="minorHAnsi"/>
          <w:color w:val="000000"/>
          <w:sz w:val="16"/>
          <w:szCs w:val="16"/>
          <w:lang w:val="en-US"/>
        </w:rPr>
        <w:t>ÎM „Farmaco” SA</w:t>
      </w:r>
      <w:r>
        <w:rPr>
          <w:rFonts w:eastAsia="Times New Roman" w:cstheme="minorHAnsi"/>
          <w:color w:val="000000"/>
          <w:sz w:val="16"/>
          <w:szCs w:val="16"/>
          <w:lang w:val="en-US"/>
        </w:rPr>
        <w:t xml:space="preserve"> </w:t>
      </w:r>
      <w:r w:rsidRPr="000C66ED">
        <w:rPr>
          <w:rFonts w:eastAsia="Times New Roman" w:cstheme="minorHAnsi"/>
          <w:color w:val="000000"/>
          <w:sz w:val="16"/>
          <w:szCs w:val="16"/>
          <w:lang w:val="en-US"/>
        </w:rPr>
        <w:t>- 5000 dal; SRL „Spirits</w:t>
      </w:r>
      <w:r>
        <w:rPr>
          <w:rFonts w:eastAsia="Times New Roman" w:cstheme="minorHAnsi"/>
          <w:color w:val="000000"/>
          <w:sz w:val="16"/>
          <w:szCs w:val="16"/>
          <w:lang w:val="en-US"/>
        </w:rPr>
        <w:t xml:space="preserve"> and Distilled Trade”- 2000 dal.</w:t>
      </w:r>
    </w:p>
  </w:footnote>
  <w:footnote w:id="51">
    <w:p w:rsidR="008578F9" w:rsidRPr="000C66ED" w:rsidRDefault="008578F9" w:rsidP="000C66ED">
      <w:pPr>
        <w:pStyle w:val="FootnoteText"/>
        <w:jc w:val="both"/>
        <w:rPr>
          <w:rFonts w:cstheme="minorHAnsi"/>
          <w:sz w:val="16"/>
          <w:szCs w:val="16"/>
          <w:lang w:val="ro-RO"/>
        </w:rPr>
      </w:pPr>
      <w:r w:rsidRPr="000C66ED">
        <w:rPr>
          <w:rStyle w:val="FootnoteReference"/>
          <w:rFonts w:cstheme="minorHAnsi"/>
          <w:sz w:val="16"/>
          <w:szCs w:val="16"/>
        </w:rPr>
        <w:footnoteRef/>
      </w:r>
      <w:r w:rsidRPr="000C66ED">
        <w:rPr>
          <w:rFonts w:cstheme="minorHAnsi"/>
          <w:sz w:val="16"/>
          <w:szCs w:val="16"/>
        </w:rPr>
        <w:t xml:space="preserve"> Agentul economic a raportat că a utilizat alcool scutit de acciz în valoare de 1,1 mil.lei.</w:t>
      </w:r>
    </w:p>
  </w:footnote>
  <w:footnote w:id="52">
    <w:p w:rsidR="008578F9" w:rsidRPr="000C66ED" w:rsidRDefault="008578F9" w:rsidP="000C66ED">
      <w:pPr>
        <w:pStyle w:val="FootnoteText"/>
        <w:jc w:val="both"/>
        <w:rPr>
          <w:rFonts w:cstheme="minorHAnsi"/>
          <w:sz w:val="16"/>
          <w:szCs w:val="16"/>
          <w:lang w:val="ro-RO"/>
        </w:rPr>
      </w:pPr>
      <w:r w:rsidRPr="000C66ED">
        <w:rPr>
          <w:rStyle w:val="FootnoteReference"/>
          <w:rFonts w:cstheme="minorHAnsi"/>
          <w:sz w:val="16"/>
          <w:szCs w:val="16"/>
        </w:rPr>
        <w:footnoteRef/>
      </w:r>
      <w:r>
        <w:rPr>
          <w:rFonts w:cstheme="minorHAnsi"/>
          <w:sz w:val="16"/>
          <w:szCs w:val="16"/>
        </w:rPr>
        <w:t xml:space="preserve"> </w:t>
      </w:r>
      <w:r w:rsidRPr="000C66ED">
        <w:rPr>
          <w:rFonts w:cstheme="minorHAnsi"/>
          <w:sz w:val="16"/>
          <w:szCs w:val="16"/>
        </w:rPr>
        <w:t>Scrisoarea SFS nr.26-10/2-02/11438 din</w:t>
      </w:r>
      <w:r>
        <w:rPr>
          <w:rFonts w:cstheme="minorHAnsi"/>
          <w:sz w:val="16"/>
          <w:szCs w:val="16"/>
        </w:rPr>
        <w:t xml:space="preserve"> </w:t>
      </w:r>
      <w:r w:rsidRPr="000C66ED">
        <w:rPr>
          <w:rFonts w:cstheme="minorHAnsi"/>
          <w:sz w:val="16"/>
          <w:szCs w:val="16"/>
        </w:rPr>
        <w:t>18.05.2020.</w:t>
      </w:r>
    </w:p>
  </w:footnote>
  <w:footnote w:id="53">
    <w:p w:rsidR="008578F9" w:rsidRPr="00F531B1" w:rsidRDefault="008578F9" w:rsidP="00F531B1">
      <w:pPr>
        <w:pStyle w:val="FootnoteText"/>
        <w:jc w:val="both"/>
        <w:rPr>
          <w:rFonts w:cstheme="minorHAnsi"/>
          <w:sz w:val="16"/>
          <w:szCs w:val="16"/>
          <w:lang w:val="ro-RO"/>
        </w:rPr>
      </w:pPr>
      <w:r w:rsidRPr="00F531B1">
        <w:rPr>
          <w:rStyle w:val="FootnoteReference"/>
          <w:rFonts w:cstheme="minorHAnsi"/>
          <w:sz w:val="16"/>
          <w:szCs w:val="16"/>
        </w:rPr>
        <w:footnoteRef/>
      </w:r>
      <w:r w:rsidRPr="00F531B1">
        <w:rPr>
          <w:rFonts w:cstheme="minorHAnsi"/>
          <w:sz w:val="16"/>
          <w:szCs w:val="16"/>
        </w:rPr>
        <w:t xml:space="preserve"> Scrisoarea SFS nr.26-08/2-13/24066 din 31.07.2020.</w:t>
      </w:r>
    </w:p>
  </w:footnote>
  <w:footnote w:id="54">
    <w:p w:rsidR="008578F9" w:rsidRPr="00F531B1" w:rsidRDefault="008578F9" w:rsidP="00F531B1">
      <w:pPr>
        <w:pStyle w:val="FootnoteText"/>
        <w:jc w:val="both"/>
        <w:rPr>
          <w:rFonts w:cstheme="minorHAnsi"/>
          <w:sz w:val="16"/>
          <w:szCs w:val="16"/>
          <w:lang w:val="ro-RO"/>
        </w:rPr>
      </w:pPr>
      <w:r w:rsidRPr="00F531B1">
        <w:rPr>
          <w:rStyle w:val="FootnoteReference"/>
          <w:rFonts w:cstheme="minorHAnsi"/>
          <w:sz w:val="16"/>
          <w:szCs w:val="16"/>
        </w:rPr>
        <w:footnoteRef/>
      </w:r>
      <w:r w:rsidRPr="00F531B1">
        <w:rPr>
          <w:rFonts w:cstheme="minorHAnsi"/>
          <w:sz w:val="16"/>
          <w:szCs w:val="16"/>
        </w:rPr>
        <w:t xml:space="preserve"> </w:t>
      </w:r>
      <w:r w:rsidRPr="00F531B1">
        <w:rPr>
          <w:rFonts w:cstheme="minorHAnsi"/>
          <w:sz w:val="16"/>
          <w:szCs w:val="16"/>
          <w:lang w:val="ro-RO"/>
        </w:rPr>
        <w:t>Scrisoarea MAIA</w:t>
      </w:r>
      <w:r>
        <w:rPr>
          <w:rFonts w:cstheme="minorHAnsi"/>
          <w:sz w:val="16"/>
          <w:szCs w:val="16"/>
          <w:lang w:val="ro-RO"/>
        </w:rPr>
        <w:t>,</w:t>
      </w:r>
      <w:r w:rsidRPr="00F531B1">
        <w:rPr>
          <w:rFonts w:cstheme="minorHAnsi"/>
          <w:sz w:val="16"/>
          <w:szCs w:val="16"/>
          <w:lang w:val="ro-RO"/>
        </w:rPr>
        <w:t xml:space="preserve"> adresată SFS</w:t>
      </w:r>
      <w:r>
        <w:rPr>
          <w:rFonts w:cstheme="minorHAnsi"/>
          <w:sz w:val="16"/>
          <w:szCs w:val="16"/>
          <w:lang w:val="ro-RO"/>
        </w:rPr>
        <w:t>,</w:t>
      </w:r>
      <w:r w:rsidRPr="00F531B1">
        <w:rPr>
          <w:rFonts w:cstheme="minorHAnsi"/>
          <w:sz w:val="16"/>
          <w:szCs w:val="16"/>
          <w:lang w:val="ro-RO"/>
        </w:rPr>
        <w:t xml:space="preserve"> cu nr. 25-07/510 din 09.02.2021.</w:t>
      </w:r>
    </w:p>
  </w:footnote>
  <w:footnote w:id="55">
    <w:p w:rsidR="008578F9" w:rsidRPr="00F531B1" w:rsidRDefault="008578F9" w:rsidP="00F531B1">
      <w:pPr>
        <w:pStyle w:val="FootnoteText"/>
        <w:jc w:val="both"/>
        <w:rPr>
          <w:rFonts w:cstheme="minorHAnsi"/>
          <w:sz w:val="16"/>
          <w:szCs w:val="16"/>
          <w:lang w:val="ro-RO"/>
        </w:rPr>
      </w:pPr>
      <w:r w:rsidRPr="00F531B1">
        <w:rPr>
          <w:rStyle w:val="FootnoteReference"/>
          <w:rFonts w:cstheme="minorHAnsi"/>
          <w:sz w:val="16"/>
          <w:szCs w:val="16"/>
        </w:rPr>
        <w:footnoteRef/>
      </w:r>
      <w:r w:rsidRPr="00F531B1">
        <w:rPr>
          <w:rFonts w:cstheme="minorHAnsi"/>
          <w:sz w:val="16"/>
          <w:szCs w:val="16"/>
        </w:rPr>
        <w:t xml:space="preserve"> </w:t>
      </w:r>
      <w:r w:rsidRPr="00F531B1">
        <w:rPr>
          <w:rFonts w:cstheme="minorHAnsi"/>
          <w:sz w:val="16"/>
          <w:szCs w:val="16"/>
          <w:lang w:val="ro-RO"/>
        </w:rPr>
        <w:t xml:space="preserve">Riscul nr.103 </w:t>
      </w:r>
      <w:r>
        <w:rPr>
          <w:rFonts w:cstheme="minorHAnsi"/>
          <w:sz w:val="16"/>
          <w:szCs w:val="16"/>
          <w:lang w:val="ro-RO"/>
        </w:rPr>
        <w:t>„</w:t>
      </w:r>
      <w:r w:rsidRPr="00F531B1">
        <w:rPr>
          <w:rFonts w:cstheme="minorHAnsi"/>
          <w:sz w:val="16"/>
          <w:szCs w:val="16"/>
          <w:lang w:val="ro-RO"/>
        </w:rPr>
        <w:t>Înregistrarea pierderilor pentru ultimele trei perioade fiscale”</w:t>
      </w:r>
      <w:r>
        <w:rPr>
          <w:rFonts w:cstheme="minorHAnsi"/>
          <w:sz w:val="16"/>
          <w:szCs w:val="16"/>
          <w:lang w:val="ro-RO"/>
        </w:rPr>
        <w:t>,</w:t>
      </w:r>
      <w:r w:rsidRPr="00F531B1">
        <w:rPr>
          <w:rFonts w:cstheme="minorHAnsi"/>
          <w:sz w:val="16"/>
          <w:szCs w:val="16"/>
          <w:lang w:val="ro-RO"/>
        </w:rPr>
        <w:t xml:space="preserve"> prevăzut de Normele metodologice privind determinarea și clasificarea riscurilor de conformare fiscală, aprobat</w:t>
      </w:r>
      <w:r>
        <w:rPr>
          <w:rFonts w:cstheme="minorHAnsi"/>
          <w:sz w:val="16"/>
          <w:szCs w:val="16"/>
          <w:lang w:val="ro-RO"/>
        </w:rPr>
        <w:t>e</w:t>
      </w:r>
      <w:r w:rsidRPr="00F531B1">
        <w:rPr>
          <w:rFonts w:cstheme="minorHAnsi"/>
          <w:sz w:val="16"/>
          <w:szCs w:val="16"/>
          <w:lang w:val="ro-RO"/>
        </w:rPr>
        <w:t xml:space="preserve"> prin</w:t>
      </w:r>
      <w:r>
        <w:rPr>
          <w:rFonts w:cstheme="minorHAnsi"/>
          <w:sz w:val="16"/>
          <w:szCs w:val="16"/>
          <w:lang w:val="ro-RO"/>
        </w:rPr>
        <w:t xml:space="preserve"> Ordinul I</w:t>
      </w:r>
      <w:r w:rsidRPr="00F531B1">
        <w:rPr>
          <w:rFonts w:cstheme="minorHAnsi"/>
          <w:sz w:val="16"/>
          <w:szCs w:val="16"/>
          <w:lang w:val="ro-RO"/>
        </w:rPr>
        <w:t>FPS nr.470 din 26.05.2016,</w:t>
      </w:r>
      <w:r>
        <w:rPr>
          <w:rFonts w:cstheme="minorHAnsi"/>
          <w:sz w:val="16"/>
          <w:szCs w:val="16"/>
          <w:lang w:val="ro-RO"/>
        </w:rPr>
        <w:t xml:space="preserve"> </w:t>
      </w:r>
      <w:r w:rsidRPr="00F531B1">
        <w:rPr>
          <w:rFonts w:cstheme="minorHAnsi"/>
          <w:sz w:val="16"/>
          <w:szCs w:val="16"/>
          <w:lang w:val="ro-RO"/>
        </w:rPr>
        <w:t>cu completările și modificările ulterioare.</w:t>
      </w:r>
    </w:p>
  </w:footnote>
  <w:footnote w:id="56">
    <w:p w:rsidR="008578F9" w:rsidRPr="00F531B1" w:rsidRDefault="008578F9" w:rsidP="00F531B1">
      <w:pPr>
        <w:pStyle w:val="FootnoteText"/>
        <w:jc w:val="both"/>
        <w:rPr>
          <w:rFonts w:cstheme="minorHAnsi"/>
          <w:sz w:val="16"/>
          <w:szCs w:val="16"/>
          <w:lang w:val="ro-RO"/>
        </w:rPr>
      </w:pPr>
      <w:r w:rsidRPr="00F531B1">
        <w:rPr>
          <w:rStyle w:val="FootnoteReference"/>
          <w:rFonts w:cstheme="minorHAnsi"/>
          <w:sz w:val="16"/>
          <w:szCs w:val="16"/>
        </w:rPr>
        <w:footnoteRef/>
      </w:r>
      <w:r w:rsidRPr="00F531B1">
        <w:rPr>
          <w:rFonts w:cstheme="minorHAnsi"/>
          <w:sz w:val="16"/>
          <w:szCs w:val="16"/>
        </w:rPr>
        <w:t xml:space="preserve"> Povara fiscală pentru A/2020 - 2,69% (livrări </w:t>
      </w:r>
      <w:r>
        <w:rPr>
          <w:rFonts w:cstheme="minorHAnsi"/>
          <w:sz w:val="16"/>
          <w:szCs w:val="16"/>
        </w:rPr>
        <w:t xml:space="preserve">- </w:t>
      </w:r>
      <w:r w:rsidRPr="00F531B1">
        <w:rPr>
          <w:rFonts w:cstheme="minorHAnsi"/>
          <w:sz w:val="16"/>
          <w:szCs w:val="16"/>
        </w:rPr>
        <w:t xml:space="preserve">775 300 lei, impozite si taxe calculate - 20 893 lei) , pentru A/2021 - 1,47% (livrări </w:t>
      </w:r>
      <w:r>
        <w:rPr>
          <w:rFonts w:cstheme="minorHAnsi"/>
          <w:sz w:val="16"/>
          <w:szCs w:val="16"/>
        </w:rPr>
        <w:t xml:space="preserve">- </w:t>
      </w:r>
      <w:r w:rsidRPr="00F531B1">
        <w:rPr>
          <w:rFonts w:cstheme="minorHAnsi"/>
          <w:sz w:val="16"/>
          <w:szCs w:val="16"/>
        </w:rPr>
        <w:t xml:space="preserve">971 634 lei, impozite si taxe calculate - 14 303 lei), pentru 2L/2022 - 1,14% (livrări </w:t>
      </w:r>
      <w:r>
        <w:rPr>
          <w:rFonts w:cstheme="minorHAnsi"/>
          <w:sz w:val="16"/>
          <w:szCs w:val="16"/>
        </w:rPr>
        <w:t xml:space="preserve">- </w:t>
      </w:r>
      <w:r w:rsidRPr="00F531B1">
        <w:rPr>
          <w:rFonts w:cstheme="minorHAnsi"/>
          <w:sz w:val="16"/>
          <w:szCs w:val="16"/>
        </w:rPr>
        <w:t>179 538 lei, impozite si taxe calculate - 2 055 lei).</w:t>
      </w:r>
    </w:p>
  </w:footnote>
  <w:footnote w:id="57">
    <w:p w:rsidR="008578F9" w:rsidRPr="00F531B1" w:rsidRDefault="008578F9" w:rsidP="00F531B1">
      <w:pPr>
        <w:pStyle w:val="FootnoteText"/>
        <w:jc w:val="both"/>
        <w:rPr>
          <w:rFonts w:cstheme="minorHAnsi"/>
          <w:sz w:val="16"/>
          <w:szCs w:val="16"/>
          <w:lang w:val="ro-RO"/>
        </w:rPr>
      </w:pPr>
      <w:r w:rsidRPr="00F531B1">
        <w:rPr>
          <w:rStyle w:val="FootnoteReference"/>
          <w:rFonts w:cstheme="minorHAnsi"/>
          <w:sz w:val="16"/>
          <w:szCs w:val="16"/>
        </w:rPr>
        <w:footnoteRef/>
      </w:r>
      <w:r w:rsidRPr="00F531B1">
        <w:rPr>
          <w:rFonts w:eastAsia="Times New Roman" w:cstheme="minorHAnsi"/>
          <w:color w:val="000000"/>
          <w:sz w:val="16"/>
          <w:szCs w:val="16"/>
          <w:lang w:val="en-US"/>
        </w:rPr>
        <w:t xml:space="preserve"> </w:t>
      </w:r>
      <w:r w:rsidRPr="00F531B1">
        <w:rPr>
          <w:rFonts w:cstheme="minorHAnsi"/>
          <w:sz w:val="16"/>
          <w:szCs w:val="16"/>
        </w:rPr>
        <w:t xml:space="preserve">Potrivit scrisorii nr.25-104/1935, </w:t>
      </w:r>
      <w:r w:rsidRPr="00F531B1">
        <w:rPr>
          <w:rFonts w:eastAsia="Times New Roman" w:cstheme="minorHAnsi"/>
          <w:color w:val="000000"/>
          <w:sz w:val="16"/>
          <w:szCs w:val="16"/>
          <w:lang w:val="en-US"/>
        </w:rPr>
        <w:t>SRL „Golub-Stil</w:t>
      </w:r>
      <w:r w:rsidRPr="00F531B1">
        <w:rPr>
          <w:rFonts w:cstheme="minorHAnsi"/>
          <w:sz w:val="16"/>
          <w:szCs w:val="16"/>
        </w:rPr>
        <w:t>” a beneficiat de</w:t>
      </w:r>
      <w:r>
        <w:rPr>
          <w:rFonts w:cstheme="minorHAnsi"/>
          <w:sz w:val="16"/>
          <w:szCs w:val="16"/>
        </w:rPr>
        <w:t xml:space="preserve"> scutiri de plata</w:t>
      </w:r>
      <w:r w:rsidRPr="00F531B1">
        <w:rPr>
          <w:rFonts w:cstheme="minorHAnsi"/>
          <w:sz w:val="16"/>
          <w:szCs w:val="16"/>
        </w:rPr>
        <w:t xml:space="preserve"> acciz</w:t>
      </w:r>
      <w:r>
        <w:rPr>
          <w:rFonts w:cstheme="minorHAnsi"/>
          <w:sz w:val="16"/>
          <w:szCs w:val="16"/>
        </w:rPr>
        <w:t xml:space="preserve">elor </w:t>
      </w:r>
      <w:r w:rsidRPr="00F531B1">
        <w:rPr>
          <w:rFonts w:cstheme="minorHAnsi"/>
          <w:sz w:val="16"/>
          <w:szCs w:val="16"/>
        </w:rPr>
        <w:t>în valoare de</w:t>
      </w:r>
      <w:r>
        <w:rPr>
          <w:rFonts w:cstheme="minorHAnsi"/>
          <w:sz w:val="16"/>
          <w:szCs w:val="16"/>
        </w:rPr>
        <w:t xml:space="preserve"> </w:t>
      </w:r>
      <w:r w:rsidRPr="00F531B1">
        <w:rPr>
          <w:rFonts w:cstheme="minorHAnsi"/>
          <w:sz w:val="16"/>
          <w:szCs w:val="16"/>
        </w:rPr>
        <w:t>0,5 mil.lei</w:t>
      </w:r>
    </w:p>
  </w:footnote>
  <w:footnote w:id="58">
    <w:p w:rsidR="008578F9" w:rsidRPr="00A411BB" w:rsidRDefault="008578F9" w:rsidP="00A411BB">
      <w:pPr>
        <w:pStyle w:val="FootnoteText"/>
        <w:jc w:val="both"/>
        <w:rPr>
          <w:rFonts w:cstheme="minorHAnsi"/>
          <w:sz w:val="16"/>
          <w:szCs w:val="16"/>
          <w:lang w:val="ro-RO"/>
        </w:rPr>
      </w:pPr>
      <w:r w:rsidRPr="00A411BB">
        <w:rPr>
          <w:rStyle w:val="FootnoteReference"/>
          <w:rFonts w:cstheme="minorHAnsi"/>
          <w:sz w:val="16"/>
          <w:szCs w:val="16"/>
        </w:rPr>
        <w:footnoteRef/>
      </w:r>
      <w:r w:rsidRPr="00A411BB">
        <w:rPr>
          <w:rFonts w:cstheme="minorHAnsi"/>
          <w:sz w:val="16"/>
          <w:szCs w:val="16"/>
        </w:rPr>
        <w:t xml:space="preserve"> Hotărârea Guvernului nr. 102</w:t>
      </w:r>
      <w:r>
        <w:rPr>
          <w:rFonts w:cstheme="minorHAnsi"/>
          <w:sz w:val="16"/>
          <w:szCs w:val="16"/>
        </w:rPr>
        <w:t xml:space="preserve"> </w:t>
      </w:r>
      <w:r w:rsidRPr="00A411BB">
        <w:rPr>
          <w:rFonts w:cstheme="minorHAnsi"/>
          <w:sz w:val="16"/>
          <w:szCs w:val="16"/>
        </w:rPr>
        <w:t>din</w:t>
      </w:r>
      <w:r>
        <w:rPr>
          <w:rFonts w:cstheme="minorHAnsi"/>
          <w:sz w:val="16"/>
          <w:szCs w:val="16"/>
        </w:rPr>
        <w:t xml:space="preserve"> </w:t>
      </w:r>
      <w:r w:rsidRPr="00A411BB">
        <w:rPr>
          <w:rFonts w:cstheme="minorHAnsi"/>
          <w:sz w:val="16"/>
          <w:szCs w:val="16"/>
        </w:rPr>
        <w:t>19.02.2020 cu privire la stabilirea cuantumului anual de alcool etilic nedenaturat destinat producerii farmaceutice şi utilizării în medicină</w:t>
      </w:r>
      <w:r>
        <w:rPr>
          <w:rFonts w:cstheme="minorHAnsi"/>
          <w:sz w:val="16"/>
          <w:szCs w:val="16"/>
        </w:rPr>
        <w:t xml:space="preserve"> </w:t>
      </w:r>
      <w:r w:rsidRPr="00A411BB">
        <w:rPr>
          <w:rFonts w:cstheme="minorHAnsi"/>
          <w:sz w:val="16"/>
          <w:szCs w:val="16"/>
        </w:rPr>
        <w:t>pentru anul 2020</w:t>
      </w:r>
      <w:r>
        <w:rPr>
          <w:rFonts w:cstheme="minorHAnsi"/>
          <w:sz w:val="16"/>
          <w:szCs w:val="16"/>
        </w:rPr>
        <w:t xml:space="preserve"> </w:t>
      </w:r>
      <w:r w:rsidRPr="00A411BB">
        <w:rPr>
          <w:rFonts w:cstheme="minorHAnsi"/>
          <w:sz w:val="16"/>
          <w:szCs w:val="16"/>
        </w:rPr>
        <w:t>și</w:t>
      </w:r>
      <w:r>
        <w:rPr>
          <w:rFonts w:cstheme="minorHAnsi"/>
          <w:sz w:val="16"/>
          <w:szCs w:val="16"/>
        </w:rPr>
        <w:t xml:space="preserve"> </w:t>
      </w:r>
      <w:r w:rsidRPr="00A411BB">
        <w:rPr>
          <w:rFonts w:cstheme="minorHAnsi"/>
          <w:sz w:val="16"/>
          <w:szCs w:val="16"/>
        </w:rPr>
        <w:t>Hotărârea Guvernului nr.18</w:t>
      </w:r>
      <w:r>
        <w:rPr>
          <w:rFonts w:cstheme="minorHAnsi"/>
          <w:sz w:val="16"/>
          <w:szCs w:val="16"/>
        </w:rPr>
        <w:t xml:space="preserve"> </w:t>
      </w:r>
      <w:r w:rsidRPr="00A411BB">
        <w:rPr>
          <w:rFonts w:cstheme="minorHAnsi"/>
          <w:sz w:val="16"/>
          <w:szCs w:val="16"/>
        </w:rPr>
        <w:t>din</w:t>
      </w:r>
      <w:r>
        <w:rPr>
          <w:rFonts w:cstheme="minorHAnsi"/>
          <w:sz w:val="16"/>
          <w:szCs w:val="16"/>
        </w:rPr>
        <w:t xml:space="preserve"> </w:t>
      </w:r>
      <w:r w:rsidRPr="00A411BB">
        <w:rPr>
          <w:rFonts w:cstheme="minorHAnsi"/>
          <w:sz w:val="16"/>
          <w:szCs w:val="16"/>
        </w:rPr>
        <w:t>12.02.2021 cu privire la stabilirea cuantumului anual de alcool etilic nedenaturat destinat producerii farmaceutice şi utilizării în medicină pentru anul 2021.</w:t>
      </w:r>
      <w:r>
        <w:rPr>
          <w:rFonts w:cstheme="minorHAnsi"/>
          <w:sz w:val="16"/>
          <w:szCs w:val="16"/>
        </w:rPr>
        <w:t xml:space="preserve"> </w:t>
      </w:r>
    </w:p>
  </w:footnote>
  <w:footnote w:id="59">
    <w:p w:rsidR="008578F9" w:rsidRPr="00A411BB" w:rsidRDefault="008578F9" w:rsidP="00A411BB">
      <w:pPr>
        <w:spacing w:after="0" w:line="240" w:lineRule="auto"/>
        <w:jc w:val="both"/>
        <w:rPr>
          <w:rFonts w:cstheme="minorHAnsi"/>
          <w:sz w:val="16"/>
          <w:szCs w:val="16"/>
          <w:lang w:val="en-US"/>
        </w:rPr>
      </w:pPr>
      <w:r w:rsidRPr="00A411BB">
        <w:rPr>
          <w:rStyle w:val="FootnoteReference"/>
          <w:rFonts w:cstheme="minorHAnsi"/>
          <w:sz w:val="16"/>
          <w:szCs w:val="16"/>
        </w:rPr>
        <w:footnoteRef/>
      </w:r>
      <w:r w:rsidRPr="00A411BB">
        <w:rPr>
          <w:rFonts w:cstheme="minorHAnsi"/>
          <w:sz w:val="16"/>
          <w:szCs w:val="16"/>
        </w:rPr>
        <w:t xml:space="preserve"> </w:t>
      </w:r>
      <w:r w:rsidRPr="00A411BB">
        <w:rPr>
          <w:rStyle w:val="Bodytext20"/>
          <w:rFonts w:asciiTheme="minorHAnsi" w:eastAsiaTheme="minorHAnsi" w:hAnsiTheme="minorHAnsi" w:cstheme="minorHAnsi"/>
          <w:color w:val="auto"/>
          <w:sz w:val="16"/>
          <w:szCs w:val="16"/>
        </w:rPr>
        <w:t>Aprobat</w:t>
      </w:r>
      <w:r>
        <w:rPr>
          <w:rStyle w:val="Bodytext20"/>
          <w:rFonts w:asciiTheme="minorHAnsi" w:eastAsiaTheme="minorHAnsi" w:hAnsiTheme="minorHAnsi" w:cstheme="minorHAnsi"/>
          <w:color w:val="auto"/>
          <w:sz w:val="16"/>
          <w:szCs w:val="16"/>
        </w:rPr>
        <w:t xml:space="preserve"> </w:t>
      </w:r>
      <w:r w:rsidRPr="00A411BB">
        <w:rPr>
          <w:rStyle w:val="Bodytext20"/>
          <w:rFonts w:asciiTheme="minorHAnsi" w:eastAsiaTheme="minorHAnsi" w:hAnsiTheme="minorHAnsi" w:cstheme="minorHAnsi"/>
          <w:color w:val="auto"/>
          <w:sz w:val="16"/>
          <w:szCs w:val="16"/>
        </w:rPr>
        <w:t>prin Hotărârea Guvernului nr.1472 din 30.12. 2016.</w:t>
      </w:r>
    </w:p>
  </w:footnote>
  <w:footnote w:id="60">
    <w:p w:rsidR="008578F9" w:rsidRPr="00A411BB" w:rsidRDefault="008578F9" w:rsidP="00405A66">
      <w:pPr>
        <w:pStyle w:val="FootnoteText"/>
        <w:jc w:val="both"/>
        <w:rPr>
          <w:rFonts w:cstheme="minorHAnsi"/>
          <w:sz w:val="16"/>
          <w:szCs w:val="16"/>
          <w:lang w:val="ro-RO"/>
        </w:rPr>
      </w:pPr>
      <w:r w:rsidRPr="00A411BB">
        <w:rPr>
          <w:rStyle w:val="FootnoteReference"/>
          <w:rFonts w:cstheme="minorHAnsi"/>
          <w:sz w:val="16"/>
          <w:szCs w:val="16"/>
        </w:rPr>
        <w:footnoteRef/>
      </w:r>
      <w:r w:rsidRPr="00A411BB">
        <w:rPr>
          <w:rFonts w:cstheme="minorHAnsi"/>
          <w:sz w:val="16"/>
          <w:szCs w:val="16"/>
        </w:rPr>
        <w:t xml:space="preserve"> Art.II din Legea nr.1128-XV din 14 iunie 2002</w:t>
      </w:r>
      <w:r>
        <w:rPr>
          <w:rFonts w:cstheme="minorHAnsi"/>
          <w:sz w:val="16"/>
          <w:szCs w:val="16"/>
        </w:rPr>
        <w:t xml:space="preserve"> </w:t>
      </w:r>
      <w:r w:rsidRPr="00A411BB">
        <w:rPr>
          <w:rFonts w:cstheme="minorHAnsi"/>
          <w:sz w:val="16"/>
          <w:szCs w:val="16"/>
        </w:rPr>
        <w:t xml:space="preserve">pentru modificarea articolului 103 din Titlul III şi a anexei la Titlul IV ale Codului fiscal, care statua </w:t>
      </w:r>
      <w:r w:rsidRPr="005C4443">
        <w:rPr>
          <w:rFonts w:cstheme="minorHAnsi"/>
          <w:sz w:val="16"/>
          <w:szCs w:val="16"/>
        </w:rPr>
        <w:t xml:space="preserve">că </w:t>
      </w:r>
      <w:r>
        <w:rPr>
          <w:rFonts w:cstheme="minorHAnsi"/>
          <w:sz w:val="16"/>
          <w:szCs w:val="16"/>
        </w:rPr>
        <w:t xml:space="preserve"> ”</w:t>
      </w:r>
      <w:r w:rsidRPr="005C4443">
        <w:rPr>
          <w:rFonts w:cstheme="minorHAnsi"/>
          <w:sz w:val="16"/>
          <w:szCs w:val="16"/>
        </w:rPr>
        <w:t>Punctul</w:t>
      </w:r>
      <w:r w:rsidRPr="00405A66">
        <w:rPr>
          <w:rFonts w:cstheme="minorHAnsi"/>
          <w:sz w:val="16"/>
          <w:szCs w:val="16"/>
        </w:rPr>
        <w:t xml:space="preserve"> 5 al notelor din anexa la Titlul IV al Codului fiscal nr.1053-XIV din 16 iunie 2000 (republicat în Monitorul Oficial al Republicii Moldova, 2001, nr.102-103, art.814), cu modificările ulterioare, va avea următorul cuprins: </w:t>
      </w:r>
      <w:r w:rsidRPr="005C4443">
        <w:rPr>
          <w:rFonts w:cstheme="minorHAnsi"/>
          <w:i/>
          <w:sz w:val="16"/>
          <w:szCs w:val="16"/>
        </w:rPr>
        <w:t>Prin derogare de la prevederile art.125, suma accizelor vărsată în buget pentru alcoolul etilic nedenaturat de la poziţia tarifară 2207 10 000, procurat în scopul utilizării lui în medicină şi în industria de parfumerie şi cosmetică în volumul contingentului anual stabilit de Guvern, se restituie conform Regulamentului aprobat de Guvern</w:t>
      </w:r>
      <w:r>
        <w:rPr>
          <w:rFonts w:cstheme="minorHAnsi"/>
          <w:sz w:val="16"/>
          <w:szCs w:val="16"/>
        </w:rPr>
        <w:t>”.</w:t>
      </w:r>
    </w:p>
  </w:footnote>
  <w:footnote w:id="61">
    <w:p w:rsidR="008578F9" w:rsidRPr="007B7669" w:rsidRDefault="008578F9" w:rsidP="00A411BB">
      <w:pPr>
        <w:pStyle w:val="FootnoteText"/>
        <w:jc w:val="both"/>
        <w:rPr>
          <w:rFonts w:asciiTheme="majorHAnsi" w:hAnsiTheme="majorHAnsi" w:cstheme="majorHAnsi"/>
          <w:sz w:val="16"/>
          <w:szCs w:val="16"/>
          <w:lang w:val="ro-RO"/>
        </w:rPr>
      </w:pPr>
      <w:r w:rsidRPr="00A411BB">
        <w:rPr>
          <w:rStyle w:val="FootnoteReference"/>
          <w:rFonts w:cstheme="minorHAnsi"/>
          <w:sz w:val="16"/>
          <w:szCs w:val="16"/>
        </w:rPr>
        <w:footnoteRef/>
      </w:r>
      <w:r w:rsidRPr="00A411BB">
        <w:rPr>
          <w:rFonts w:cstheme="minorHAnsi"/>
          <w:sz w:val="16"/>
          <w:szCs w:val="16"/>
        </w:rPr>
        <w:t xml:space="preserve"> Legea nr.71 din 12.04.2015 pentru modificarea și</w:t>
      </w:r>
      <w:r>
        <w:rPr>
          <w:rFonts w:cstheme="minorHAnsi"/>
          <w:sz w:val="16"/>
          <w:szCs w:val="16"/>
        </w:rPr>
        <w:t xml:space="preserve"> </w:t>
      </w:r>
      <w:r w:rsidRPr="00A411BB">
        <w:rPr>
          <w:rFonts w:cstheme="minorHAnsi"/>
          <w:sz w:val="16"/>
          <w:szCs w:val="16"/>
        </w:rPr>
        <w:t>completarea unor acte legislative.</w:t>
      </w:r>
      <w:r w:rsidRPr="007B7669">
        <w:rPr>
          <w:rFonts w:asciiTheme="majorHAnsi" w:hAnsiTheme="majorHAnsi" w:cstheme="majorHAnsi"/>
          <w:sz w:val="16"/>
          <w:szCs w:val="16"/>
        </w:rPr>
        <w:t xml:space="preserve"> </w:t>
      </w:r>
    </w:p>
  </w:footnote>
  <w:footnote w:id="62">
    <w:p w:rsidR="008578F9" w:rsidRPr="00A411BB" w:rsidRDefault="008578F9" w:rsidP="00A411BB">
      <w:pPr>
        <w:pStyle w:val="FootnoteText"/>
        <w:jc w:val="both"/>
        <w:rPr>
          <w:rFonts w:cstheme="minorHAnsi"/>
          <w:sz w:val="16"/>
          <w:szCs w:val="16"/>
          <w:lang w:val="ro-RO"/>
        </w:rPr>
      </w:pPr>
      <w:r w:rsidRPr="00A411BB">
        <w:rPr>
          <w:rStyle w:val="FootnoteReference"/>
          <w:rFonts w:cstheme="minorHAnsi"/>
          <w:sz w:val="16"/>
          <w:szCs w:val="16"/>
        </w:rPr>
        <w:footnoteRef/>
      </w:r>
      <w:r w:rsidRPr="00A411BB">
        <w:rPr>
          <w:rFonts w:cstheme="minorHAnsi"/>
          <w:sz w:val="16"/>
          <w:szCs w:val="16"/>
        </w:rPr>
        <w:t xml:space="preserve"> </w:t>
      </w:r>
      <w:r w:rsidRPr="00A411BB">
        <w:rPr>
          <w:rFonts w:cstheme="minorHAnsi"/>
          <w:sz w:val="16"/>
          <w:szCs w:val="16"/>
          <w:lang w:val="ro-RO"/>
        </w:rPr>
        <w:t xml:space="preserve">Analizele echipei de audit s-au concentrat asupra 14 agenți </w:t>
      </w:r>
      <w:r w:rsidRPr="00EC1EAF">
        <w:rPr>
          <w:rFonts w:cstheme="minorHAnsi"/>
          <w:sz w:val="16"/>
          <w:szCs w:val="16"/>
          <w:lang w:val="ro-RO"/>
        </w:rPr>
        <w:t>economici,</w:t>
      </w:r>
      <w:r w:rsidRPr="00A411BB">
        <w:rPr>
          <w:rFonts w:cstheme="minorHAnsi"/>
          <w:sz w:val="16"/>
          <w:szCs w:val="16"/>
          <w:lang w:val="ro-RO"/>
        </w:rPr>
        <w:t xml:space="preserve"> care per total au beneficiat </w:t>
      </w:r>
      <w:r w:rsidRPr="00426E0E">
        <w:rPr>
          <w:rFonts w:cstheme="minorHAnsi"/>
          <w:sz w:val="16"/>
          <w:szCs w:val="16"/>
          <w:lang w:val="ro-RO"/>
        </w:rPr>
        <w:t>de 3</w:t>
      </w:r>
      <w:r w:rsidRPr="00A411BB">
        <w:rPr>
          <w:rFonts w:cstheme="minorHAnsi"/>
          <w:sz w:val="16"/>
          <w:szCs w:val="16"/>
          <w:lang w:val="ro-RO"/>
        </w:rPr>
        <w:t>5,7 mil. lei, sau</w:t>
      </w:r>
      <w:r>
        <w:rPr>
          <w:rFonts w:cstheme="minorHAnsi"/>
          <w:sz w:val="16"/>
          <w:szCs w:val="16"/>
          <w:lang w:val="ro-RO"/>
        </w:rPr>
        <w:t xml:space="preserve"> </w:t>
      </w:r>
      <w:r w:rsidRPr="00A411BB">
        <w:rPr>
          <w:rFonts w:cstheme="minorHAnsi"/>
          <w:sz w:val="16"/>
          <w:szCs w:val="16"/>
          <w:lang w:val="ro-RO"/>
        </w:rPr>
        <w:t>97%.</w:t>
      </w:r>
    </w:p>
  </w:footnote>
  <w:footnote w:id="63">
    <w:p w:rsidR="008578F9" w:rsidRPr="00A411BB" w:rsidRDefault="008578F9" w:rsidP="00A411BB">
      <w:pPr>
        <w:pStyle w:val="FootnoteText"/>
        <w:jc w:val="both"/>
        <w:rPr>
          <w:rFonts w:cstheme="minorHAnsi"/>
          <w:sz w:val="16"/>
          <w:szCs w:val="16"/>
          <w:lang w:val="ro-RO"/>
        </w:rPr>
      </w:pPr>
      <w:r w:rsidRPr="00A411BB">
        <w:rPr>
          <w:rStyle w:val="FootnoteReference"/>
          <w:rFonts w:cstheme="minorHAnsi"/>
          <w:sz w:val="16"/>
          <w:szCs w:val="16"/>
        </w:rPr>
        <w:footnoteRef/>
      </w:r>
      <w:r w:rsidRPr="00A411BB">
        <w:rPr>
          <w:rFonts w:cstheme="minorHAnsi"/>
          <w:sz w:val="16"/>
          <w:szCs w:val="16"/>
        </w:rPr>
        <w:t xml:space="preserve"> Recomandarea nr.3 din</w:t>
      </w:r>
      <w:r>
        <w:rPr>
          <w:rFonts w:cstheme="minorHAnsi"/>
          <w:sz w:val="16"/>
          <w:szCs w:val="16"/>
        </w:rPr>
        <w:t xml:space="preserve"> </w:t>
      </w:r>
      <w:r w:rsidRPr="00A411BB">
        <w:rPr>
          <w:rFonts w:cstheme="minorHAnsi"/>
          <w:sz w:val="16"/>
          <w:szCs w:val="16"/>
        </w:rPr>
        <w:t>Raportul auditului de conformitate asociat auditului de performanță al sistemului facilităților fiscale și vamale, aprobat prin HCC nr.</w:t>
      </w:r>
      <w:r w:rsidRPr="00A411BB">
        <w:rPr>
          <w:rFonts w:cstheme="minorHAnsi"/>
        </w:rPr>
        <w:t xml:space="preserve"> </w:t>
      </w:r>
      <w:r w:rsidRPr="00A411BB">
        <w:rPr>
          <w:rFonts w:cstheme="minorHAnsi"/>
          <w:sz w:val="16"/>
          <w:szCs w:val="16"/>
        </w:rPr>
        <w:t>nr. 34</w:t>
      </w:r>
      <w:r>
        <w:rPr>
          <w:rFonts w:cstheme="minorHAnsi"/>
          <w:sz w:val="16"/>
          <w:szCs w:val="16"/>
        </w:rPr>
        <w:t xml:space="preserve"> </w:t>
      </w:r>
      <w:r w:rsidRPr="00A411BB">
        <w:rPr>
          <w:rFonts w:cstheme="minorHAnsi"/>
          <w:sz w:val="16"/>
          <w:szCs w:val="16"/>
        </w:rPr>
        <w:t>din</w:t>
      </w:r>
      <w:r>
        <w:rPr>
          <w:rFonts w:cstheme="minorHAnsi"/>
          <w:sz w:val="16"/>
          <w:szCs w:val="16"/>
        </w:rPr>
        <w:t xml:space="preserve"> </w:t>
      </w:r>
      <w:r w:rsidRPr="00A411BB">
        <w:rPr>
          <w:rFonts w:cstheme="minorHAnsi"/>
          <w:sz w:val="16"/>
          <w:szCs w:val="16"/>
        </w:rPr>
        <w:t>29.07.2016.</w:t>
      </w:r>
    </w:p>
  </w:footnote>
  <w:footnote w:id="64">
    <w:p w:rsidR="008578F9" w:rsidRPr="00545DBE" w:rsidRDefault="008578F9" w:rsidP="00545DBE">
      <w:pPr>
        <w:pStyle w:val="FootnoteText"/>
        <w:rPr>
          <w:sz w:val="16"/>
          <w:szCs w:val="16"/>
          <w:lang w:val="ro-RO"/>
        </w:rPr>
      </w:pPr>
      <w:r w:rsidRPr="00545DBE">
        <w:rPr>
          <w:rStyle w:val="FootnoteReference"/>
          <w:sz w:val="16"/>
          <w:szCs w:val="16"/>
        </w:rPr>
        <w:footnoteRef/>
      </w:r>
      <w:r w:rsidRPr="00545DBE">
        <w:rPr>
          <w:sz w:val="16"/>
          <w:szCs w:val="16"/>
        </w:rPr>
        <w:t xml:space="preserve"> 1. </w:t>
      </w:r>
      <w:r w:rsidRPr="00545DBE">
        <w:rPr>
          <w:rFonts w:eastAsia="Times New Roman" w:cstheme="minorHAnsi"/>
          <w:sz w:val="16"/>
          <w:szCs w:val="16"/>
        </w:rPr>
        <w:t>Scutirea de acciză a alcoolului etilic nedenaturat de la pozițiile tarifare 220710000 şi 220890910, destinat producerii farmaceutice şi utilizării în medicină, în limita volumului contingentului anual stabilit de Guvern”; 2.Scutirea de acciză a alcoolului etilic nedenaturat de la poziția tarifară 220710000, destinat utilizării în industria de parfumerie și cosmetică”</w:t>
      </w:r>
      <w:r>
        <w:rPr>
          <w:rFonts w:eastAsia="Times New Roman" w:cstheme="minorHAnsi"/>
          <w:sz w:val="16"/>
          <w:szCs w:val="16"/>
        </w:rPr>
        <w:t>.</w:t>
      </w:r>
    </w:p>
  </w:footnote>
  <w:footnote w:id="65">
    <w:p w:rsidR="008578F9" w:rsidRPr="003D46BF" w:rsidRDefault="008578F9" w:rsidP="003D46BF">
      <w:pPr>
        <w:pStyle w:val="FootnoteText"/>
        <w:rPr>
          <w:rFonts w:asciiTheme="majorHAnsi" w:hAnsiTheme="majorHAnsi" w:cstheme="majorHAnsi"/>
          <w:sz w:val="16"/>
          <w:szCs w:val="16"/>
          <w:lang w:val="ro-RO"/>
        </w:rPr>
      </w:pPr>
      <w:r>
        <w:rPr>
          <w:rStyle w:val="FootnoteReference"/>
        </w:rPr>
        <w:footnoteRef/>
      </w:r>
      <w:r>
        <w:t xml:space="preserve"> </w:t>
      </w:r>
      <w:r w:rsidRPr="003D46BF">
        <w:rPr>
          <w:rFonts w:asciiTheme="majorHAnsi" w:hAnsiTheme="majorHAnsi" w:cstheme="majorHAnsi"/>
          <w:sz w:val="16"/>
          <w:szCs w:val="16"/>
        </w:rPr>
        <w:t>Raportul  auditului de conformitate asociat auditului de performanță  al sistemului facilităților fiscale și vamale</w:t>
      </w:r>
      <w:r>
        <w:rPr>
          <w:rFonts w:asciiTheme="majorHAnsi" w:hAnsiTheme="majorHAnsi" w:cstheme="majorHAnsi"/>
          <w:sz w:val="16"/>
          <w:szCs w:val="16"/>
        </w:rPr>
        <w:t>, aprobat prin Hotărârea Curții de Conturi  nr.</w:t>
      </w:r>
      <w:r w:rsidRPr="003D46BF">
        <w:rPr>
          <w:rFonts w:asciiTheme="majorHAnsi" w:hAnsiTheme="majorHAnsi" w:cstheme="majorHAnsi"/>
          <w:sz w:val="16"/>
          <w:szCs w:val="16"/>
        </w:rPr>
        <w:t xml:space="preserve"> 34  din  29.07.2016</w:t>
      </w:r>
      <w:r>
        <w:rPr>
          <w:rFonts w:asciiTheme="majorHAnsi"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C10"/>
    <w:multiLevelType w:val="hybridMultilevel"/>
    <w:tmpl w:val="F07A2178"/>
    <w:lvl w:ilvl="0" w:tplc="687E1DB4">
      <w:start w:val="1"/>
      <w:numFmt w:val="lowerLetter"/>
      <w:lvlText w:val="%1)"/>
      <w:lvlJc w:val="left"/>
      <w:pPr>
        <w:ind w:left="810" w:hanging="360"/>
      </w:pPr>
      <w:rPr>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A7"/>
    <w:multiLevelType w:val="hybridMultilevel"/>
    <w:tmpl w:val="75FE1A5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18215F1"/>
    <w:multiLevelType w:val="hybridMultilevel"/>
    <w:tmpl w:val="E5D6EB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5F64E7"/>
    <w:multiLevelType w:val="hybridMultilevel"/>
    <w:tmpl w:val="ED6CF02C"/>
    <w:lvl w:ilvl="0" w:tplc="8C8AEDAC">
      <w:start w:val="1"/>
      <w:numFmt w:val="lowerRoman"/>
      <w:lvlText w:val="(%1)"/>
      <w:lvlJc w:val="left"/>
      <w:pPr>
        <w:ind w:left="36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7545B"/>
    <w:multiLevelType w:val="hybridMultilevel"/>
    <w:tmpl w:val="E0C20F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3251C31"/>
    <w:multiLevelType w:val="hybridMultilevel"/>
    <w:tmpl w:val="5E56A55E"/>
    <w:lvl w:ilvl="0" w:tplc="B480196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69C5"/>
    <w:multiLevelType w:val="multilevel"/>
    <w:tmpl w:val="CFB01CDA"/>
    <w:lvl w:ilvl="0">
      <w:start w:val="4"/>
      <w:numFmt w:val="decimal"/>
      <w:lvlText w:val="%1."/>
      <w:lvlJc w:val="left"/>
      <w:pPr>
        <w:ind w:left="564" w:hanging="564"/>
      </w:pPr>
      <w:rPr>
        <w:rFonts w:hint="default"/>
      </w:rPr>
    </w:lvl>
    <w:lvl w:ilvl="1">
      <w:start w:val="3"/>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D511E"/>
    <w:multiLevelType w:val="hybridMultilevel"/>
    <w:tmpl w:val="7F48954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5812770"/>
    <w:multiLevelType w:val="multilevel"/>
    <w:tmpl w:val="F17A74C0"/>
    <w:lvl w:ilvl="0">
      <w:start w:val="1"/>
      <w:numFmt w:val="upperRoman"/>
      <w:lvlText w:val="%1."/>
      <w:lvlJc w:val="left"/>
      <w:pPr>
        <w:ind w:left="720" w:hanging="720"/>
      </w:pPr>
      <w:rPr>
        <w:rFonts w:asciiTheme="majorHAnsi" w:hAnsiTheme="majorHAnsi" w:cstheme="majorHAnsi" w:hint="default"/>
        <w:i w:val="0"/>
        <w:color w:val="1F4E79" w:themeColor="accent1" w:themeShade="80"/>
      </w:rPr>
    </w:lvl>
    <w:lvl w:ilvl="1">
      <w:start w:val="1"/>
      <w:numFmt w:val="decimal"/>
      <w:isLgl/>
      <w:lvlText w:val="%1.%2"/>
      <w:lvlJc w:val="left"/>
      <w:pPr>
        <w:ind w:left="-270" w:hanging="360"/>
      </w:pPr>
      <w:rPr>
        <w:rFonts w:asciiTheme="majorHAnsi" w:hAnsiTheme="majorHAnsi" w:cstheme="majorHAnsi" w:hint="default"/>
        <w:b/>
        <w:i w:val="0"/>
        <w:color w:val="2E74B5" w:themeColor="accent1" w:themeShade="BF"/>
      </w:rPr>
    </w:lvl>
    <w:lvl w:ilvl="2">
      <w:start w:val="1"/>
      <w:numFmt w:val="decimal"/>
      <w:isLgl/>
      <w:lvlText w:val="%1.%2.%3"/>
      <w:lvlJc w:val="left"/>
      <w:pPr>
        <w:ind w:left="1260" w:hanging="720"/>
      </w:pPr>
      <w:rPr>
        <w:rFonts w:hint="default"/>
        <w:b/>
        <w:color w:val="2E74B5" w:themeColor="accent1" w:themeShade="BF"/>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D57AB6"/>
    <w:multiLevelType w:val="hybridMultilevel"/>
    <w:tmpl w:val="DBF4AC7C"/>
    <w:lvl w:ilvl="0" w:tplc="A17A5EB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15:restartNumberingAfterBreak="0">
    <w:nsid w:val="22497A1B"/>
    <w:multiLevelType w:val="hybridMultilevel"/>
    <w:tmpl w:val="65108B60"/>
    <w:lvl w:ilvl="0" w:tplc="7B2E23DA">
      <w:start w:val="1"/>
      <w:numFmt w:val="lowerLetter"/>
      <w:lvlText w:val="%1)"/>
      <w:lvlJc w:val="left"/>
      <w:pPr>
        <w:ind w:left="1080" w:hanging="360"/>
      </w:pPr>
      <w:rPr>
        <w:b w:val="0"/>
        <w:color w:val="2E74B5"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094C24"/>
    <w:multiLevelType w:val="hybridMultilevel"/>
    <w:tmpl w:val="979CB6A0"/>
    <w:lvl w:ilvl="0" w:tplc="55C863EA">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11D76"/>
    <w:multiLevelType w:val="hybridMultilevel"/>
    <w:tmpl w:val="6094AA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160F7"/>
    <w:multiLevelType w:val="multilevel"/>
    <w:tmpl w:val="5C1C1E82"/>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b/>
        <w:i w:val="0"/>
        <w:color w:val="2E74B5" w:themeColor="accent1" w:themeShade="BF"/>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76118"/>
    <w:multiLevelType w:val="hybridMultilevel"/>
    <w:tmpl w:val="3954B3C4"/>
    <w:lvl w:ilvl="0" w:tplc="CDC21F52">
      <w:numFmt w:val="bullet"/>
      <w:lvlText w:val="-"/>
      <w:lvlJc w:val="left"/>
      <w:pPr>
        <w:ind w:left="1492" w:hanging="360"/>
      </w:pPr>
      <w:rPr>
        <w:rFonts w:ascii="Calibri Light" w:eastAsiaTheme="minorEastAsia" w:hAnsi="Calibri Light" w:cs="Calibri Light"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5" w15:restartNumberingAfterBreak="0">
    <w:nsid w:val="32B0504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D33C58"/>
    <w:multiLevelType w:val="multilevel"/>
    <w:tmpl w:val="9530F8A0"/>
    <w:lvl w:ilvl="0">
      <w:start w:val="4"/>
      <w:numFmt w:val="decimal"/>
      <w:lvlText w:val="%1."/>
      <w:lvlJc w:val="left"/>
      <w:pPr>
        <w:ind w:left="540" w:hanging="540"/>
      </w:pPr>
      <w:rPr>
        <w:rFonts w:hint="default"/>
        <w:i w:val="0"/>
      </w:rPr>
    </w:lvl>
    <w:lvl w:ilvl="1">
      <w:start w:val="2"/>
      <w:numFmt w:val="decimal"/>
      <w:lvlText w:val="%1.%2."/>
      <w:lvlJc w:val="left"/>
      <w:pPr>
        <w:ind w:left="540" w:hanging="540"/>
      </w:pPr>
      <w:rPr>
        <w:rFonts w:hint="default"/>
        <w:i w:val="0"/>
      </w:rPr>
    </w:lvl>
    <w:lvl w:ilvl="2">
      <w:start w:val="1"/>
      <w:numFmt w:val="decimal"/>
      <w:lvlText w:val="%1.%2.%3."/>
      <w:lvlJc w:val="left"/>
      <w:pPr>
        <w:ind w:left="720" w:hanging="720"/>
      </w:pPr>
      <w:rPr>
        <w:rFonts w:hint="default"/>
        <w:b/>
        <w:i w:val="0"/>
        <w:color w:val="2E74B5" w:themeColor="accent1" w:themeShade="BF"/>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8EA194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672C13"/>
    <w:multiLevelType w:val="hybridMultilevel"/>
    <w:tmpl w:val="0918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72423"/>
    <w:multiLevelType w:val="hybridMultilevel"/>
    <w:tmpl w:val="2DCC77A4"/>
    <w:lvl w:ilvl="0" w:tplc="2CE80D1E">
      <w:start w:val="1"/>
      <w:numFmt w:val="bullet"/>
      <w:lvlText w:val="-"/>
      <w:lvlJc w:val="left"/>
      <w:pPr>
        <w:ind w:left="1501" w:hanging="360"/>
      </w:pPr>
      <w:rPr>
        <w:rFonts w:ascii="Calibri Light" w:eastAsiaTheme="majorEastAsia" w:hAnsi="Calibri Light" w:cs="Calibri Light"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0" w15:restartNumberingAfterBreak="0">
    <w:nsid w:val="481F0218"/>
    <w:multiLevelType w:val="hybridMultilevel"/>
    <w:tmpl w:val="EBF003B2"/>
    <w:lvl w:ilvl="0" w:tplc="55C863EA">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955FB"/>
    <w:multiLevelType w:val="hybridMultilevel"/>
    <w:tmpl w:val="91F86E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91455"/>
    <w:multiLevelType w:val="hybridMultilevel"/>
    <w:tmpl w:val="716A715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F175FC2"/>
    <w:multiLevelType w:val="hybridMultilevel"/>
    <w:tmpl w:val="A5D6A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0202"/>
    <w:multiLevelType w:val="hybridMultilevel"/>
    <w:tmpl w:val="D24A1530"/>
    <w:lvl w:ilvl="0" w:tplc="E780B3D0">
      <w:numFmt w:val="bullet"/>
      <w:lvlText w:val="-"/>
      <w:lvlJc w:val="left"/>
      <w:pPr>
        <w:ind w:left="1800" w:hanging="360"/>
      </w:pPr>
      <w:rPr>
        <w:rFonts w:ascii="Calibri Light" w:eastAsiaTheme="minorEastAsia"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0F6162B"/>
    <w:multiLevelType w:val="hybridMultilevel"/>
    <w:tmpl w:val="148235D4"/>
    <w:lvl w:ilvl="0" w:tplc="8C8AEDAC">
      <w:start w:val="1"/>
      <w:numFmt w:val="lowerRoman"/>
      <w:lvlText w:val="(%1)"/>
      <w:lvlJc w:val="left"/>
      <w:pPr>
        <w:ind w:left="36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5350D"/>
    <w:multiLevelType w:val="hybridMultilevel"/>
    <w:tmpl w:val="DA882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F65FF"/>
    <w:multiLevelType w:val="hybridMultilevel"/>
    <w:tmpl w:val="8418F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26D02"/>
    <w:multiLevelType w:val="hybridMultilevel"/>
    <w:tmpl w:val="851C1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000C6"/>
    <w:multiLevelType w:val="hybridMultilevel"/>
    <w:tmpl w:val="D710F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730FC"/>
    <w:multiLevelType w:val="hybridMultilevel"/>
    <w:tmpl w:val="E5D47ED4"/>
    <w:lvl w:ilvl="0" w:tplc="2A740A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130E01"/>
    <w:multiLevelType w:val="hybridMultilevel"/>
    <w:tmpl w:val="05D04900"/>
    <w:lvl w:ilvl="0" w:tplc="F3603E0E">
      <w:start w:val="1"/>
      <w:numFmt w:val="decimal"/>
      <w:lvlText w:val="%1)"/>
      <w:lvlJc w:val="left"/>
      <w:pPr>
        <w:ind w:left="630" w:hanging="360"/>
      </w:pPr>
      <w:rPr>
        <w:rFonts w:asciiTheme="majorHAnsi" w:hAnsiTheme="majorHAnsi" w:cs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D0205"/>
    <w:multiLevelType w:val="hybridMultilevel"/>
    <w:tmpl w:val="3B80EED8"/>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74D26C2E"/>
    <w:multiLevelType w:val="hybridMultilevel"/>
    <w:tmpl w:val="A9A011E6"/>
    <w:lvl w:ilvl="0" w:tplc="2CE80D1E">
      <w:start w:val="1"/>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C54EF"/>
    <w:multiLevelType w:val="multilevel"/>
    <w:tmpl w:val="23D4F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5"/>
  </w:num>
  <w:num w:numId="3">
    <w:abstractNumId w:val="1"/>
  </w:num>
  <w:num w:numId="4">
    <w:abstractNumId w:val="2"/>
  </w:num>
  <w:num w:numId="5">
    <w:abstractNumId w:val="0"/>
  </w:num>
  <w:num w:numId="6">
    <w:abstractNumId w:val="32"/>
  </w:num>
  <w:num w:numId="7">
    <w:abstractNumId w:val="20"/>
  </w:num>
  <w:num w:numId="8">
    <w:abstractNumId w:val="23"/>
  </w:num>
  <w:num w:numId="9">
    <w:abstractNumId w:val="27"/>
  </w:num>
  <w:num w:numId="10">
    <w:abstractNumId w:val="14"/>
  </w:num>
  <w:num w:numId="11">
    <w:abstractNumId w:val="21"/>
  </w:num>
  <w:num w:numId="12">
    <w:abstractNumId w:val="15"/>
  </w:num>
  <w:num w:numId="13">
    <w:abstractNumId w:val="17"/>
  </w:num>
  <w:num w:numId="14">
    <w:abstractNumId w:val="10"/>
  </w:num>
  <w:num w:numId="15">
    <w:abstractNumId w:val="12"/>
  </w:num>
  <w:num w:numId="16">
    <w:abstractNumId w:val="34"/>
  </w:num>
  <w:num w:numId="17">
    <w:abstractNumId w:val="31"/>
  </w:num>
  <w:num w:numId="18">
    <w:abstractNumId w:val="9"/>
  </w:num>
  <w:num w:numId="19">
    <w:abstractNumId w:val="26"/>
  </w:num>
  <w:num w:numId="20">
    <w:abstractNumId w:val="7"/>
  </w:num>
  <w:num w:numId="21">
    <w:abstractNumId w:val="13"/>
  </w:num>
  <w:num w:numId="22">
    <w:abstractNumId w:val="16"/>
  </w:num>
  <w:num w:numId="23">
    <w:abstractNumId w:val="6"/>
  </w:num>
  <w:num w:numId="24">
    <w:abstractNumId w:val="28"/>
  </w:num>
  <w:num w:numId="25">
    <w:abstractNumId w:val="33"/>
  </w:num>
  <w:num w:numId="26">
    <w:abstractNumId w:val="29"/>
  </w:num>
  <w:num w:numId="27">
    <w:abstractNumId w:val="18"/>
  </w:num>
  <w:num w:numId="28">
    <w:abstractNumId w:val="3"/>
  </w:num>
  <w:num w:numId="29">
    <w:abstractNumId w:val="5"/>
  </w:num>
  <w:num w:numId="30">
    <w:abstractNumId w:val="30"/>
  </w:num>
  <w:num w:numId="31">
    <w:abstractNumId w:val="24"/>
  </w:num>
  <w:num w:numId="32">
    <w:abstractNumId w:val="19"/>
  </w:num>
  <w:num w:numId="33">
    <w:abstractNumId w:val="11"/>
  </w:num>
  <w:num w:numId="34">
    <w:abstractNumId w:val="22"/>
  </w:num>
  <w:num w:numId="3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1"/>
    <w:rsid w:val="000007C5"/>
    <w:rsid w:val="00002CB4"/>
    <w:rsid w:val="00003F54"/>
    <w:rsid w:val="000042A8"/>
    <w:rsid w:val="00004E83"/>
    <w:rsid w:val="00005E3F"/>
    <w:rsid w:val="0000773A"/>
    <w:rsid w:val="00007E68"/>
    <w:rsid w:val="0001212F"/>
    <w:rsid w:val="0001372E"/>
    <w:rsid w:val="00014770"/>
    <w:rsid w:val="000154A3"/>
    <w:rsid w:val="000169A7"/>
    <w:rsid w:val="000211E4"/>
    <w:rsid w:val="000223E7"/>
    <w:rsid w:val="00022A06"/>
    <w:rsid w:val="00023602"/>
    <w:rsid w:val="00026BB3"/>
    <w:rsid w:val="00026E3D"/>
    <w:rsid w:val="00027F53"/>
    <w:rsid w:val="0003028E"/>
    <w:rsid w:val="00030F9C"/>
    <w:rsid w:val="0003101B"/>
    <w:rsid w:val="00032B66"/>
    <w:rsid w:val="00032F07"/>
    <w:rsid w:val="0003304C"/>
    <w:rsid w:val="0003330E"/>
    <w:rsid w:val="00034682"/>
    <w:rsid w:val="00035E67"/>
    <w:rsid w:val="00037839"/>
    <w:rsid w:val="000401E1"/>
    <w:rsid w:val="00040BCB"/>
    <w:rsid w:val="00040DBB"/>
    <w:rsid w:val="00040DE4"/>
    <w:rsid w:val="00041B5F"/>
    <w:rsid w:val="00041E73"/>
    <w:rsid w:val="00042642"/>
    <w:rsid w:val="00042C4C"/>
    <w:rsid w:val="000451C4"/>
    <w:rsid w:val="0004540E"/>
    <w:rsid w:val="00045481"/>
    <w:rsid w:val="00045D06"/>
    <w:rsid w:val="00045E88"/>
    <w:rsid w:val="00046CC7"/>
    <w:rsid w:val="00046E52"/>
    <w:rsid w:val="00051424"/>
    <w:rsid w:val="0005586E"/>
    <w:rsid w:val="00055D63"/>
    <w:rsid w:val="000571A0"/>
    <w:rsid w:val="00057497"/>
    <w:rsid w:val="000600B0"/>
    <w:rsid w:val="000619CA"/>
    <w:rsid w:val="00062B4E"/>
    <w:rsid w:val="00062B7C"/>
    <w:rsid w:val="000630D7"/>
    <w:rsid w:val="000632BE"/>
    <w:rsid w:val="000646A1"/>
    <w:rsid w:val="000646A4"/>
    <w:rsid w:val="00065423"/>
    <w:rsid w:val="0006575F"/>
    <w:rsid w:val="000706FB"/>
    <w:rsid w:val="0007074E"/>
    <w:rsid w:val="00072610"/>
    <w:rsid w:val="00072885"/>
    <w:rsid w:val="0007312B"/>
    <w:rsid w:val="00073426"/>
    <w:rsid w:val="00074205"/>
    <w:rsid w:val="0007446E"/>
    <w:rsid w:val="000754C7"/>
    <w:rsid w:val="0007590E"/>
    <w:rsid w:val="000765EE"/>
    <w:rsid w:val="00076642"/>
    <w:rsid w:val="00076A31"/>
    <w:rsid w:val="00076B64"/>
    <w:rsid w:val="00076F09"/>
    <w:rsid w:val="00077086"/>
    <w:rsid w:val="00080236"/>
    <w:rsid w:val="00080CB9"/>
    <w:rsid w:val="00080CE6"/>
    <w:rsid w:val="00081852"/>
    <w:rsid w:val="00081B1C"/>
    <w:rsid w:val="000823BD"/>
    <w:rsid w:val="000823BF"/>
    <w:rsid w:val="00084AEC"/>
    <w:rsid w:val="00084EC3"/>
    <w:rsid w:val="00085529"/>
    <w:rsid w:val="000857A2"/>
    <w:rsid w:val="00085E78"/>
    <w:rsid w:val="000877E1"/>
    <w:rsid w:val="00087BD2"/>
    <w:rsid w:val="00087EF9"/>
    <w:rsid w:val="00090BF0"/>
    <w:rsid w:val="00091713"/>
    <w:rsid w:val="00091B9E"/>
    <w:rsid w:val="000925A9"/>
    <w:rsid w:val="00092734"/>
    <w:rsid w:val="0009463B"/>
    <w:rsid w:val="00094B6F"/>
    <w:rsid w:val="000965E6"/>
    <w:rsid w:val="000A056E"/>
    <w:rsid w:val="000A0E94"/>
    <w:rsid w:val="000A0FB7"/>
    <w:rsid w:val="000A14B8"/>
    <w:rsid w:val="000A34B7"/>
    <w:rsid w:val="000A521C"/>
    <w:rsid w:val="000A72D9"/>
    <w:rsid w:val="000A755C"/>
    <w:rsid w:val="000B03D8"/>
    <w:rsid w:val="000B09F8"/>
    <w:rsid w:val="000B0D94"/>
    <w:rsid w:val="000B1714"/>
    <w:rsid w:val="000B1C5D"/>
    <w:rsid w:val="000B29D3"/>
    <w:rsid w:val="000B2E4B"/>
    <w:rsid w:val="000B3A24"/>
    <w:rsid w:val="000B6ACD"/>
    <w:rsid w:val="000B707F"/>
    <w:rsid w:val="000B7B1F"/>
    <w:rsid w:val="000C060A"/>
    <w:rsid w:val="000C0610"/>
    <w:rsid w:val="000C0DF5"/>
    <w:rsid w:val="000C2934"/>
    <w:rsid w:val="000C3C26"/>
    <w:rsid w:val="000C426D"/>
    <w:rsid w:val="000C66ED"/>
    <w:rsid w:val="000C6E19"/>
    <w:rsid w:val="000D1145"/>
    <w:rsid w:val="000D1AB0"/>
    <w:rsid w:val="000D2E25"/>
    <w:rsid w:val="000D38BE"/>
    <w:rsid w:val="000D39CE"/>
    <w:rsid w:val="000D523B"/>
    <w:rsid w:val="000D5F21"/>
    <w:rsid w:val="000D684D"/>
    <w:rsid w:val="000E027F"/>
    <w:rsid w:val="000E0C79"/>
    <w:rsid w:val="000E39A8"/>
    <w:rsid w:val="000E45DC"/>
    <w:rsid w:val="000E5AF2"/>
    <w:rsid w:val="000E7F69"/>
    <w:rsid w:val="000F4A14"/>
    <w:rsid w:val="000F4B61"/>
    <w:rsid w:val="000F51EC"/>
    <w:rsid w:val="000F710B"/>
    <w:rsid w:val="000F72BF"/>
    <w:rsid w:val="000F732E"/>
    <w:rsid w:val="00100ACE"/>
    <w:rsid w:val="0010243D"/>
    <w:rsid w:val="00103CA0"/>
    <w:rsid w:val="001045E9"/>
    <w:rsid w:val="001063D5"/>
    <w:rsid w:val="00107B0B"/>
    <w:rsid w:val="00110EDB"/>
    <w:rsid w:val="00112192"/>
    <w:rsid w:val="001135FE"/>
    <w:rsid w:val="00114AF8"/>
    <w:rsid w:val="00114AFD"/>
    <w:rsid w:val="00114D17"/>
    <w:rsid w:val="00116B61"/>
    <w:rsid w:val="00121376"/>
    <w:rsid w:val="001227C7"/>
    <w:rsid w:val="00123EBD"/>
    <w:rsid w:val="001245AC"/>
    <w:rsid w:val="00125BFD"/>
    <w:rsid w:val="001263D2"/>
    <w:rsid w:val="00127F06"/>
    <w:rsid w:val="00131130"/>
    <w:rsid w:val="001314C0"/>
    <w:rsid w:val="00134DE4"/>
    <w:rsid w:val="0013518B"/>
    <w:rsid w:val="001354B1"/>
    <w:rsid w:val="0013725F"/>
    <w:rsid w:val="00141481"/>
    <w:rsid w:val="0014385D"/>
    <w:rsid w:val="00143D03"/>
    <w:rsid w:val="00144115"/>
    <w:rsid w:val="001469A4"/>
    <w:rsid w:val="0014726B"/>
    <w:rsid w:val="0015029B"/>
    <w:rsid w:val="00152E34"/>
    <w:rsid w:val="00153171"/>
    <w:rsid w:val="001534F5"/>
    <w:rsid w:val="00154D45"/>
    <w:rsid w:val="00155813"/>
    <w:rsid w:val="00156DAD"/>
    <w:rsid w:val="00157279"/>
    <w:rsid w:val="00160869"/>
    <w:rsid w:val="00160970"/>
    <w:rsid w:val="00160C25"/>
    <w:rsid w:val="00161429"/>
    <w:rsid w:val="001631C2"/>
    <w:rsid w:val="001644CD"/>
    <w:rsid w:val="0016519C"/>
    <w:rsid w:val="00165B53"/>
    <w:rsid w:val="00167CBF"/>
    <w:rsid w:val="00175B63"/>
    <w:rsid w:val="00186A0A"/>
    <w:rsid w:val="00191B20"/>
    <w:rsid w:val="00193E13"/>
    <w:rsid w:val="001973BB"/>
    <w:rsid w:val="001A22DE"/>
    <w:rsid w:val="001A6761"/>
    <w:rsid w:val="001A6F78"/>
    <w:rsid w:val="001B1134"/>
    <w:rsid w:val="001B11DD"/>
    <w:rsid w:val="001B14B1"/>
    <w:rsid w:val="001B2205"/>
    <w:rsid w:val="001B455F"/>
    <w:rsid w:val="001B5286"/>
    <w:rsid w:val="001B623A"/>
    <w:rsid w:val="001B73A0"/>
    <w:rsid w:val="001B7438"/>
    <w:rsid w:val="001B779F"/>
    <w:rsid w:val="001C066B"/>
    <w:rsid w:val="001C30D2"/>
    <w:rsid w:val="001C559E"/>
    <w:rsid w:val="001D0337"/>
    <w:rsid w:val="001D231C"/>
    <w:rsid w:val="001D2415"/>
    <w:rsid w:val="001D5A17"/>
    <w:rsid w:val="001D769D"/>
    <w:rsid w:val="001D7B0A"/>
    <w:rsid w:val="001D7CC5"/>
    <w:rsid w:val="001E064D"/>
    <w:rsid w:val="001E142C"/>
    <w:rsid w:val="001E2051"/>
    <w:rsid w:val="001E2BEB"/>
    <w:rsid w:val="001E3815"/>
    <w:rsid w:val="001E511A"/>
    <w:rsid w:val="001E5764"/>
    <w:rsid w:val="001E7BBC"/>
    <w:rsid w:val="001F3592"/>
    <w:rsid w:val="001F4A12"/>
    <w:rsid w:val="001F689A"/>
    <w:rsid w:val="0020002A"/>
    <w:rsid w:val="00200AF1"/>
    <w:rsid w:val="002020E5"/>
    <w:rsid w:val="002022E4"/>
    <w:rsid w:val="00202322"/>
    <w:rsid w:val="00204502"/>
    <w:rsid w:val="002046C1"/>
    <w:rsid w:val="00207BD2"/>
    <w:rsid w:val="00211951"/>
    <w:rsid w:val="00216A7D"/>
    <w:rsid w:val="00216CE0"/>
    <w:rsid w:val="00217A05"/>
    <w:rsid w:val="00217B0E"/>
    <w:rsid w:val="00221823"/>
    <w:rsid w:val="002218D0"/>
    <w:rsid w:val="00221A9E"/>
    <w:rsid w:val="0022217E"/>
    <w:rsid w:val="002221EA"/>
    <w:rsid w:val="00223468"/>
    <w:rsid w:val="0022513C"/>
    <w:rsid w:val="0022579D"/>
    <w:rsid w:val="0022691E"/>
    <w:rsid w:val="00227E86"/>
    <w:rsid w:val="002307A7"/>
    <w:rsid w:val="002324AD"/>
    <w:rsid w:val="0023303E"/>
    <w:rsid w:val="00233411"/>
    <w:rsid w:val="00233FB4"/>
    <w:rsid w:val="00240F3F"/>
    <w:rsid w:val="0024230B"/>
    <w:rsid w:val="0024279C"/>
    <w:rsid w:val="00244651"/>
    <w:rsid w:val="00245228"/>
    <w:rsid w:val="00250E74"/>
    <w:rsid w:val="00252579"/>
    <w:rsid w:val="00253BD1"/>
    <w:rsid w:val="002540CB"/>
    <w:rsid w:val="00255DEA"/>
    <w:rsid w:val="002574AE"/>
    <w:rsid w:val="0025791B"/>
    <w:rsid w:val="00260325"/>
    <w:rsid w:val="00260D3D"/>
    <w:rsid w:val="00261CC2"/>
    <w:rsid w:val="00265C1B"/>
    <w:rsid w:val="00270E99"/>
    <w:rsid w:val="00270EF0"/>
    <w:rsid w:val="00271402"/>
    <w:rsid w:val="00272A0F"/>
    <w:rsid w:val="00273F8F"/>
    <w:rsid w:val="00274C70"/>
    <w:rsid w:val="00275C9D"/>
    <w:rsid w:val="00275E5F"/>
    <w:rsid w:val="00276675"/>
    <w:rsid w:val="00276890"/>
    <w:rsid w:val="002772C7"/>
    <w:rsid w:val="0027760B"/>
    <w:rsid w:val="00277724"/>
    <w:rsid w:val="0028211F"/>
    <w:rsid w:val="0028306B"/>
    <w:rsid w:val="002842DC"/>
    <w:rsid w:val="0028537C"/>
    <w:rsid w:val="00285452"/>
    <w:rsid w:val="00285D6D"/>
    <w:rsid w:val="00290756"/>
    <w:rsid w:val="00291095"/>
    <w:rsid w:val="00293B3A"/>
    <w:rsid w:val="00294525"/>
    <w:rsid w:val="00294567"/>
    <w:rsid w:val="00295897"/>
    <w:rsid w:val="00296824"/>
    <w:rsid w:val="00296DA1"/>
    <w:rsid w:val="00296F27"/>
    <w:rsid w:val="00297BB4"/>
    <w:rsid w:val="002A019F"/>
    <w:rsid w:val="002A0542"/>
    <w:rsid w:val="002A14E8"/>
    <w:rsid w:val="002A1741"/>
    <w:rsid w:val="002A313A"/>
    <w:rsid w:val="002A3F5C"/>
    <w:rsid w:val="002A55FE"/>
    <w:rsid w:val="002A5B5D"/>
    <w:rsid w:val="002A5F11"/>
    <w:rsid w:val="002A60C1"/>
    <w:rsid w:val="002A61FD"/>
    <w:rsid w:val="002A6AFE"/>
    <w:rsid w:val="002B0039"/>
    <w:rsid w:val="002B22FF"/>
    <w:rsid w:val="002B2DB9"/>
    <w:rsid w:val="002B45A8"/>
    <w:rsid w:val="002B5673"/>
    <w:rsid w:val="002B6192"/>
    <w:rsid w:val="002B643E"/>
    <w:rsid w:val="002C031B"/>
    <w:rsid w:val="002C0386"/>
    <w:rsid w:val="002C0841"/>
    <w:rsid w:val="002C0E9D"/>
    <w:rsid w:val="002C1256"/>
    <w:rsid w:val="002C1DE7"/>
    <w:rsid w:val="002C28F0"/>
    <w:rsid w:val="002C2AA8"/>
    <w:rsid w:val="002C2CF3"/>
    <w:rsid w:val="002C2E6F"/>
    <w:rsid w:val="002C38B5"/>
    <w:rsid w:val="002C5A9B"/>
    <w:rsid w:val="002C6852"/>
    <w:rsid w:val="002C7135"/>
    <w:rsid w:val="002D09EE"/>
    <w:rsid w:val="002D1127"/>
    <w:rsid w:val="002D11E3"/>
    <w:rsid w:val="002D3EEA"/>
    <w:rsid w:val="002D6B1F"/>
    <w:rsid w:val="002D760E"/>
    <w:rsid w:val="002D7618"/>
    <w:rsid w:val="002E15C5"/>
    <w:rsid w:val="002E5A9C"/>
    <w:rsid w:val="002F0E6D"/>
    <w:rsid w:val="002F11D7"/>
    <w:rsid w:val="002F158B"/>
    <w:rsid w:val="002F1768"/>
    <w:rsid w:val="002F1935"/>
    <w:rsid w:val="002F203F"/>
    <w:rsid w:val="002F34A6"/>
    <w:rsid w:val="002F356F"/>
    <w:rsid w:val="002F3D39"/>
    <w:rsid w:val="002F4462"/>
    <w:rsid w:val="002F5D44"/>
    <w:rsid w:val="002F647B"/>
    <w:rsid w:val="002F67CB"/>
    <w:rsid w:val="002F6D70"/>
    <w:rsid w:val="00303FD0"/>
    <w:rsid w:val="003047E6"/>
    <w:rsid w:val="00305A24"/>
    <w:rsid w:val="00307A57"/>
    <w:rsid w:val="00311489"/>
    <w:rsid w:val="00312C95"/>
    <w:rsid w:val="0031328C"/>
    <w:rsid w:val="00313D96"/>
    <w:rsid w:val="0031619F"/>
    <w:rsid w:val="00316AF0"/>
    <w:rsid w:val="0032058B"/>
    <w:rsid w:val="003216AB"/>
    <w:rsid w:val="003220F5"/>
    <w:rsid w:val="003226DE"/>
    <w:rsid w:val="00323654"/>
    <w:rsid w:val="00323757"/>
    <w:rsid w:val="00325E52"/>
    <w:rsid w:val="00326FCA"/>
    <w:rsid w:val="0032707F"/>
    <w:rsid w:val="00327216"/>
    <w:rsid w:val="003273B5"/>
    <w:rsid w:val="00327B12"/>
    <w:rsid w:val="00327BA4"/>
    <w:rsid w:val="003312DF"/>
    <w:rsid w:val="00331A24"/>
    <w:rsid w:val="003321D3"/>
    <w:rsid w:val="00332B81"/>
    <w:rsid w:val="003337E8"/>
    <w:rsid w:val="003357E9"/>
    <w:rsid w:val="00335A1D"/>
    <w:rsid w:val="00337589"/>
    <w:rsid w:val="00337D3F"/>
    <w:rsid w:val="00337F58"/>
    <w:rsid w:val="00342344"/>
    <w:rsid w:val="003424B4"/>
    <w:rsid w:val="003435AC"/>
    <w:rsid w:val="00344BF7"/>
    <w:rsid w:val="00345F26"/>
    <w:rsid w:val="00346D1E"/>
    <w:rsid w:val="00347C2F"/>
    <w:rsid w:val="0035179C"/>
    <w:rsid w:val="00352C7D"/>
    <w:rsid w:val="003546B8"/>
    <w:rsid w:val="00356FF8"/>
    <w:rsid w:val="00357DA6"/>
    <w:rsid w:val="00361860"/>
    <w:rsid w:val="003618F2"/>
    <w:rsid w:val="003619A7"/>
    <w:rsid w:val="00362D33"/>
    <w:rsid w:val="00363A7B"/>
    <w:rsid w:val="00364063"/>
    <w:rsid w:val="003640F4"/>
    <w:rsid w:val="00366B76"/>
    <w:rsid w:val="00370422"/>
    <w:rsid w:val="00371DF3"/>
    <w:rsid w:val="00372491"/>
    <w:rsid w:val="00372637"/>
    <w:rsid w:val="00382605"/>
    <w:rsid w:val="003852D8"/>
    <w:rsid w:val="003902D7"/>
    <w:rsid w:val="00391697"/>
    <w:rsid w:val="00392DC6"/>
    <w:rsid w:val="00393827"/>
    <w:rsid w:val="003941B2"/>
    <w:rsid w:val="00395407"/>
    <w:rsid w:val="00396C8B"/>
    <w:rsid w:val="00397667"/>
    <w:rsid w:val="00397887"/>
    <w:rsid w:val="003A0DC5"/>
    <w:rsid w:val="003A0DD5"/>
    <w:rsid w:val="003A390A"/>
    <w:rsid w:val="003A3C13"/>
    <w:rsid w:val="003A4478"/>
    <w:rsid w:val="003A4E01"/>
    <w:rsid w:val="003A4EEF"/>
    <w:rsid w:val="003A68C7"/>
    <w:rsid w:val="003A70BD"/>
    <w:rsid w:val="003A76AD"/>
    <w:rsid w:val="003B375C"/>
    <w:rsid w:val="003B3D3D"/>
    <w:rsid w:val="003B4F8A"/>
    <w:rsid w:val="003B791A"/>
    <w:rsid w:val="003C2708"/>
    <w:rsid w:val="003C2C4A"/>
    <w:rsid w:val="003C2E02"/>
    <w:rsid w:val="003C3DA6"/>
    <w:rsid w:val="003C459C"/>
    <w:rsid w:val="003C684E"/>
    <w:rsid w:val="003C698A"/>
    <w:rsid w:val="003D020E"/>
    <w:rsid w:val="003D0C5F"/>
    <w:rsid w:val="003D0CA4"/>
    <w:rsid w:val="003D1465"/>
    <w:rsid w:val="003D170C"/>
    <w:rsid w:val="003D17C2"/>
    <w:rsid w:val="003D2AB2"/>
    <w:rsid w:val="003D3D4D"/>
    <w:rsid w:val="003D4202"/>
    <w:rsid w:val="003D46BF"/>
    <w:rsid w:val="003D691C"/>
    <w:rsid w:val="003D7F31"/>
    <w:rsid w:val="003E005C"/>
    <w:rsid w:val="003E043C"/>
    <w:rsid w:val="003E0C6A"/>
    <w:rsid w:val="003E0CE3"/>
    <w:rsid w:val="003E4163"/>
    <w:rsid w:val="003E4D1C"/>
    <w:rsid w:val="003E50E3"/>
    <w:rsid w:val="003E5D70"/>
    <w:rsid w:val="003E724C"/>
    <w:rsid w:val="003F0973"/>
    <w:rsid w:val="003F09C4"/>
    <w:rsid w:val="003F0B86"/>
    <w:rsid w:val="003F0DA2"/>
    <w:rsid w:val="003F19EC"/>
    <w:rsid w:val="003F23A8"/>
    <w:rsid w:val="003F2687"/>
    <w:rsid w:val="003F7639"/>
    <w:rsid w:val="00400266"/>
    <w:rsid w:val="00400992"/>
    <w:rsid w:val="00401239"/>
    <w:rsid w:val="004021C6"/>
    <w:rsid w:val="00402A51"/>
    <w:rsid w:val="00402B2F"/>
    <w:rsid w:val="004034EF"/>
    <w:rsid w:val="004035ED"/>
    <w:rsid w:val="00405000"/>
    <w:rsid w:val="00405A66"/>
    <w:rsid w:val="00405D63"/>
    <w:rsid w:val="00405DBA"/>
    <w:rsid w:val="00407364"/>
    <w:rsid w:val="00407DF5"/>
    <w:rsid w:val="00412088"/>
    <w:rsid w:val="00412B9E"/>
    <w:rsid w:val="00415EBE"/>
    <w:rsid w:val="00415FB2"/>
    <w:rsid w:val="00416A61"/>
    <w:rsid w:val="00417195"/>
    <w:rsid w:val="00421950"/>
    <w:rsid w:val="00421B9A"/>
    <w:rsid w:val="00422020"/>
    <w:rsid w:val="00422305"/>
    <w:rsid w:val="004229CB"/>
    <w:rsid w:val="004230C0"/>
    <w:rsid w:val="00423B96"/>
    <w:rsid w:val="004249E1"/>
    <w:rsid w:val="00426E0E"/>
    <w:rsid w:val="00430F29"/>
    <w:rsid w:val="00432B4C"/>
    <w:rsid w:val="00435678"/>
    <w:rsid w:val="00435E0D"/>
    <w:rsid w:val="00436603"/>
    <w:rsid w:val="004366B4"/>
    <w:rsid w:val="00437312"/>
    <w:rsid w:val="0044003A"/>
    <w:rsid w:val="00440F46"/>
    <w:rsid w:val="00441907"/>
    <w:rsid w:val="00444113"/>
    <w:rsid w:val="0044716A"/>
    <w:rsid w:val="004507FD"/>
    <w:rsid w:val="00450E1C"/>
    <w:rsid w:val="00451432"/>
    <w:rsid w:val="004526B9"/>
    <w:rsid w:val="00453545"/>
    <w:rsid w:val="00453960"/>
    <w:rsid w:val="0045404E"/>
    <w:rsid w:val="00454B26"/>
    <w:rsid w:val="00455A7D"/>
    <w:rsid w:val="004563EE"/>
    <w:rsid w:val="004610A0"/>
    <w:rsid w:val="00461258"/>
    <w:rsid w:val="00462176"/>
    <w:rsid w:val="00462DD4"/>
    <w:rsid w:val="004642EA"/>
    <w:rsid w:val="00464A4D"/>
    <w:rsid w:val="00464E2F"/>
    <w:rsid w:val="00465165"/>
    <w:rsid w:val="00466FA9"/>
    <w:rsid w:val="0047104A"/>
    <w:rsid w:val="0047299E"/>
    <w:rsid w:val="00472DB2"/>
    <w:rsid w:val="004738C0"/>
    <w:rsid w:val="00476AFA"/>
    <w:rsid w:val="004778F6"/>
    <w:rsid w:val="00480940"/>
    <w:rsid w:val="00480D4F"/>
    <w:rsid w:val="00481D07"/>
    <w:rsid w:val="00482F70"/>
    <w:rsid w:val="00483909"/>
    <w:rsid w:val="00483B6F"/>
    <w:rsid w:val="00484415"/>
    <w:rsid w:val="004854EE"/>
    <w:rsid w:val="00485C3C"/>
    <w:rsid w:val="00486797"/>
    <w:rsid w:val="00486A9F"/>
    <w:rsid w:val="00486AE8"/>
    <w:rsid w:val="00490BFB"/>
    <w:rsid w:val="00490D8B"/>
    <w:rsid w:val="00492B52"/>
    <w:rsid w:val="00493B70"/>
    <w:rsid w:val="00493DDB"/>
    <w:rsid w:val="00495A5C"/>
    <w:rsid w:val="00495BE6"/>
    <w:rsid w:val="00497637"/>
    <w:rsid w:val="0049770E"/>
    <w:rsid w:val="004A0635"/>
    <w:rsid w:val="004A15F2"/>
    <w:rsid w:val="004A18C3"/>
    <w:rsid w:val="004A2302"/>
    <w:rsid w:val="004A4429"/>
    <w:rsid w:val="004A541C"/>
    <w:rsid w:val="004B0E2B"/>
    <w:rsid w:val="004B4478"/>
    <w:rsid w:val="004B7413"/>
    <w:rsid w:val="004C4031"/>
    <w:rsid w:val="004C4197"/>
    <w:rsid w:val="004C425B"/>
    <w:rsid w:val="004C4C33"/>
    <w:rsid w:val="004C4C80"/>
    <w:rsid w:val="004C5606"/>
    <w:rsid w:val="004C5A7F"/>
    <w:rsid w:val="004C5D6A"/>
    <w:rsid w:val="004C7F73"/>
    <w:rsid w:val="004D0748"/>
    <w:rsid w:val="004D0B02"/>
    <w:rsid w:val="004D0E2B"/>
    <w:rsid w:val="004D1190"/>
    <w:rsid w:val="004D1706"/>
    <w:rsid w:val="004D1C66"/>
    <w:rsid w:val="004D323A"/>
    <w:rsid w:val="004D33CF"/>
    <w:rsid w:val="004D49D8"/>
    <w:rsid w:val="004D731A"/>
    <w:rsid w:val="004E0808"/>
    <w:rsid w:val="004E106E"/>
    <w:rsid w:val="004E15E1"/>
    <w:rsid w:val="004E1EF7"/>
    <w:rsid w:val="004E2762"/>
    <w:rsid w:val="004E3758"/>
    <w:rsid w:val="004E40F3"/>
    <w:rsid w:val="004E44E5"/>
    <w:rsid w:val="004E4664"/>
    <w:rsid w:val="004E4C7E"/>
    <w:rsid w:val="004F014A"/>
    <w:rsid w:val="004F0940"/>
    <w:rsid w:val="004F1FA4"/>
    <w:rsid w:val="004F2A37"/>
    <w:rsid w:val="004F397A"/>
    <w:rsid w:val="004F44BE"/>
    <w:rsid w:val="004F5922"/>
    <w:rsid w:val="004F62C8"/>
    <w:rsid w:val="00502C51"/>
    <w:rsid w:val="005045F2"/>
    <w:rsid w:val="00505F73"/>
    <w:rsid w:val="00510187"/>
    <w:rsid w:val="005116BF"/>
    <w:rsid w:val="0051243E"/>
    <w:rsid w:val="00516F36"/>
    <w:rsid w:val="0052062B"/>
    <w:rsid w:val="00521559"/>
    <w:rsid w:val="0052348F"/>
    <w:rsid w:val="00523B90"/>
    <w:rsid w:val="005242DC"/>
    <w:rsid w:val="00525295"/>
    <w:rsid w:val="00525B59"/>
    <w:rsid w:val="00526D44"/>
    <w:rsid w:val="0052798C"/>
    <w:rsid w:val="00527D11"/>
    <w:rsid w:val="00530611"/>
    <w:rsid w:val="00531BAB"/>
    <w:rsid w:val="0053254D"/>
    <w:rsid w:val="00532790"/>
    <w:rsid w:val="005332D4"/>
    <w:rsid w:val="00534122"/>
    <w:rsid w:val="00535226"/>
    <w:rsid w:val="005405A7"/>
    <w:rsid w:val="005408BF"/>
    <w:rsid w:val="0054135D"/>
    <w:rsid w:val="00541841"/>
    <w:rsid w:val="00544B7B"/>
    <w:rsid w:val="00545DBE"/>
    <w:rsid w:val="00546D71"/>
    <w:rsid w:val="005475CF"/>
    <w:rsid w:val="00550BB3"/>
    <w:rsid w:val="00551C53"/>
    <w:rsid w:val="00551E4C"/>
    <w:rsid w:val="00555340"/>
    <w:rsid w:val="00561F5D"/>
    <w:rsid w:val="00563D2B"/>
    <w:rsid w:val="0056510A"/>
    <w:rsid w:val="00565155"/>
    <w:rsid w:val="0056671A"/>
    <w:rsid w:val="00567D76"/>
    <w:rsid w:val="0057200D"/>
    <w:rsid w:val="00572166"/>
    <w:rsid w:val="00572E78"/>
    <w:rsid w:val="00573B9A"/>
    <w:rsid w:val="0057447D"/>
    <w:rsid w:val="0057722E"/>
    <w:rsid w:val="00582C0D"/>
    <w:rsid w:val="00590C76"/>
    <w:rsid w:val="0059226A"/>
    <w:rsid w:val="00593BAF"/>
    <w:rsid w:val="00593C6C"/>
    <w:rsid w:val="005940E2"/>
    <w:rsid w:val="00594487"/>
    <w:rsid w:val="00594C49"/>
    <w:rsid w:val="00594E93"/>
    <w:rsid w:val="005954EB"/>
    <w:rsid w:val="00596BA3"/>
    <w:rsid w:val="005A3A67"/>
    <w:rsid w:val="005A3E40"/>
    <w:rsid w:val="005A4BC6"/>
    <w:rsid w:val="005A689A"/>
    <w:rsid w:val="005A74A6"/>
    <w:rsid w:val="005A7535"/>
    <w:rsid w:val="005A771D"/>
    <w:rsid w:val="005B09E5"/>
    <w:rsid w:val="005B1D53"/>
    <w:rsid w:val="005B37BB"/>
    <w:rsid w:val="005B3F05"/>
    <w:rsid w:val="005B5794"/>
    <w:rsid w:val="005B5BEA"/>
    <w:rsid w:val="005B7292"/>
    <w:rsid w:val="005C19DE"/>
    <w:rsid w:val="005C29B9"/>
    <w:rsid w:val="005C2E0F"/>
    <w:rsid w:val="005C398A"/>
    <w:rsid w:val="005C4443"/>
    <w:rsid w:val="005C5650"/>
    <w:rsid w:val="005C59FE"/>
    <w:rsid w:val="005C74BF"/>
    <w:rsid w:val="005D1342"/>
    <w:rsid w:val="005D3F3E"/>
    <w:rsid w:val="005D46DD"/>
    <w:rsid w:val="005D4E18"/>
    <w:rsid w:val="005D58E6"/>
    <w:rsid w:val="005D6497"/>
    <w:rsid w:val="005D7848"/>
    <w:rsid w:val="005E06EB"/>
    <w:rsid w:val="005E18E2"/>
    <w:rsid w:val="005E22A6"/>
    <w:rsid w:val="005E2440"/>
    <w:rsid w:val="005E3BE8"/>
    <w:rsid w:val="005E5602"/>
    <w:rsid w:val="005E576D"/>
    <w:rsid w:val="005E746E"/>
    <w:rsid w:val="005E775C"/>
    <w:rsid w:val="005E7770"/>
    <w:rsid w:val="005F0E53"/>
    <w:rsid w:val="005F12EF"/>
    <w:rsid w:val="005F1A15"/>
    <w:rsid w:val="005F3812"/>
    <w:rsid w:val="005F4788"/>
    <w:rsid w:val="005F4D6A"/>
    <w:rsid w:val="005F4FCE"/>
    <w:rsid w:val="005F5661"/>
    <w:rsid w:val="005F641E"/>
    <w:rsid w:val="005F6506"/>
    <w:rsid w:val="00600405"/>
    <w:rsid w:val="006005A8"/>
    <w:rsid w:val="00600C34"/>
    <w:rsid w:val="00601503"/>
    <w:rsid w:val="00602B9C"/>
    <w:rsid w:val="00603E7E"/>
    <w:rsid w:val="00604AF5"/>
    <w:rsid w:val="0060598F"/>
    <w:rsid w:val="006060D4"/>
    <w:rsid w:val="00606AF0"/>
    <w:rsid w:val="006076E7"/>
    <w:rsid w:val="00610B43"/>
    <w:rsid w:val="00612C63"/>
    <w:rsid w:val="00614DFA"/>
    <w:rsid w:val="00615272"/>
    <w:rsid w:val="006159E4"/>
    <w:rsid w:val="00616525"/>
    <w:rsid w:val="00621CB4"/>
    <w:rsid w:val="006250ED"/>
    <w:rsid w:val="006256C7"/>
    <w:rsid w:val="00626D91"/>
    <w:rsid w:val="006278AE"/>
    <w:rsid w:val="00631605"/>
    <w:rsid w:val="00631880"/>
    <w:rsid w:val="00632898"/>
    <w:rsid w:val="0063389C"/>
    <w:rsid w:val="00633F17"/>
    <w:rsid w:val="006341F1"/>
    <w:rsid w:val="00634C50"/>
    <w:rsid w:val="006355F7"/>
    <w:rsid w:val="00635C5F"/>
    <w:rsid w:val="006365B5"/>
    <w:rsid w:val="0063726D"/>
    <w:rsid w:val="00642139"/>
    <w:rsid w:val="0064221A"/>
    <w:rsid w:val="006422E4"/>
    <w:rsid w:val="00642BC5"/>
    <w:rsid w:val="00643580"/>
    <w:rsid w:val="00643D02"/>
    <w:rsid w:val="00643D11"/>
    <w:rsid w:val="006448B9"/>
    <w:rsid w:val="00645915"/>
    <w:rsid w:val="00645E3D"/>
    <w:rsid w:val="00646488"/>
    <w:rsid w:val="00650D64"/>
    <w:rsid w:val="0065539B"/>
    <w:rsid w:val="00655C99"/>
    <w:rsid w:val="00657192"/>
    <w:rsid w:val="006571FC"/>
    <w:rsid w:val="00660E06"/>
    <w:rsid w:val="00663AA3"/>
    <w:rsid w:val="0066614F"/>
    <w:rsid w:val="006666DA"/>
    <w:rsid w:val="00667EC2"/>
    <w:rsid w:val="0067038E"/>
    <w:rsid w:val="00670A89"/>
    <w:rsid w:val="00670E04"/>
    <w:rsid w:val="0067175A"/>
    <w:rsid w:val="00671BDF"/>
    <w:rsid w:val="006749A3"/>
    <w:rsid w:val="00674DF6"/>
    <w:rsid w:val="0067554A"/>
    <w:rsid w:val="00683A84"/>
    <w:rsid w:val="006856E7"/>
    <w:rsid w:val="006877B3"/>
    <w:rsid w:val="00687AC4"/>
    <w:rsid w:val="0069084A"/>
    <w:rsid w:val="00690C41"/>
    <w:rsid w:val="0069132A"/>
    <w:rsid w:val="00691D61"/>
    <w:rsid w:val="00692003"/>
    <w:rsid w:val="00695B7E"/>
    <w:rsid w:val="006A1A0A"/>
    <w:rsid w:val="006A3FE7"/>
    <w:rsid w:val="006B0009"/>
    <w:rsid w:val="006B020E"/>
    <w:rsid w:val="006B27EF"/>
    <w:rsid w:val="006B3891"/>
    <w:rsid w:val="006B38DF"/>
    <w:rsid w:val="006B5596"/>
    <w:rsid w:val="006B5CF5"/>
    <w:rsid w:val="006B6A35"/>
    <w:rsid w:val="006B6B38"/>
    <w:rsid w:val="006C1813"/>
    <w:rsid w:val="006C18CD"/>
    <w:rsid w:val="006C2FEA"/>
    <w:rsid w:val="006C30D3"/>
    <w:rsid w:val="006C330A"/>
    <w:rsid w:val="006C6D95"/>
    <w:rsid w:val="006D0C33"/>
    <w:rsid w:val="006D1E42"/>
    <w:rsid w:val="006D3ABC"/>
    <w:rsid w:val="006D3C69"/>
    <w:rsid w:val="006D44CB"/>
    <w:rsid w:val="006D56E5"/>
    <w:rsid w:val="006D58E3"/>
    <w:rsid w:val="006D6192"/>
    <w:rsid w:val="006D6287"/>
    <w:rsid w:val="006D7C36"/>
    <w:rsid w:val="006E056A"/>
    <w:rsid w:val="006E0749"/>
    <w:rsid w:val="006E134B"/>
    <w:rsid w:val="006E1811"/>
    <w:rsid w:val="006E2C39"/>
    <w:rsid w:val="006E2FEF"/>
    <w:rsid w:val="006E365B"/>
    <w:rsid w:val="006E3F25"/>
    <w:rsid w:val="006E4D91"/>
    <w:rsid w:val="006E4E81"/>
    <w:rsid w:val="006E4F10"/>
    <w:rsid w:val="006E59E2"/>
    <w:rsid w:val="006F0844"/>
    <w:rsid w:val="006F167E"/>
    <w:rsid w:val="006F523D"/>
    <w:rsid w:val="006F6AB5"/>
    <w:rsid w:val="006F6B0F"/>
    <w:rsid w:val="006F6EDF"/>
    <w:rsid w:val="00700040"/>
    <w:rsid w:val="00704C33"/>
    <w:rsid w:val="00705DD0"/>
    <w:rsid w:val="00707419"/>
    <w:rsid w:val="007119C8"/>
    <w:rsid w:val="0071237F"/>
    <w:rsid w:val="00712D19"/>
    <w:rsid w:val="00713000"/>
    <w:rsid w:val="0071358A"/>
    <w:rsid w:val="007145DC"/>
    <w:rsid w:val="00714C1F"/>
    <w:rsid w:val="007153A6"/>
    <w:rsid w:val="0071588F"/>
    <w:rsid w:val="00715C7C"/>
    <w:rsid w:val="00721370"/>
    <w:rsid w:val="007215A4"/>
    <w:rsid w:val="007217EE"/>
    <w:rsid w:val="007240DA"/>
    <w:rsid w:val="0072457C"/>
    <w:rsid w:val="00724B8E"/>
    <w:rsid w:val="00724D91"/>
    <w:rsid w:val="00725689"/>
    <w:rsid w:val="00725BCA"/>
    <w:rsid w:val="00726434"/>
    <w:rsid w:val="007266C4"/>
    <w:rsid w:val="00727154"/>
    <w:rsid w:val="00727837"/>
    <w:rsid w:val="007304FC"/>
    <w:rsid w:val="007310E4"/>
    <w:rsid w:val="00731D32"/>
    <w:rsid w:val="00733572"/>
    <w:rsid w:val="0073604B"/>
    <w:rsid w:val="007368DE"/>
    <w:rsid w:val="00736D86"/>
    <w:rsid w:val="007378F1"/>
    <w:rsid w:val="00737FD7"/>
    <w:rsid w:val="007409AF"/>
    <w:rsid w:val="007412E4"/>
    <w:rsid w:val="0074343C"/>
    <w:rsid w:val="00743E28"/>
    <w:rsid w:val="00744B4E"/>
    <w:rsid w:val="00744E7E"/>
    <w:rsid w:val="00745820"/>
    <w:rsid w:val="0074792E"/>
    <w:rsid w:val="00750C5E"/>
    <w:rsid w:val="00750F56"/>
    <w:rsid w:val="00751769"/>
    <w:rsid w:val="007519F8"/>
    <w:rsid w:val="00752DF7"/>
    <w:rsid w:val="00753447"/>
    <w:rsid w:val="00753FFB"/>
    <w:rsid w:val="0075448A"/>
    <w:rsid w:val="00761CDF"/>
    <w:rsid w:val="00761FDC"/>
    <w:rsid w:val="00761FFC"/>
    <w:rsid w:val="007621C7"/>
    <w:rsid w:val="007633E5"/>
    <w:rsid w:val="007660C7"/>
    <w:rsid w:val="00767942"/>
    <w:rsid w:val="00767B95"/>
    <w:rsid w:val="00774A79"/>
    <w:rsid w:val="00775132"/>
    <w:rsid w:val="0077734B"/>
    <w:rsid w:val="00777C66"/>
    <w:rsid w:val="007819C8"/>
    <w:rsid w:val="00785901"/>
    <w:rsid w:val="00787132"/>
    <w:rsid w:val="00787204"/>
    <w:rsid w:val="0078743E"/>
    <w:rsid w:val="00791AE4"/>
    <w:rsid w:val="00791B26"/>
    <w:rsid w:val="00791D87"/>
    <w:rsid w:val="007946FA"/>
    <w:rsid w:val="00796196"/>
    <w:rsid w:val="007968DF"/>
    <w:rsid w:val="00797748"/>
    <w:rsid w:val="0079777B"/>
    <w:rsid w:val="007A0AF6"/>
    <w:rsid w:val="007A1CE2"/>
    <w:rsid w:val="007A3CD9"/>
    <w:rsid w:val="007A458D"/>
    <w:rsid w:val="007A480A"/>
    <w:rsid w:val="007B162D"/>
    <w:rsid w:val="007B342E"/>
    <w:rsid w:val="007B4A2F"/>
    <w:rsid w:val="007B4BD2"/>
    <w:rsid w:val="007B4D96"/>
    <w:rsid w:val="007B6C37"/>
    <w:rsid w:val="007B721C"/>
    <w:rsid w:val="007B7669"/>
    <w:rsid w:val="007C1001"/>
    <w:rsid w:val="007C1468"/>
    <w:rsid w:val="007C62E5"/>
    <w:rsid w:val="007C705E"/>
    <w:rsid w:val="007D3AEE"/>
    <w:rsid w:val="007D40A7"/>
    <w:rsid w:val="007D4119"/>
    <w:rsid w:val="007D46C9"/>
    <w:rsid w:val="007D62BE"/>
    <w:rsid w:val="007D6A86"/>
    <w:rsid w:val="007D6CDF"/>
    <w:rsid w:val="007D73C6"/>
    <w:rsid w:val="007E16D7"/>
    <w:rsid w:val="007E1852"/>
    <w:rsid w:val="007E270F"/>
    <w:rsid w:val="007E3CD5"/>
    <w:rsid w:val="007E6B09"/>
    <w:rsid w:val="007E7B2B"/>
    <w:rsid w:val="007F043C"/>
    <w:rsid w:val="007F2B0D"/>
    <w:rsid w:val="007F38A8"/>
    <w:rsid w:val="007F48C0"/>
    <w:rsid w:val="007F62E4"/>
    <w:rsid w:val="007F6993"/>
    <w:rsid w:val="008000EE"/>
    <w:rsid w:val="00801798"/>
    <w:rsid w:val="008024D5"/>
    <w:rsid w:val="0080298C"/>
    <w:rsid w:val="00804942"/>
    <w:rsid w:val="008068E9"/>
    <w:rsid w:val="0080793D"/>
    <w:rsid w:val="0081183A"/>
    <w:rsid w:val="00811E6C"/>
    <w:rsid w:val="0081659A"/>
    <w:rsid w:val="00816BA8"/>
    <w:rsid w:val="0081758F"/>
    <w:rsid w:val="00820519"/>
    <w:rsid w:val="00820C7C"/>
    <w:rsid w:val="00820D1C"/>
    <w:rsid w:val="00821DDE"/>
    <w:rsid w:val="00823676"/>
    <w:rsid w:val="00824FB9"/>
    <w:rsid w:val="00825630"/>
    <w:rsid w:val="00825CD9"/>
    <w:rsid w:val="0082712B"/>
    <w:rsid w:val="00827584"/>
    <w:rsid w:val="00827D73"/>
    <w:rsid w:val="0083081E"/>
    <w:rsid w:val="00830C89"/>
    <w:rsid w:val="0083307F"/>
    <w:rsid w:val="0083455F"/>
    <w:rsid w:val="00835FBF"/>
    <w:rsid w:val="00836D76"/>
    <w:rsid w:val="008417C9"/>
    <w:rsid w:val="008422E0"/>
    <w:rsid w:val="00843C17"/>
    <w:rsid w:val="00844B18"/>
    <w:rsid w:val="00844C4C"/>
    <w:rsid w:val="00845344"/>
    <w:rsid w:val="00845659"/>
    <w:rsid w:val="00846680"/>
    <w:rsid w:val="00847972"/>
    <w:rsid w:val="00847C32"/>
    <w:rsid w:val="008511E5"/>
    <w:rsid w:val="00852EA8"/>
    <w:rsid w:val="008551EE"/>
    <w:rsid w:val="00855F99"/>
    <w:rsid w:val="008578F9"/>
    <w:rsid w:val="00860112"/>
    <w:rsid w:val="008606C1"/>
    <w:rsid w:val="00860C77"/>
    <w:rsid w:val="00861D02"/>
    <w:rsid w:val="008624CA"/>
    <w:rsid w:val="008628FC"/>
    <w:rsid w:val="00862DFA"/>
    <w:rsid w:val="00862FE9"/>
    <w:rsid w:val="0086375D"/>
    <w:rsid w:val="008639E1"/>
    <w:rsid w:val="00865749"/>
    <w:rsid w:val="00867065"/>
    <w:rsid w:val="00870D2B"/>
    <w:rsid w:val="00871C3D"/>
    <w:rsid w:val="00872971"/>
    <w:rsid w:val="00873ECF"/>
    <w:rsid w:val="00874B3D"/>
    <w:rsid w:val="00876737"/>
    <w:rsid w:val="00876A00"/>
    <w:rsid w:val="0087786B"/>
    <w:rsid w:val="00877A4E"/>
    <w:rsid w:val="00882E05"/>
    <w:rsid w:val="00883348"/>
    <w:rsid w:val="0088356E"/>
    <w:rsid w:val="00887500"/>
    <w:rsid w:val="008879E2"/>
    <w:rsid w:val="008902F0"/>
    <w:rsid w:val="00890789"/>
    <w:rsid w:val="00890E18"/>
    <w:rsid w:val="00890E37"/>
    <w:rsid w:val="00891D83"/>
    <w:rsid w:val="008932A4"/>
    <w:rsid w:val="00896A66"/>
    <w:rsid w:val="0089781D"/>
    <w:rsid w:val="008A0597"/>
    <w:rsid w:val="008A229A"/>
    <w:rsid w:val="008A45AD"/>
    <w:rsid w:val="008A68F3"/>
    <w:rsid w:val="008A6A37"/>
    <w:rsid w:val="008A7005"/>
    <w:rsid w:val="008A74F5"/>
    <w:rsid w:val="008A7B7A"/>
    <w:rsid w:val="008B149E"/>
    <w:rsid w:val="008B38D2"/>
    <w:rsid w:val="008B4557"/>
    <w:rsid w:val="008B478A"/>
    <w:rsid w:val="008B4D5B"/>
    <w:rsid w:val="008B792D"/>
    <w:rsid w:val="008C1845"/>
    <w:rsid w:val="008C1FEC"/>
    <w:rsid w:val="008C2CA0"/>
    <w:rsid w:val="008C32E9"/>
    <w:rsid w:val="008C3AF6"/>
    <w:rsid w:val="008C63B6"/>
    <w:rsid w:val="008D1C20"/>
    <w:rsid w:val="008D20D5"/>
    <w:rsid w:val="008D2609"/>
    <w:rsid w:val="008D2AC2"/>
    <w:rsid w:val="008D477C"/>
    <w:rsid w:val="008D485B"/>
    <w:rsid w:val="008D5D9E"/>
    <w:rsid w:val="008D7497"/>
    <w:rsid w:val="008E03A4"/>
    <w:rsid w:val="008E0468"/>
    <w:rsid w:val="008E1378"/>
    <w:rsid w:val="008E4511"/>
    <w:rsid w:val="008E4A18"/>
    <w:rsid w:val="008E6946"/>
    <w:rsid w:val="008E6B6C"/>
    <w:rsid w:val="008E6CE7"/>
    <w:rsid w:val="008F0701"/>
    <w:rsid w:val="008F0CDC"/>
    <w:rsid w:val="008F3160"/>
    <w:rsid w:val="008F40B6"/>
    <w:rsid w:val="008F6056"/>
    <w:rsid w:val="008F6798"/>
    <w:rsid w:val="008F6BDC"/>
    <w:rsid w:val="008F73AF"/>
    <w:rsid w:val="00900486"/>
    <w:rsid w:val="009011CA"/>
    <w:rsid w:val="009013A5"/>
    <w:rsid w:val="00901578"/>
    <w:rsid w:val="00902174"/>
    <w:rsid w:val="00902F6C"/>
    <w:rsid w:val="00903466"/>
    <w:rsid w:val="00903D2F"/>
    <w:rsid w:val="00903DE6"/>
    <w:rsid w:val="0090504E"/>
    <w:rsid w:val="009051EF"/>
    <w:rsid w:val="00906332"/>
    <w:rsid w:val="00906715"/>
    <w:rsid w:val="00906AE7"/>
    <w:rsid w:val="009103DD"/>
    <w:rsid w:val="00911D1E"/>
    <w:rsid w:val="00911DF8"/>
    <w:rsid w:val="00912A8A"/>
    <w:rsid w:val="00912C77"/>
    <w:rsid w:val="00913A30"/>
    <w:rsid w:val="009147DC"/>
    <w:rsid w:val="0091694E"/>
    <w:rsid w:val="00920717"/>
    <w:rsid w:val="00920DF8"/>
    <w:rsid w:val="00920F1F"/>
    <w:rsid w:val="0092111F"/>
    <w:rsid w:val="00921295"/>
    <w:rsid w:val="00923261"/>
    <w:rsid w:val="0092332E"/>
    <w:rsid w:val="00924599"/>
    <w:rsid w:val="00926712"/>
    <w:rsid w:val="00927B83"/>
    <w:rsid w:val="009305E0"/>
    <w:rsid w:val="009319BE"/>
    <w:rsid w:val="00931DB6"/>
    <w:rsid w:val="0093276B"/>
    <w:rsid w:val="0093333C"/>
    <w:rsid w:val="00934D2D"/>
    <w:rsid w:val="0093592D"/>
    <w:rsid w:val="00936B93"/>
    <w:rsid w:val="00936E68"/>
    <w:rsid w:val="00936ECF"/>
    <w:rsid w:val="00937808"/>
    <w:rsid w:val="009379BD"/>
    <w:rsid w:val="00937D16"/>
    <w:rsid w:val="00937E69"/>
    <w:rsid w:val="00940FCA"/>
    <w:rsid w:val="00941024"/>
    <w:rsid w:val="009428E8"/>
    <w:rsid w:val="00942E48"/>
    <w:rsid w:val="009439D0"/>
    <w:rsid w:val="00945EF4"/>
    <w:rsid w:val="00946605"/>
    <w:rsid w:val="0095025B"/>
    <w:rsid w:val="009536DA"/>
    <w:rsid w:val="00953C71"/>
    <w:rsid w:val="00956768"/>
    <w:rsid w:val="00963618"/>
    <w:rsid w:val="0096367B"/>
    <w:rsid w:val="00964212"/>
    <w:rsid w:val="009647FE"/>
    <w:rsid w:val="00965C49"/>
    <w:rsid w:val="009660F4"/>
    <w:rsid w:val="00966130"/>
    <w:rsid w:val="0096695F"/>
    <w:rsid w:val="00966C18"/>
    <w:rsid w:val="009674A7"/>
    <w:rsid w:val="009706CA"/>
    <w:rsid w:val="00973420"/>
    <w:rsid w:val="00974315"/>
    <w:rsid w:val="00974837"/>
    <w:rsid w:val="00974C06"/>
    <w:rsid w:val="00974C58"/>
    <w:rsid w:val="00981705"/>
    <w:rsid w:val="00982128"/>
    <w:rsid w:val="009828A2"/>
    <w:rsid w:val="00982F85"/>
    <w:rsid w:val="009833AD"/>
    <w:rsid w:val="0098547A"/>
    <w:rsid w:val="00985D59"/>
    <w:rsid w:val="00986B61"/>
    <w:rsid w:val="00992B73"/>
    <w:rsid w:val="00992EAB"/>
    <w:rsid w:val="0099508A"/>
    <w:rsid w:val="009961BE"/>
    <w:rsid w:val="0099673A"/>
    <w:rsid w:val="009971A9"/>
    <w:rsid w:val="009A0C34"/>
    <w:rsid w:val="009A4C32"/>
    <w:rsid w:val="009A6580"/>
    <w:rsid w:val="009A6D40"/>
    <w:rsid w:val="009B5A20"/>
    <w:rsid w:val="009B6D46"/>
    <w:rsid w:val="009B6F2E"/>
    <w:rsid w:val="009C28A0"/>
    <w:rsid w:val="009C38A5"/>
    <w:rsid w:val="009C3F10"/>
    <w:rsid w:val="009C4B94"/>
    <w:rsid w:val="009C715F"/>
    <w:rsid w:val="009C769E"/>
    <w:rsid w:val="009C7D40"/>
    <w:rsid w:val="009D1197"/>
    <w:rsid w:val="009D120A"/>
    <w:rsid w:val="009D1DAE"/>
    <w:rsid w:val="009D3496"/>
    <w:rsid w:val="009D6157"/>
    <w:rsid w:val="009D652F"/>
    <w:rsid w:val="009D6EDF"/>
    <w:rsid w:val="009D7CB5"/>
    <w:rsid w:val="009D7FE7"/>
    <w:rsid w:val="009E287F"/>
    <w:rsid w:val="009E2EBF"/>
    <w:rsid w:val="009E3DE3"/>
    <w:rsid w:val="009E67F5"/>
    <w:rsid w:val="009E682A"/>
    <w:rsid w:val="009E7269"/>
    <w:rsid w:val="009F1038"/>
    <w:rsid w:val="009F1861"/>
    <w:rsid w:val="009F25E6"/>
    <w:rsid w:val="009F4E4C"/>
    <w:rsid w:val="009F5847"/>
    <w:rsid w:val="009F7A82"/>
    <w:rsid w:val="00A002BA"/>
    <w:rsid w:val="00A02B56"/>
    <w:rsid w:val="00A032C4"/>
    <w:rsid w:val="00A068BF"/>
    <w:rsid w:val="00A10263"/>
    <w:rsid w:val="00A105EC"/>
    <w:rsid w:val="00A13621"/>
    <w:rsid w:val="00A15071"/>
    <w:rsid w:val="00A1750F"/>
    <w:rsid w:val="00A1784B"/>
    <w:rsid w:val="00A2038F"/>
    <w:rsid w:val="00A2105C"/>
    <w:rsid w:val="00A211F1"/>
    <w:rsid w:val="00A213E9"/>
    <w:rsid w:val="00A219B1"/>
    <w:rsid w:val="00A24B55"/>
    <w:rsid w:val="00A25A82"/>
    <w:rsid w:val="00A25FD1"/>
    <w:rsid w:val="00A260DD"/>
    <w:rsid w:val="00A2724D"/>
    <w:rsid w:val="00A27EE6"/>
    <w:rsid w:val="00A30773"/>
    <w:rsid w:val="00A30F3B"/>
    <w:rsid w:val="00A31B3A"/>
    <w:rsid w:val="00A32C5C"/>
    <w:rsid w:val="00A33606"/>
    <w:rsid w:val="00A3449A"/>
    <w:rsid w:val="00A349CC"/>
    <w:rsid w:val="00A34E03"/>
    <w:rsid w:val="00A35625"/>
    <w:rsid w:val="00A356B1"/>
    <w:rsid w:val="00A356B8"/>
    <w:rsid w:val="00A36559"/>
    <w:rsid w:val="00A37418"/>
    <w:rsid w:val="00A407C6"/>
    <w:rsid w:val="00A411BB"/>
    <w:rsid w:val="00A420AD"/>
    <w:rsid w:val="00A4214B"/>
    <w:rsid w:val="00A4480A"/>
    <w:rsid w:val="00A4677E"/>
    <w:rsid w:val="00A46B2D"/>
    <w:rsid w:val="00A478A9"/>
    <w:rsid w:val="00A47B5F"/>
    <w:rsid w:val="00A51320"/>
    <w:rsid w:val="00A51EB8"/>
    <w:rsid w:val="00A5210F"/>
    <w:rsid w:val="00A53272"/>
    <w:rsid w:val="00A548F7"/>
    <w:rsid w:val="00A54BE5"/>
    <w:rsid w:val="00A554D0"/>
    <w:rsid w:val="00A571F8"/>
    <w:rsid w:val="00A57F3E"/>
    <w:rsid w:val="00A60D54"/>
    <w:rsid w:val="00A614C7"/>
    <w:rsid w:val="00A62702"/>
    <w:rsid w:val="00A630C4"/>
    <w:rsid w:val="00A63C1E"/>
    <w:rsid w:val="00A6420C"/>
    <w:rsid w:val="00A732F0"/>
    <w:rsid w:val="00A74E74"/>
    <w:rsid w:val="00A76175"/>
    <w:rsid w:val="00A77403"/>
    <w:rsid w:val="00A80884"/>
    <w:rsid w:val="00A81584"/>
    <w:rsid w:val="00A82D2F"/>
    <w:rsid w:val="00A82EAF"/>
    <w:rsid w:val="00A85441"/>
    <w:rsid w:val="00A8712F"/>
    <w:rsid w:val="00A87B8A"/>
    <w:rsid w:val="00A90864"/>
    <w:rsid w:val="00A908E1"/>
    <w:rsid w:val="00A92157"/>
    <w:rsid w:val="00A92C8A"/>
    <w:rsid w:val="00A94577"/>
    <w:rsid w:val="00A9676A"/>
    <w:rsid w:val="00A96AC9"/>
    <w:rsid w:val="00AA0B77"/>
    <w:rsid w:val="00AA1468"/>
    <w:rsid w:val="00AA168C"/>
    <w:rsid w:val="00AA1855"/>
    <w:rsid w:val="00AA202D"/>
    <w:rsid w:val="00AA3824"/>
    <w:rsid w:val="00AA7206"/>
    <w:rsid w:val="00AB0385"/>
    <w:rsid w:val="00AB1C22"/>
    <w:rsid w:val="00AB23A4"/>
    <w:rsid w:val="00AB4719"/>
    <w:rsid w:val="00AC0074"/>
    <w:rsid w:val="00AC09F7"/>
    <w:rsid w:val="00AC0FB0"/>
    <w:rsid w:val="00AC2060"/>
    <w:rsid w:val="00AC26D5"/>
    <w:rsid w:val="00AC541F"/>
    <w:rsid w:val="00AC5656"/>
    <w:rsid w:val="00AC5833"/>
    <w:rsid w:val="00AC630B"/>
    <w:rsid w:val="00AC7776"/>
    <w:rsid w:val="00AC7B42"/>
    <w:rsid w:val="00AD0AEF"/>
    <w:rsid w:val="00AD2921"/>
    <w:rsid w:val="00AD5D5C"/>
    <w:rsid w:val="00AD7C4E"/>
    <w:rsid w:val="00AE070D"/>
    <w:rsid w:val="00AE0727"/>
    <w:rsid w:val="00AE31DB"/>
    <w:rsid w:val="00AE3B24"/>
    <w:rsid w:val="00AE4CB1"/>
    <w:rsid w:val="00AE5FC5"/>
    <w:rsid w:val="00AE63D0"/>
    <w:rsid w:val="00AE7C17"/>
    <w:rsid w:val="00AF091B"/>
    <w:rsid w:val="00AF0FD4"/>
    <w:rsid w:val="00AF1445"/>
    <w:rsid w:val="00AF24EC"/>
    <w:rsid w:val="00AF5664"/>
    <w:rsid w:val="00AF6084"/>
    <w:rsid w:val="00AF65F3"/>
    <w:rsid w:val="00AF7E32"/>
    <w:rsid w:val="00B007F9"/>
    <w:rsid w:val="00B015FA"/>
    <w:rsid w:val="00B01906"/>
    <w:rsid w:val="00B01FE7"/>
    <w:rsid w:val="00B02475"/>
    <w:rsid w:val="00B03E78"/>
    <w:rsid w:val="00B043EC"/>
    <w:rsid w:val="00B04AE5"/>
    <w:rsid w:val="00B0541B"/>
    <w:rsid w:val="00B079BB"/>
    <w:rsid w:val="00B1063A"/>
    <w:rsid w:val="00B10FF2"/>
    <w:rsid w:val="00B112AB"/>
    <w:rsid w:val="00B12799"/>
    <w:rsid w:val="00B129B4"/>
    <w:rsid w:val="00B13092"/>
    <w:rsid w:val="00B13224"/>
    <w:rsid w:val="00B136F9"/>
    <w:rsid w:val="00B14C1B"/>
    <w:rsid w:val="00B14E5B"/>
    <w:rsid w:val="00B21E63"/>
    <w:rsid w:val="00B223F2"/>
    <w:rsid w:val="00B233FF"/>
    <w:rsid w:val="00B23868"/>
    <w:rsid w:val="00B23BC8"/>
    <w:rsid w:val="00B247E6"/>
    <w:rsid w:val="00B25953"/>
    <w:rsid w:val="00B25B3E"/>
    <w:rsid w:val="00B26430"/>
    <w:rsid w:val="00B272A1"/>
    <w:rsid w:val="00B2746D"/>
    <w:rsid w:val="00B3076A"/>
    <w:rsid w:val="00B312B6"/>
    <w:rsid w:val="00B33754"/>
    <w:rsid w:val="00B3405B"/>
    <w:rsid w:val="00B341FC"/>
    <w:rsid w:val="00B36303"/>
    <w:rsid w:val="00B36543"/>
    <w:rsid w:val="00B36E3A"/>
    <w:rsid w:val="00B4123A"/>
    <w:rsid w:val="00B42A11"/>
    <w:rsid w:val="00B42F32"/>
    <w:rsid w:val="00B43CB0"/>
    <w:rsid w:val="00B43EC7"/>
    <w:rsid w:val="00B4467C"/>
    <w:rsid w:val="00B4498A"/>
    <w:rsid w:val="00B44F2F"/>
    <w:rsid w:val="00B454BC"/>
    <w:rsid w:val="00B46D15"/>
    <w:rsid w:val="00B536FA"/>
    <w:rsid w:val="00B55162"/>
    <w:rsid w:val="00B55180"/>
    <w:rsid w:val="00B5551E"/>
    <w:rsid w:val="00B5683B"/>
    <w:rsid w:val="00B578AD"/>
    <w:rsid w:val="00B600AC"/>
    <w:rsid w:val="00B60175"/>
    <w:rsid w:val="00B60B1A"/>
    <w:rsid w:val="00B6165E"/>
    <w:rsid w:val="00B61A69"/>
    <w:rsid w:val="00B6201A"/>
    <w:rsid w:val="00B625FD"/>
    <w:rsid w:val="00B6292B"/>
    <w:rsid w:val="00B62F55"/>
    <w:rsid w:val="00B62FA3"/>
    <w:rsid w:val="00B651B1"/>
    <w:rsid w:val="00B66907"/>
    <w:rsid w:val="00B66C74"/>
    <w:rsid w:val="00B67BF8"/>
    <w:rsid w:val="00B70290"/>
    <w:rsid w:val="00B724B8"/>
    <w:rsid w:val="00B7289E"/>
    <w:rsid w:val="00B73596"/>
    <w:rsid w:val="00B74C54"/>
    <w:rsid w:val="00B75292"/>
    <w:rsid w:val="00B75A44"/>
    <w:rsid w:val="00B76716"/>
    <w:rsid w:val="00B77114"/>
    <w:rsid w:val="00B77F08"/>
    <w:rsid w:val="00B8188B"/>
    <w:rsid w:val="00B826C9"/>
    <w:rsid w:val="00B828BD"/>
    <w:rsid w:val="00B8417E"/>
    <w:rsid w:val="00B845C4"/>
    <w:rsid w:val="00B8478C"/>
    <w:rsid w:val="00B86400"/>
    <w:rsid w:val="00B8679E"/>
    <w:rsid w:val="00B904C4"/>
    <w:rsid w:val="00B91A6D"/>
    <w:rsid w:val="00B924A6"/>
    <w:rsid w:val="00B926B1"/>
    <w:rsid w:val="00B927A3"/>
    <w:rsid w:val="00B938FA"/>
    <w:rsid w:val="00B94D8E"/>
    <w:rsid w:val="00B95E80"/>
    <w:rsid w:val="00B963DB"/>
    <w:rsid w:val="00B973DA"/>
    <w:rsid w:val="00B97BB2"/>
    <w:rsid w:val="00BA1C70"/>
    <w:rsid w:val="00BA412C"/>
    <w:rsid w:val="00BA5D31"/>
    <w:rsid w:val="00BA5D44"/>
    <w:rsid w:val="00BA5F79"/>
    <w:rsid w:val="00BA654B"/>
    <w:rsid w:val="00BA6F25"/>
    <w:rsid w:val="00BA7D49"/>
    <w:rsid w:val="00BB2790"/>
    <w:rsid w:val="00BB3514"/>
    <w:rsid w:val="00BB3DC5"/>
    <w:rsid w:val="00BB4657"/>
    <w:rsid w:val="00BB5B66"/>
    <w:rsid w:val="00BB64CC"/>
    <w:rsid w:val="00BC07CE"/>
    <w:rsid w:val="00BC14F4"/>
    <w:rsid w:val="00BC1D77"/>
    <w:rsid w:val="00BC25FE"/>
    <w:rsid w:val="00BC470F"/>
    <w:rsid w:val="00BC4785"/>
    <w:rsid w:val="00BC4A20"/>
    <w:rsid w:val="00BC7E1F"/>
    <w:rsid w:val="00BD1BF5"/>
    <w:rsid w:val="00BD1CCA"/>
    <w:rsid w:val="00BD2746"/>
    <w:rsid w:val="00BD28C7"/>
    <w:rsid w:val="00BD39A3"/>
    <w:rsid w:val="00BD3CD9"/>
    <w:rsid w:val="00BD67C7"/>
    <w:rsid w:val="00BD6A6F"/>
    <w:rsid w:val="00BD77C4"/>
    <w:rsid w:val="00BE1006"/>
    <w:rsid w:val="00BE3316"/>
    <w:rsid w:val="00BE33ED"/>
    <w:rsid w:val="00BE420F"/>
    <w:rsid w:val="00BE6480"/>
    <w:rsid w:val="00BE6A12"/>
    <w:rsid w:val="00BE7228"/>
    <w:rsid w:val="00BF01BA"/>
    <w:rsid w:val="00BF0E95"/>
    <w:rsid w:val="00BF1699"/>
    <w:rsid w:val="00BF1AEA"/>
    <w:rsid w:val="00BF2523"/>
    <w:rsid w:val="00BF4313"/>
    <w:rsid w:val="00BF440B"/>
    <w:rsid w:val="00BF52EE"/>
    <w:rsid w:val="00BF6115"/>
    <w:rsid w:val="00BF7511"/>
    <w:rsid w:val="00BF7633"/>
    <w:rsid w:val="00BF76B2"/>
    <w:rsid w:val="00BF7A73"/>
    <w:rsid w:val="00C01044"/>
    <w:rsid w:val="00C01075"/>
    <w:rsid w:val="00C0274E"/>
    <w:rsid w:val="00C030F2"/>
    <w:rsid w:val="00C0548E"/>
    <w:rsid w:val="00C05ACC"/>
    <w:rsid w:val="00C108D7"/>
    <w:rsid w:val="00C109C8"/>
    <w:rsid w:val="00C11406"/>
    <w:rsid w:val="00C11B40"/>
    <w:rsid w:val="00C12882"/>
    <w:rsid w:val="00C13C22"/>
    <w:rsid w:val="00C152D6"/>
    <w:rsid w:val="00C159F4"/>
    <w:rsid w:val="00C164CA"/>
    <w:rsid w:val="00C20FF3"/>
    <w:rsid w:val="00C21EB3"/>
    <w:rsid w:val="00C22231"/>
    <w:rsid w:val="00C2238D"/>
    <w:rsid w:val="00C22993"/>
    <w:rsid w:val="00C2339C"/>
    <w:rsid w:val="00C234D0"/>
    <w:rsid w:val="00C24260"/>
    <w:rsid w:val="00C2573B"/>
    <w:rsid w:val="00C26AE0"/>
    <w:rsid w:val="00C26CC5"/>
    <w:rsid w:val="00C26DDE"/>
    <w:rsid w:val="00C27D9C"/>
    <w:rsid w:val="00C27EC6"/>
    <w:rsid w:val="00C316FF"/>
    <w:rsid w:val="00C3204D"/>
    <w:rsid w:val="00C33D0C"/>
    <w:rsid w:val="00C34478"/>
    <w:rsid w:val="00C357BA"/>
    <w:rsid w:val="00C37410"/>
    <w:rsid w:val="00C37DC3"/>
    <w:rsid w:val="00C42493"/>
    <w:rsid w:val="00C42A3D"/>
    <w:rsid w:val="00C42DFB"/>
    <w:rsid w:val="00C436AF"/>
    <w:rsid w:val="00C43ABD"/>
    <w:rsid w:val="00C46C92"/>
    <w:rsid w:val="00C500F9"/>
    <w:rsid w:val="00C5013A"/>
    <w:rsid w:val="00C52D1E"/>
    <w:rsid w:val="00C53123"/>
    <w:rsid w:val="00C5340F"/>
    <w:rsid w:val="00C5696D"/>
    <w:rsid w:val="00C574DC"/>
    <w:rsid w:val="00C57B14"/>
    <w:rsid w:val="00C61AF0"/>
    <w:rsid w:val="00C62690"/>
    <w:rsid w:val="00C62E7D"/>
    <w:rsid w:val="00C65E39"/>
    <w:rsid w:val="00C66B81"/>
    <w:rsid w:val="00C706C2"/>
    <w:rsid w:val="00C70E4C"/>
    <w:rsid w:val="00C72D9E"/>
    <w:rsid w:val="00C7309D"/>
    <w:rsid w:val="00C73842"/>
    <w:rsid w:val="00C816C4"/>
    <w:rsid w:val="00C81A0D"/>
    <w:rsid w:val="00C81EC4"/>
    <w:rsid w:val="00C84183"/>
    <w:rsid w:val="00C8426D"/>
    <w:rsid w:val="00C87AD7"/>
    <w:rsid w:val="00C87DCC"/>
    <w:rsid w:val="00C9052F"/>
    <w:rsid w:val="00C918EF"/>
    <w:rsid w:val="00C922F4"/>
    <w:rsid w:val="00C9359F"/>
    <w:rsid w:val="00C94C2F"/>
    <w:rsid w:val="00C954D4"/>
    <w:rsid w:val="00CA0484"/>
    <w:rsid w:val="00CA1490"/>
    <w:rsid w:val="00CA2837"/>
    <w:rsid w:val="00CA4FD0"/>
    <w:rsid w:val="00CA50E5"/>
    <w:rsid w:val="00CA5DAC"/>
    <w:rsid w:val="00CA694F"/>
    <w:rsid w:val="00CA7C36"/>
    <w:rsid w:val="00CB0460"/>
    <w:rsid w:val="00CB24CC"/>
    <w:rsid w:val="00CB3888"/>
    <w:rsid w:val="00CB3BB5"/>
    <w:rsid w:val="00CB3EDE"/>
    <w:rsid w:val="00CB5679"/>
    <w:rsid w:val="00CB5F81"/>
    <w:rsid w:val="00CC20E3"/>
    <w:rsid w:val="00CC4357"/>
    <w:rsid w:val="00CC4784"/>
    <w:rsid w:val="00CC5DE5"/>
    <w:rsid w:val="00CC60F9"/>
    <w:rsid w:val="00CC7136"/>
    <w:rsid w:val="00CD2193"/>
    <w:rsid w:val="00CD664D"/>
    <w:rsid w:val="00CD748B"/>
    <w:rsid w:val="00CD786A"/>
    <w:rsid w:val="00CE1F7F"/>
    <w:rsid w:val="00CE38C1"/>
    <w:rsid w:val="00CE43D6"/>
    <w:rsid w:val="00CE4983"/>
    <w:rsid w:val="00CE515C"/>
    <w:rsid w:val="00CE7991"/>
    <w:rsid w:val="00CF11C1"/>
    <w:rsid w:val="00CF2E73"/>
    <w:rsid w:val="00CF3AE4"/>
    <w:rsid w:val="00CF4B89"/>
    <w:rsid w:val="00CF6747"/>
    <w:rsid w:val="00CF72C7"/>
    <w:rsid w:val="00D04386"/>
    <w:rsid w:val="00D04F57"/>
    <w:rsid w:val="00D05E06"/>
    <w:rsid w:val="00D06AEB"/>
    <w:rsid w:val="00D109FF"/>
    <w:rsid w:val="00D13BA1"/>
    <w:rsid w:val="00D140F6"/>
    <w:rsid w:val="00D14D32"/>
    <w:rsid w:val="00D14F7F"/>
    <w:rsid w:val="00D15464"/>
    <w:rsid w:val="00D15616"/>
    <w:rsid w:val="00D168BD"/>
    <w:rsid w:val="00D205AA"/>
    <w:rsid w:val="00D21868"/>
    <w:rsid w:val="00D21E57"/>
    <w:rsid w:val="00D24E39"/>
    <w:rsid w:val="00D254E3"/>
    <w:rsid w:val="00D26C64"/>
    <w:rsid w:val="00D311B9"/>
    <w:rsid w:val="00D33899"/>
    <w:rsid w:val="00D33F0A"/>
    <w:rsid w:val="00D35850"/>
    <w:rsid w:val="00D4024F"/>
    <w:rsid w:val="00D405FC"/>
    <w:rsid w:val="00D4096B"/>
    <w:rsid w:val="00D41606"/>
    <w:rsid w:val="00D44DB5"/>
    <w:rsid w:val="00D455F7"/>
    <w:rsid w:val="00D459E8"/>
    <w:rsid w:val="00D45DF9"/>
    <w:rsid w:val="00D4627F"/>
    <w:rsid w:val="00D47076"/>
    <w:rsid w:val="00D502AD"/>
    <w:rsid w:val="00D51726"/>
    <w:rsid w:val="00D5220D"/>
    <w:rsid w:val="00D5293C"/>
    <w:rsid w:val="00D54406"/>
    <w:rsid w:val="00D55255"/>
    <w:rsid w:val="00D55387"/>
    <w:rsid w:val="00D564A3"/>
    <w:rsid w:val="00D569CF"/>
    <w:rsid w:val="00D56BA5"/>
    <w:rsid w:val="00D6107B"/>
    <w:rsid w:val="00D6252A"/>
    <w:rsid w:val="00D63496"/>
    <w:rsid w:val="00D64536"/>
    <w:rsid w:val="00D652DD"/>
    <w:rsid w:val="00D65337"/>
    <w:rsid w:val="00D65A48"/>
    <w:rsid w:val="00D65AE3"/>
    <w:rsid w:val="00D703BD"/>
    <w:rsid w:val="00D71FB6"/>
    <w:rsid w:val="00D72920"/>
    <w:rsid w:val="00D80FFB"/>
    <w:rsid w:val="00D81051"/>
    <w:rsid w:val="00D812D0"/>
    <w:rsid w:val="00D819CD"/>
    <w:rsid w:val="00D81CB6"/>
    <w:rsid w:val="00D82FB8"/>
    <w:rsid w:val="00D847A9"/>
    <w:rsid w:val="00D84F63"/>
    <w:rsid w:val="00D878B9"/>
    <w:rsid w:val="00D902B2"/>
    <w:rsid w:val="00D9063D"/>
    <w:rsid w:val="00D91434"/>
    <w:rsid w:val="00D94D04"/>
    <w:rsid w:val="00D94DE6"/>
    <w:rsid w:val="00D95700"/>
    <w:rsid w:val="00D97B47"/>
    <w:rsid w:val="00DA1330"/>
    <w:rsid w:val="00DA183E"/>
    <w:rsid w:val="00DA20E7"/>
    <w:rsid w:val="00DA24E2"/>
    <w:rsid w:val="00DA3354"/>
    <w:rsid w:val="00DA4A57"/>
    <w:rsid w:val="00DA4FCF"/>
    <w:rsid w:val="00DA677E"/>
    <w:rsid w:val="00DB0FDE"/>
    <w:rsid w:val="00DB173B"/>
    <w:rsid w:val="00DB420C"/>
    <w:rsid w:val="00DB519E"/>
    <w:rsid w:val="00DB6167"/>
    <w:rsid w:val="00DB79E0"/>
    <w:rsid w:val="00DC0540"/>
    <w:rsid w:val="00DC0784"/>
    <w:rsid w:val="00DC0789"/>
    <w:rsid w:val="00DC0BE8"/>
    <w:rsid w:val="00DC1EF1"/>
    <w:rsid w:val="00DC66D0"/>
    <w:rsid w:val="00DD2E98"/>
    <w:rsid w:val="00DD4357"/>
    <w:rsid w:val="00DD6300"/>
    <w:rsid w:val="00DD63AA"/>
    <w:rsid w:val="00DE110B"/>
    <w:rsid w:val="00DE128A"/>
    <w:rsid w:val="00DE4A0A"/>
    <w:rsid w:val="00DE4EF7"/>
    <w:rsid w:val="00DE57BD"/>
    <w:rsid w:val="00DE6548"/>
    <w:rsid w:val="00DF0648"/>
    <w:rsid w:val="00DF20A5"/>
    <w:rsid w:val="00DF3652"/>
    <w:rsid w:val="00DF469E"/>
    <w:rsid w:val="00DF50F5"/>
    <w:rsid w:val="00DF6EDD"/>
    <w:rsid w:val="00E0054C"/>
    <w:rsid w:val="00E028A7"/>
    <w:rsid w:val="00E03DB6"/>
    <w:rsid w:val="00E04C5A"/>
    <w:rsid w:val="00E04E1E"/>
    <w:rsid w:val="00E057D5"/>
    <w:rsid w:val="00E0659C"/>
    <w:rsid w:val="00E06708"/>
    <w:rsid w:val="00E10706"/>
    <w:rsid w:val="00E113F0"/>
    <w:rsid w:val="00E11FBC"/>
    <w:rsid w:val="00E12252"/>
    <w:rsid w:val="00E126D1"/>
    <w:rsid w:val="00E12CF6"/>
    <w:rsid w:val="00E12EB7"/>
    <w:rsid w:val="00E13076"/>
    <w:rsid w:val="00E1796A"/>
    <w:rsid w:val="00E2007D"/>
    <w:rsid w:val="00E200A6"/>
    <w:rsid w:val="00E21C2A"/>
    <w:rsid w:val="00E22E15"/>
    <w:rsid w:val="00E244B3"/>
    <w:rsid w:val="00E25999"/>
    <w:rsid w:val="00E260FF"/>
    <w:rsid w:val="00E3139E"/>
    <w:rsid w:val="00E3179B"/>
    <w:rsid w:val="00E31EB3"/>
    <w:rsid w:val="00E31F3E"/>
    <w:rsid w:val="00E32CD7"/>
    <w:rsid w:val="00E34D1D"/>
    <w:rsid w:val="00E37C2E"/>
    <w:rsid w:val="00E40C87"/>
    <w:rsid w:val="00E4130E"/>
    <w:rsid w:val="00E4184B"/>
    <w:rsid w:val="00E41C7E"/>
    <w:rsid w:val="00E434B9"/>
    <w:rsid w:val="00E43782"/>
    <w:rsid w:val="00E43D40"/>
    <w:rsid w:val="00E44108"/>
    <w:rsid w:val="00E443D7"/>
    <w:rsid w:val="00E459AA"/>
    <w:rsid w:val="00E45CBA"/>
    <w:rsid w:val="00E462A3"/>
    <w:rsid w:val="00E4654D"/>
    <w:rsid w:val="00E46B52"/>
    <w:rsid w:val="00E46C0B"/>
    <w:rsid w:val="00E47688"/>
    <w:rsid w:val="00E479BF"/>
    <w:rsid w:val="00E47FE6"/>
    <w:rsid w:val="00E500CA"/>
    <w:rsid w:val="00E50AFA"/>
    <w:rsid w:val="00E51231"/>
    <w:rsid w:val="00E53028"/>
    <w:rsid w:val="00E536A3"/>
    <w:rsid w:val="00E540FA"/>
    <w:rsid w:val="00E56B9E"/>
    <w:rsid w:val="00E56D0F"/>
    <w:rsid w:val="00E571F2"/>
    <w:rsid w:val="00E608BB"/>
    <w:rsid w:val="00E60955"/>
    <w:rsid w:val="00E62CCA"/>
    <w:rsid w:val="00E655B5"/>
    <w:rsid w:val="00E66ECF"/>
    <w:rsid w:val="00E672C4"/>
    <w:rsid w:val="00E7271B"/>
    <w:rsid w:val="00E72D87"/>
    <w:rsid w:val="00E73A81"/>
    <w:rsid w:val="00E73F79"/>
    <w:rsid w:val="00E7498C"/>
    <w:rsid w:val="00E7564C"/>
    <w:rsid w:val="00E75757"/>
    <w:rsid w:val="00E75FCB"/>
    <w:rsid w:val="00E77C0A"/>
    <w:rsid w:val="00E818C4"/>
    <w:rsid w:val="00E8265F"/>
    <w:rsid w:val="00E866EB"/>
    <w:rsid w:val="00E86D80"/>
    <w:rsid w:val="00E87076"/>
    <w:rsid w:val="00E87B85"/>
    <w:rsid w:val="00E87BB2"/>
    <w:rsid w:val="00E90108"/>
    <w:rsid w:val="00E90A1B"/>
    <w:rsid w:val="00E91D74"/>
    <w:rsid w:val="00E931E0"/>
    <w:rsid w:val="00E943BD"/>
    <w:rsid w:val="00E963D8"/>
    <w:rsid w:val="00E9678D"/>
    <w:rsid w:val="00E96CF6"/>
    <w:rsid w:val="00EA1EF6"/>
    <w:rsid w:val="00EA63C7"/>
    <w:rsid w:val="00EA6D3E"/>
    <w:rsid w:val="00EB0E35"/>
    <w:rsid w:val="00EB3E5C"/>
    <w:rsid w:val="00EB5144"/>
    <w:rsid w:val="00EB531C"/>
    <w:rsid w:val="00EB58E7"/>
    <w:rsid w:val="00EB70FA"/>
    <w:rsid w:val="00EB77B8"/>
    <w:rsid w:val="00EB7EC5"/>
    <w:rsid w:val="00EC054D"/>
    <w:rsid w:val="00EC1500"/>
    <w:rsid w:val="00EC1EAF"/>
    <w:rsid w:val="00EC1F5D"/>
    <w:rsid w:val="00EC231F"/>
    <w:rsid w:val="00EC2A98"/>
    <w:rsid w:val="00EC532A"/>
    <w:rsid w:val="00EC5D47"/>
    <w:rsid w:val="00EC779F"/>
    <w:rsid w:val="00ED1B02"/>
    <w:rsid w:val="00ED3379"/>
    <w:rsid w:val="00ED3711"/>
    <w:rsid w:val="00ED5EC8"/>
    <w:rsid w:val="00ED6488"/>
    <w:rsid w:val="00EE222F"/>
    <w:rsid w:val="00EE31C9"/>
    <w:rsid w:val="00EE3D3B"/>
    <w:rsid w:val="00EE3F80"/>
    <w:rsid w:val="00EE5A14"/>
    <w:rsid w:val="00EF0668"/>
    <w:rsid w:val="00EF1F1F"/>
    <w:rsid w:val="00EF2CC4"/>
    <w:rsid w:val="00EF790E"/>
    <w:rsid w:val="00EF7E45"/>
    <w:rsid w:val="00EF7F4B"/>
    <w:rsid w:val="00F00071"/>
    <w:rsid w:val="00F01615"/>
    <w:rsid w:val="00F040FC"/>
    <w:rsid w:val="00F042F6"/>
    <w:rsid w:val="00F050CB"/>
    <w:rsid w:val="00F05CFB"/>
    <w:rsid w:val="00F10F1A"/>
    <w:rsid w:val="00F1190A"/>
    <w:rsid w:val="00F13D4D"/>
    <w:rsid w:val="00F14BD2"/>
    <w:rsid w:val="00F15779"/>
    <w:rsid w:val="00F15FFB"/>
    <w:rsid w:val="00F169FB"/>
    <w:rsid w:val="00F17A75"/>
    <w:rsid w:val="00F20042"/>
    <w:rsid w:val="00F225E4"/>
    <w:rsid w:val="00F2377E"/>
    <w:rsid w:val="00F26115"/>
    <w:rsid w:val="00F26632"/>
    <w:rsid w:val="00F26CDD"/>
    <w:rsid w:val="00F26DD0"/>
    <w:rsid w:val="00F302EA"/>
    <w:rsid w:val="00F311F2"/>
    <w:rsid w:val="00F3124D"/>
    <w:rsid w:val="00F33B49"/>
    <w:rsid w:val="00F33FB6"/>
    <w:rsid w:val="00F35FD1"/>
    <w:rsid w:val="00F36752"/>
    <w:rsid w:val="00F403B7"/>
    <w:rsid w:val="00F41276"/>
    <w:rsid w:val="00F41731"/>
    <w:rsid w:val="00F41D8B"/>
    <w:rsid w:val="00F42290"/>
    <w:rsid w:val="00F42B13"/>
    <w:rsid w:val="00F477F5"/>
    <w:rsid w:val="00F51911"/>
    <w:rsid w:val="00F531B1"/>
    <w:rsid w:val="00F534B8"/>
    <w:rsid w:val="00F543AB"/>
    <w:rsid w:val="00F54996"/>
    <w:rsid w:val="00F558BB"/>
    <w:rsid w:val="00F562BE"/>
    <w:rsid w:val="00F5701D"/>
    <w:rsid w:val="00F5714F"/>
    <w:rsid w:val="00F57686"/>
    <w:rsid w:val="00F57F0F"/>
    <w:rsid w:val="00F603D4"/>
    <w:rsid w:val="00F61BD9"/>
    <w:rsid w:val="00F61DFB"/>
    <w:rsid w:val="00F62A61"/>
    <w:rsid w:val="00F62BB6"/>
    <w:rsid w:val="00F6338F"/>
    <w:rsid w:val="00F6366D"/>
    <w:rsid w:val="00F65344"/>
    <w:rsid w:val="00F65656"/>
    <w:rsid w:val="00F65B86"/>
    <w:rsid w:val="00F6618A"/>
    <w:rsid w:val="00F66F79"/>
    <w:rsid w:val="00F674DB"/>
    <w:rsid w:val="00F72DD0"/>
    <w:rsid w:val="00F73496"/>
    <w:rsid w:val="00F7362C"/>
    <w:rsid w:val="00F7669E"/>
    <w:rsid w:val="00F76ED2"/>
    <w:rsid w:val="00F77F29"/>
    <w:rsid w:val="00F80C67"/>
    <w:rsid w:val="00F816F5"/>
    <w:rsid w:val="00F81C72"/>
    <w:rsid w:val="00F82723"/>
    <w:rsid w:val="00F829A2"/>
    <w:rsid w:val="00F82B3A"/>
    <w:rsid w:val="00F833D8"/>
    <w:rsid w:val="00F8529D"/>
    <w:rsid w:val="00F90994"/>
    <w:rsid w:val="00F93DE2"/>
    <w:rsid w:val="00F94D42"/>
    <w:rsid w:val="00F96627"/>
    <w:rsid w:val="00F97745"/>
    <w:rsid w:val="00FA1879"/>
    <w:rsid w:val="00FA4801"/>
    <w:rsid w:val="00FA6379"/>
    <w:rsid w:val="00FA673D"/>
    <w:rsid w:val="00FA6CE8"/>
    <w:rsid w:val="00FA72D8"/>
    <w:rsid w:val="00FB0A47"/>
    <w:rsid w:val="00FB23C9"/>
    <w:rsid w:val="00FB2DBE"/>
    <w:rsid w:val="00FB3B17"/>
    <w:rsid w:val="00FB3F9B"/>
    <w:rsid w:val="00FB52EE"/>
    <w:rsid w:val="00FB61C1"/>
    <w:rsid w:val="00FB6933"/>
    <w:rsid w:val="00FB6A57"/>
    <w:rsid w:val="00FB706C"/>
    <w:rsid w:val="00FC0CB8"/>
    <w:rsid w:val="00FC0DD6"/>
    <w:rsid w:val="00FC21FE"/>
    <w:rsid w:val="00FC22E5"/>
    <w:rsid w:val="00FC2EC6"/>
    <w:rsid w:val="00FC32FC"/>
    <w:rsid w:val="00FC39D2"/>
    <w:rsid w:val="00FC4776"/>
    <w:rsid w:val="00FC4799"/>
    <w:rsid w:val="00FC497E"/>
    <w:rsid w:val="00FC4BB7"/>
    <w:rsid w:val="00FD0EC7"/>
    <w:rsid w:val="00FD1349"/>
    <w:rsid w:val="00FD1591"/>
    <w:rsid w:val="00FD3752"/>
    <w:rsid w:val="00FD6DC2"/>
    <w:rsid w:val="00FD6E4A"/>
    <w:rsid w:val="00FD70A2"/>
    <w:rsid w:val="00FE3CAA"/>
    <w:rsid w:val="00FE3CCC"/>
    <w:rsid w:val="00FE4C65"/>
    <w:rsid w:val="00FE74F3"/>
    <w:rsid w:val="00FF0C0E"/>
    <w:rsid w:val="00FF1E9F"/>
    <w:rsid w:val="00FF1FE9"/>
    <w:rsid w:val="00FF2231"/>
    <w:rsid w:val="00FF48F0"/>
    <w:rsid w:val="00FF6D75"/>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0216B"/>
  <w15:chartTrackingRefBased/>
  <w15:docId w15:val="{37757C1C-5A4B-4A0E-8016-648F33A0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paragraph" w:styleId="Heading1">
    <w:name w:val="heading 1"/>
    <w:basedOn w:val="Normal"/>
    <w:next w:val="Normal"/>
    <w:link w:val="Heading1Char"/>
    <w:qFormat/>
    <w:rsid w:val="0060040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8C1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B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FEA"/>
    <w:rPr>
      <w:color w:val="0000FF"/>
      <w:u w:val="single"/>
    </w:rPr>
  </w:style>
  <w:style w:type="paragraph" w:styleId="NormalWeb">
    <w:name w:val="Normal (Web)"/>
    <w:basedOn w:val="Normal"/>
    <w:uiPriority w:val="99"/>
    <w:unhideWhenUsed/>
    <w:rsid w:val="006C2FEA"/>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cp">
    <w:name w:val="cp"/>
    <w:basedOn w:val="Normal"/>
    <w:uiPriority w:val="99"/>
    <w:semiHidden/>
    <w:rsid w:val="006C2FEA"/>
    <w:pPr>
      <w:spacing w:after="0" w:line="240" w:lineRule="auto"/>
      <w:jc w:val="center"/>
    </w:pPr>
    <w:rPr>
      <w:rFonts w:ascii="Times New Roman" w:eastAsiaTheme="minorEastAsia" w:hAnsi="Times New Roman" w:cs="Times New Roman"/>
      <w:b/>
      <w:bCs/>
      <w:sz w:val="24"/>
      <w:szCs w:val="24"/>
      <w:lang w:val="en-US"/>
    </w:rPr>
  </w:style>
  <w:style w:type="character" w:styleId="Strong">
    <w:name w:val="Strong"/>
    <w:basedOn w:val="DefaultParagraphFont"/>
    <w:uiPriority w:val="22"/>
    <w:qFormat/>
    <w:rsid w:val="00E7498C"/>
    <w:rPr>
      <w:b/>
      <w:bCs/>
    </w:rPr>
  </w:style>
  <w:style w:type="paragraph" w:styleId="FootnoteText">
    <w:name w:val="footnote text"/>
    <w:aliases w:val="Char, Char,Знак1, Знак1, Знак,Знак,single space,footnote text,FOOTNOTES,fn,Footnote Text Char1,Footnote Text Char2 Char,Footnote Text Char1 Char Char,Footnote Text Char2 Char Char Char,Footnote Text Char1 Char Char Char Char, Cha,ft,Cha,A"/>
    <w:basedOn w:val="Normal"/>
    <w:link w:val="FootnoteTextChar"/>
    <w:uiPriority w:val="99"/>
    <w:unhideWhenUsed/>
    <w:qFormat/>
    <w:rsid w:val="000823BD"/>
    <w:pPr>
      <w:spacing w:after="0" w:line="240" w:lineRule="auto"/>
    </w:pPr>
    <w:rPr>
      <w:sz w:val="20"/>
      <w:szCs w:val="20"/>
    </w:rPr>
  </w:style>
  <w:style w:type="character" w:customStyle="1" w:styleId="FootnoteTextChar">
    <w:name w:val="Footnote Text Char"/>
    <w:aliases w:val="Char Char, Char Char,Знак1 Char, Знак1 Char, Знак Char,Знак Char,single space Char,footnote text Char,FOOTNOTES Char,fn Char,Footnote Text Char1 Char,Footnote Text Char2 Char Char,Footnote Text Char1 Char Char Char, Cha Char,ft Char"/>
    <w:basedOn w:val="DefaultParagraphFont"/>
    <w:link w:val="FootnoteText"/>
    <w:uiPriority w:val="99"/>
    <w:rsid w:val="000823BD"/>
    <w:rPr>
      <w:sz w:val="20"/>
      <w:szCs w:val="20"/>
      <w:lang w:val="ro-MD"/>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r,Char Char1,Знак1 Char1"/>
    <w:basedOn w:val="DefaultParagraphFont"/>
    <w:link w:val="FNRefeCharChar"/>
    <w:uiPriority w:val="99"/>
    <w:unhideWhenUsed/>
    <w:qFormat/>
    <w:rsid w:val="000823BD"/>
    <w:rPr>
      <w:vertAlign w:val="superscript"/>
    </w:rPr>
  </w:style>
  <w:style w:type="character" w:customStyle="1" w:styleId="Heading1Char">
    <w:name w:val="Heading 1 Char"/>
    <w:basedOn w:val="DefaultParagraphFont"/>
    <w:link w:val="Heading1"/>
    <w:rsid w:val="00600405"/>
    <w:rPr>
      <w:rFonts w:asciiTheme="majorHAnsi" w:eastAsiaTheme="majorEastAsia" w:hAnsiTheme="majorHAnsi" w:cstheme="majorBidi"/>
      <w:color w:val="2E74B5" w:themeColor="accent1" w:themeShade="BF"/>
      <w:sz w:val="32"/>
      <w:szCs w:val="32"/>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00405"/>
    <w:pPr>
      <w:spacing w:line="240" w:lineRule="exact"/>
    </w:pPr>
    <w:rPr>
      <w:vertAlign w:val="superscript"/>
      <w:lang w:val="en-US"/>
    </w:rPr>
  </w:style>
  <w:style w:type="paragraph" w:customStyle="1" w:styleId="1">
    <w:name w:val="Стиль1"/>
    <w:basedOn w:val="NormalWeb"/>
    <w:link w:val="10"/>
    <w:autoRedefine/>
    <w:qFormat/>
    <w:rsid w:val="00600405"/>
    <w:pPr>
      <w:ind w:left="180" w:hanging="180"/>
    </w:pPr>
    <w:rPr>
      <w:rFonts w:asciiTheme="majorHAnsi" w:eastAsia="Times New Roman" w:hAnsiTheme="majorHAnsi" w:cstheme="majorHAnsi"/>
      <w:sz w:val="16"/>
      <w:szCs w:val="16"/>
    </w:rPr>
  </w:style>
  <w:style w:type="character" w:customStyle="1" w:styleId="10">
    <w:name w:val="Стиль1 Знак"/>
    <w:basedOn w:val="DefaultParagraphFont"/>
    <w:link w:val="1"/>
    <w:rsid w:val="00600405"/>
    <w:rPr>
      <w:rFonts w:asciiTheme="majorHAnsi" w:eastAsia="Times New Roman" w:hAnsiTheme="majorHAnsi" w:cstheme="majorHAnsi"/>
      <w:sz w:val="16"/>
      <w:szCs w:val="16"/>
    </w:rPr>
  </w:style>
  <w:style w:type="table" w:styleId="TableGrid">
    <w:name w:val="Table Grid"/>
    <w:basedOn w:val="TableNormal"/>
    <w:uiPriority w:val="59"/>
    <w:rsid w:val="0076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kethrough,List Paragraph 1,Scriptoria bullet points,standaard met opsomming,Абзац списка1"/>
    <w:basedOn w:val="Normal"/>
    <w:link w:val="ListParagraphChar"/>
    <w:uiPriority w:val="34"/>
    <w:qFormat/>
    <w:rsid w:val="0069132A"/>
    <w:pPr>
      <w:spacing w:after="0" w:line="240" w:lineRule="auto"/>
      <w:ind w:left="720"/>
      <w:contextualSpacing/>
    </w:pPr>
    <w:rPr>
      <w:rFonts w:ascii="Times New Roman" w:hAnsi="Times New Roman"/>
      <w:sz w:val="28"/>
      <w:lang w:val="ro-RO"/>
    </w:rPr>
  </w:style>
  <w:style w:type="character" w:customStyle="1" w:styleId="ListParagraphChar">
    <w:name w:val="List Paragraph Char"/>
    <w:aliases w:val="strikethrough Char,List Paragraph 1 Char,Scriptoria bullet points Char,standaard met opsomming Char,Абзац списка1 Char"/>
    <w:link w:val="ListParagraph"/>
    <w:uiPriority w:val="34"/>
    <w:locked/>
    <w:rsid w:val="0069132A"/>
    <w:rPr>
      <w:rFonts w:ascii="Times New Roman" w:hAnsi="Times New Roman"/>
      <w:sz w:val="28"/>
      <w:lang w:val="ro-RO"/>
    </w:rPr>
  </w:style>
  <w:style w:type="character" w:customStyle="1" w:styleId="Bodytext2">
    <w:name w:val="Body text (2)_"/>
    <w:basedOn w:val="DefaultParagraphFont"/>
    <w:rsid w:val="003E5D70"/>
    <w:rPr>
      <w:rFonts w:ascii="Times New Roman" w:eastAsia="Times New Roman" w:hAnsi="Times New Roman" w:cs="Times New Roman"/>
      <w:b w:val="0"/>
      <w:bCs w:val="0"/>
      <w:i w:val="0"/>
      <w:iCs w:val="0"/>
      <w:smallCaps w:val="0"/>
      <w:strike w:val="0"/>
      <w:sz w:val="28"/>
      <w:szCs w:val="28"/>
      <w:u w:val="none"/>
    </w:rPr>
  </w:style>
  <w:style w:type="character" w:customStyle="1" w:styleId="Bodytext2LucidaSansUnicode">
    <w:name w:val="Body text (2) + Lucida Sans Unicode"/>
    <w:aliases w:val="8 pt"/>
    <w:basedOn w:val="Bodytext2"/>
    <w:rsid w:val="003E5D70"/>
    <w:rPr>
      <w:rFonts w:ascii="Lucida Sans Unicode" w:eastAsia="Lucida Sans Unicode" w:hAnsi="Lucida Sans Unicode" w:cs="Lucida Sans Unicode"/>
      <w:b w:val="0"/>
      <w:bCs w:val="0"/>
      <w:i w:val="0"/>
      <w:iCs w:val="0"/>
      <w:smallCaps w:val="0"/>
      <w:strike w:val="0"/>
      <w:color w:val="808486"/>
      <w:spacing w:val="0"/>
      <w:w w:val="100"/>
      <w:position w:val="0"/>
      <w:sz w:val="16"/>
      <w:szCs w:val="16"/>
      <w:u w:val="none"/>
      <w:lang w:val="ro-RO" w:eastAsia="ro-RO" w:bidi="ro-RO"/>
    </w:rPr>
  </w:style>
  <w:style w:type="character" w:customStyle="1" w:styleId="Bodytext20">
    <w:name w:val="Body text (2)"/>
    <w:basedOn w:val="Bodytext2"/>
    <w:rsid w:val="003E5D70"/>
    <w:rPr>
      <w:rFonts w:ascii="Times New Roman" w:eastAsia="Times New Roman" w:hAnsi="Times New Roman" w:cs="Times New Roman"/>
      <w:b w:val="0"/>
      <w:bCs w:val="0"/>
      <w:i w:val="0"/>
      <w:iCs w:val="0"/>
      <w:smallCaps w:val="0"/>
      <w:strike w:val="0"/>
      <w:color w:val="636567"/>
      <w:spacing w:val="0"/>
      <w:w w:val="100"/>
      <w:position w:val="0"/>
      <w:sz w:val="28"/>
      <w:szCs w:val="28"/>
      <w:u w:val="none"/>
      <w:lang w:val="ro-RO" w:eastAsia="ro-RO" w:bidi="ro-RO"/>
    </w:rPr>
  </w:style>
  <w:style w:type="character" w:customStyle="1" w:styleId="Bodytext2Italic">
    <w:name w:val="Body text (2) + Italic"/>
    <w:basedOn w:val="Bodytext2"/>
    <w:rsid w:val="003E5D70"/>
    <w:rPr>
      <w:rFonts w:ascii="Times New Roman" w:eastAsia="Times New Roman" w:hAnsi="Times New Roman" w:cs="Times New Roman"/>
      <w:b w:val="0"/>
      <w:bCs w:val="0"/>
      <w:i/>
      <w:iCs/>
      <w:smallCaps w:val="0"/>
      <w:strike w:val="0"/>
      <w:color w:val="464949"/>
      <w:spacing w:val="0"/>
      <w:w w:val="100"/>
      <w:position w:val="0"/>
      <w:sz w:val="28"/>
      <w:szCs w:val="28"/>
      <w:u w:val="none"/>
      <w:lang w:val="ro-RO" w:eastAsia="ro-RO" w:bidi="ro-RO"/>
    </w:rPr>
  </w:style>
  <w:style w:type="character" w:styleId="Emphasis">
    <w:name w:val="Emphasis"/>
    <w:basedOn w:val="DefaultParagraphFont"/>
    <w:uiPriority w:val="20"/>
    <w:qFormat/>
    <w:rsid w:val="005C19DE"/>
    <w:rPr>
      <w:i/>
      <w:iCs/>
    </w:rPr>
  </w:style>
  <w:style w:type="paragraph" w:customStyle="1" w:styleId="Normal1">
    <w:name w:val="Normal1"/>
    <w:basedOn w:val="Normal"/>
    <w:rsid w:val="00EB77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EB77B8"/>
  </w:style>
  <w:style w:type="character" w:styleId="FollowedHyperlink">
    <w:name w:val="FollowedHyperlink"/>
    <w:basedOn w:val="DefaultParagraphFont"/>
    <w:uiPriority w:val="99"/>
    <w:semiHidden/>
    <w:unhideWhenUsed/>
    <w:rsid w:val="006D3ABC"/>
    <w:rPr>
      <w:color w:val="800080"/>
      <w:u w:val="single"/>
    </w:rPr>
  </w:style>
  <w:style w:type="numbering" w:customStyle="1" w:styleId="Style1">
    <w:name w:val="Style1"/>
    <w:uiPriority w:val="99"/>
    <w:rsid w:val="00527D11"/>
    <w:pPr>
      <w:numPr>
        <w:numId w:val="12"/>
      </w:numPr>
    </w:pPr>
  </w:style>
  <w:style w:type="numbering" w:customStyle="1" w:styleId="Style2">
    <w:name w:val="Style2"/>
    <w:uiPriority w:val="99"/>
    <w:rsid w:val="00527D11"/>
    <w:pPr>
      <w:numPr>
        <w:numId w:val="13"/>
      </w:numPr>
    </w:pPr>
  </w:style>
  <w:style w:type="character" w:customStyle="1" w:styleId="Bodytext4">
    <w:name w:val="Body text (4)_"/>
    <w:basedOn w:val="DefaultParagraphFont"/>
    <w:rsid w:val="00B13092"/>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sid w:val="00B13092"/>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40">
    <w:name w:val="Body text (4)"/>
    <w:basedOn w:val="Bodytext4"/>
    <w:rsid w:val="00B13092"/>
    <w:rPr>
      <w:rFonts w:ascii="Times New Roman" w:eastAsia="Times New Roman" w:hAnsi="Times New Roman" w:cs="Times New Roman"/>
      <w:b w:val="0"/>
      <w:bCs w:val="0"/>
      <w:i/>
      <w:iCs/>
      <w:smallCaps w:val="0"/>
      <w:strike w:val="0"/>
      <w:color w:val="B1B1B1"/>
      <w:spacing w:val="0"/>
      <w:w w:val="100"/>
      <w:position w:val="0"/>
      <w:sz w:val="24"/>
      <w:szCs w:val="24"/>
      <w:u w:val="none"/>
      <w:lang w:val="ro-RO" w:eastAsia="ro-RO" w:bidi="ro-RO"/>
    </w:rPr>
  </w:style>
  <w:style w:type="character" w:customStyle="1" w:styleId="LegturInternet">
    <w:name w:val="Legătură Internet"/>
    <w:basedOn w:val="DefaultParagraphFont"/>
    <w:rsid w:val="007F62E4"/>
    <w:rPr>
      <w:color w:val="0563C1"/>
      <w:u w:val="single"/>
    </w:rPr>
  </w:style>
  <w:style w:type="character" w:customStyle="1" w:styleId="Bodytext3">
    <w:name w:val="Body text (3)_"/>
    <w:basedOn w:val="DefaultParagraphFont"/>
    <w:link w:val="Bodytext30"/>
    <w:rsid w:val="005B5BEA"/>
    <w:rPr>
      <w:rFonts w:ascii="Times New Roman" w:eastAsia="Times New Roman" w:hAnsi="Times New Roman" w:cs="Times New Roman"/>
      <w:b/>
      <w:bCs/>
      <w:sz w:val="28"/>
      <w:szCs w:val="28"/>
      <w:shd w:val="clear" w:color="auto" w:fill="FFFFFF"/>
    </w:rPr>
  </w:style>
  <w:style w:type="paragraph" w:customStyle="1" w:styleId="Bodytext30">
    <w:name w:val="Body text (3)"/>
    <w:basedOn w:val="Normal"/>
    <w:link w:val="Bodytext3"/>
    <w:rsid w:val="005B5BEA"/>
    <w:pPr>
      <w:widowControl w:val="0"/>
      <w:shd w:val="clear" w:color="auto" w:fill="FFFFFF"/>
      <w:spacing w:after="60" w:line="310" w:lineRule="exact"/>
    </w:pPr>
    <w:rPr>
      <w:rFonts w:ascii="Times New Roman" w:eastAsia="Times New Roman" w:hAnsi="Times New Roman" w:cs="Times New Roman"/>
      <w:b/>
      <w:bCs/>
      <w:sz w:val="28"/>
      <w:szCs w:val="28"/>
      <w:lang w:val="en-US"/>
    </w:rPr>
  </w:style>
  <w:style w:type="paragraph" w:customStyle="1" w:styleId="cb">
    <w:name w:val="cb"/>
    <w:basedOn w:val="Normal"/>
    <w:uiPriority w:val="99"/>
    <w:semiHidden/>
    <w:rsid w:val="00C72D9E"/>
    <w:pPr>
      <w:spacing w:after="0" w:line="240" w:lineRule="auto"/>
      <w:jc w:val="center"/>
    </w:pPr>
    <w:rPr>
      <w:rFonts w:ascii="Times New Roman" w:eastAsiaTheme="minorEastAsia" w:hAnsi="Times New Roman" w:cs="Times New Roman"/>
      <w:b/>
      <w:bCs/>
      <w:sz w:val="24"/>
      <w:szCs w:val="24"/>
      <w:lang w:val="en-US"/>
    </w:rPr>
  </w:style>
  <w:style w:type="paragraph" w:customStyle="1" w:styleId="tt">
    <w:name w:val="tt"/>
    <w:basedOn w:val="Normal"/>
    <w:rsid w:val="00D14D32"/>
    <w:pPr>
      <w:spacing w:after="0" w:line="240" w:lineRule="auto"/>
      <w:jc w:val="center"/>
    </w:pPr>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2D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1F"/>
    <w:rPr>
      <w:rFonts w:ascii="Segoe UI" w:hAnsi="Segoe UI" w:cs="Segoe UI"/>
      <w:sz w:val="18"/>
      <w:szCs w:val="18"/>
      <w:lang w:val="ro-MD"/>
    </w:rPr>
  </w:style>
  <w:style w:type="character" w:customStyle="1" w:styleId="Heading2Char">
    <w:name w:val="Heading 2 Char"/>
    <w:basedOn w:val="DefaultParagraphFont"/>
    <w:link w:val="Heading2"/>
    <w:uiPriority w:val="9"/>
    <w:rsid w:val="008C1845"/>
    <w:rPr>
      <w:rFonts w:asciiTheme="majorHAnsi" w:eastAsiaTheme="majorEastAsia" w:hAnsiTheme="majorHAnsi" w:cstheme="majorBidi"/>
      <w:color w:val="2E74B5" w:themeColor="accent1" w:themeShade="BF"/>
      <w:sz w:val="26"/>
      <w:szCs w:val="26"/>
      <w:lang w:val="ro-MD"/>
    </w:rPr>
  </w:style>
  <w:style w:type="character" w:customStyle="1" w:styleId="Heading3Char">
    <w:name w:val="Heading 3 Char"/>
    <w:basedOn w:val="DefaultParagraphFont"/>
    <w:link w:val="Heading3"/>
    <w:uiPriority w:val="9"/>
    <w:rsid w:val="00724B8E"/>
    <w:rPr>
      <w:rFonts w:asciiTheme="majorHAnsi" w:eastAsiaTheme="majorEastAsia" w:hAnsiTheme="majorHAnsi" w:cstheme="majorBidi"/>
      <w:color w:val="1F4D78" w:themeColor="accent1" w:themeShade="7F"/>
      <w:sz w:val="24"/>
      <w:szCs w:val="24"/>
      <w:lang w:val="ro-MD"/>
    </w:rPr>
  </w:style>
  <w:style w:type="paragraph" w:styleId="TOCHeading">
    <w:name w:val="TOC Heading"/>
    <w:basedOn w:val="Heading1"/>
    <w:next w:val="Normal"/>
    <w:uiPriority w:val="39"/>
    <w:unhideWhenUsed/>
    <w:qFormat/>
    <w:rsid w:val="00683A84"/>
    <w:pPr>
      <w:outlineLvl w:val="9"/>
    </w:pPr>
  </w:style>
  <w:style w:type="paragraph" w:styleId="TOC2">
    <w:name w:val="toc 2"/>
    <w:basedOn w:val="Normal"/>
    <w:next w:val="Normal"/>
    <w:autoRedefine/>
    <w:uiPriority w:val="39"/>
    <w:unhideWhenUsed/>
    <w:rsid w:val="00C5696D"/>
    <w:pPr>
      <w:tabs>
        <w:tab w:val="right" w:leader="dot" w:pos="9350"/>
      </w:tabs>
      <w:spacing w:after="100"/>
      <w:ind w:left="180"/>
      <w:jc w:val="both"/>
    </w:pPr>
    <w:rPr>
      <w:rFonts w:eastAsia="Times New Roman" w:cs="Times New Roman"/>
      <w:b/>
      <w:noProof/>
      <w:color w:val="2E74B5" w:themeColor="accent1" w:themeShade="BF"/>
      <w:lang w:val="en-US"/>
    </w:rPr>
  </w:style>
  <w:style w:type="paragraph" w:styleId="TOC1">
    <w:name w:val="toc 1"/>
    <w:basedOn w:val="Normal"/>
    <w:next w:val="Normal"/>
    <w:autoRedefine/>
    <w:uiPriority w:val="39"/>
    <w:unhideWhenUsed/>
    <w:rsid w:val="00E04E1E"/>
    <w:pPr>
      <w:tabs>
        <w:tab w:val="left" w:pos="180"/>
        <w:tab w:val="left" w:pos="270"/>
        <w:tab w:val="right" w:leader="dot" w:pos="9350"/>
      </w:tabs>
      <w:spacing w:after="100"/>
      <w:jc w:val="both"/>
    </w:pPr>
    <w:rPr>
      <w:rFonts w:cstheme="majorHAnsi"/>
      <w:b/>
      <w:noProof/>
    </w:rPr>
  </w:style>
  <w:style w:type="paragraph" w:styleId="TOC3">
    <w:name w:val="toc 3"/>
    <w:basedOn w:val="Normal"/>
    <w:next w:val="Normal"/>
    <w:autoRedefine/>
    <w:uiPriority w:val="39"/>
    <w:unhideWhenUsed/>
    <w:rsid w:val="00E04E1E"/>
    <w:pPr>
      <w:tabs>
        <w:tab w:val="left" w:pos="990"/>
        <w:tab w:val="left" w:pos="1320"/>
        <w:tab w:val="right" w:leader="dot" w:pos="9350"/>
      </w:tabs>
      <w:spacing w:after="100"/>
      <w:ind w:left="440"/>
      <w:jc w:val="both"/>
    </w:pPr>
    <w:rPr>
      <w:rFonts w:eastAsia="Times New Roman" w:cstheme="majorHAnsi"/>
      <w:b/>
      <w:noProof/>
      <w:color w:val="2E74B5" w:themeColor="accent1" w:themeShade="BF"/>
      <w:lang w:val="en-US"/>
    </w:rPr>
  </w:style>
  <w:style w:type="paragraph" w:styleId="Header">
    <w:name w:val="header"/>
    <w:basedOn w:val="Normal"/>
    <w:link w:val="HeaderChar"/>
    <w:uiPriority w:val="99"/>
    <w:unhideWhenUsed/>
    <w:rsid w:val="00692003"/>
    <w:pPr>
      <w:tabs>
        <w:tab w:val="center" w:pos="4844"/>
        <w:tab w:val="right" w:pos="9689"/>
      </w:tabs>
      <w:spacing w:after="0" w:line="240" w:lineRule="auto"/>
    </w:pPr>
  </w:style>
  <w:style w:type="character" w:customStyle="1" w:styleId="HeaderChar">
    <w:name w:val="Header Char"/>
    <w:basedOn w:val="DefaultParagraphFont"/>
    <w:link w:val="Header"/>
    <w:uiPriority w:val="99"/>
    <w:rsid w:val="00692003"/>
    <w:rPr>
      <w:lang w:val="ro-MD"/>
    </w:rPr>
  </w:style>
  <w:style w:type="paragraph" w:styleId="Footer">
    <w:name w:val="footer"/>
    <w:basedOn w:val="Normal"/>
    <w:link w:val="FooterChar"/>
    <w:uiPriority w:val="99"/>
    <w:unhideWhenUsed/>
    <w:rsid w:val="00692003"/>
    <w:pPr>
      <w:tabs>
        <w:tab w:val="center" w:pos="4844"/>
        <w:tab w:val="right" w:pos="9689"/>
      </w:tabs>
      <w:spacing w:after="0" w:line="240" w:lineRule="auto"/>
    </w:pPr>
  </w:style>
  <w:style w:type="character" w:customStyle="1" w:styleId="FooterChar">
    <w:name w:val="Footer Char"/>
    <w:basedOn w:val="DefaultParagraphFont"/>
    <w:link w:val="Footer"/>
    <w:uiPriority w:val="99"/>
    <w:rsid w:val="00692003"/>
    <w:rPr>
      <w:lang w:val="ro-MD"/>
    </w:rPr>
  </w:style>
  <w:style w:type="character" w:customStyle="1" w:styleId="fc1654585163170-0">
    <w:name w:val="fc1654585163170-0"/>
    <w:basedOn w:val="DefaultParagraphFont"/>
    <w:rsid w:val="00BE6480"/>
  </w:style>
  <w:style w:type="table" w:styleId="PlainTable5">
    <w:name w:val="Plain Table 5"/>
    <w:basedOn w:val="TableNormal"/>
    <w:uiPriority w:val="45"/>
    <w:rsid w:val="008165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F76B2"/>
    <w:rPr>
      <w:sz w:val="16"/>
      <w:szCs w:val="16"/>
    </w:rPr>
  </w:style>
  <w:style w:type="paragraph" w:styleId="CommentText">
    <w:name w:val="annotation text"/>
    <w:basedOn w:val="Normal"/>
    <w:link w:val="CommentTextChar"/>
    <w:uiPriority w:val="99"/>
    <w:semiHidden/>
    <w:unhideWhenUsed/>
    <w:rsid w:val="00BF76B2"/>
    <w:pPr>
      <w:spacing w:line="240" w:lineRule="auto"/>
    </w:pPr>
    <w:rPr>
      <w:sz w:val="20"/>
      <w:szCs w:val="20"/>
    </w:rPr>
  </w:style>
  <w:style w:type="character" w:customStyle="1" w:styleId="CommentTextChar">
    <w:name w:val="Comment Text Char"/>
    <w:basedOn w:val="DefaultParagraphFont"/>
    <w:link w:val="CommentText"/>
    <w:uiPriority w:val="99"/>
    <w:semiHidden/>
    <w:rsid w:val="00BF76B2"/>
    <w:rPr>
      <w:sz w:val="20"/>
      <w:szCs w:val="20"/>
      <w:lang w:val="ro-MD"/>
    </w:rPr>
  </w:style>
  <w:style w:type="paragraph" w:styleId="CommentSubject">
    <w:name w:val="annotation subject"/>
    <w:basedOn w:val="CommentText"/>
    <w:next w:val="CommentText"/>
    <w:link w:val="CommentSubjectChar"/>
    <w:uiPriority w:val="99"/>
    <w:semiHidden/>
    <w:unhideWhenUsed/>
    <w:rsid w:val="00BF76B2"/>
    <w:rPr>
      <w:b/>
      <w:bCs/>
    </w:rPr>
  </w:style>
  <w:style w:type="character" w:customStyle="1" w:styleId="CommentSubjectChar">
    <w:name w:val="Comment Subject Char"/>
    <w:basedOn w:val="CommentTextChar"/>
    <w:link w:val="CommentSubject"/>
    <w:uiPriority w:val="99"/>
    <w:semiHidden/>
    <w:rsid w:val="00BF76B2"/>
    <w:rPr>
      <w:b/>
      <w:bCs/>
      <w:sz w:val="20"/>
      <w:szCs w:val="20"/>
      <w:lang w:val="ro-MD"/>
    </w:rPr>
  </w:style>
  <w:style w:type="paragraph" w:styleId="Revision">
    <w:name w:val="Revision"/>
    <w:hidden/>
    <w:uiPriority w:val="99"/>
    <w:semiHidden/>
    <w:rsid w:val="00E04E1E"/>
    <w:pPr>
      <w:spacing w:after="0" w:line="240" w:lineRule="auto"/>
    </w:pPr>
    <w:rPr>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136">
      <w:bodyDiv w:val="1"/>
      <w:marLeft w:val="0"/>
      <w:marRight w:val="0"/>
      <w:marTop w:val="0"/>
      <w:marBottom w:val="0"/>
      <w:divBdr>
        <w:top w:val="none" w:sz="0" w:space="0" w:color="auto"/>
        <w:left w:val="none" w:sz="0" w:space="0" w:color="auto"/>
        <w:bottom w:val="none" w:sz="0" w:space="0" w:color="auto"/>
        <w:right w:val="none" w:sz="0" w:space="0" w:color="auto"/>
      </w:divBdr>
    </w:div>
    <w:div w:id="383137354">
      <w:bodyDiv w:val="1"/>
      <w:marLeft w:val="0"/>
      <w:marRight w:val="0"/>
      <w:marTop w:val="0"/>
      <w:marBottom w:val="0"/>
      <w:divBdr>
        <w:top w:val="none" w:sz="0" w:space="0" w:color="auto"/>
        <w:left w:val="none" w:sz="0" w:space="0" w:color="auto"/>
        <w:bottom w:val="none" w:sz="0" w:space="0" w:color="auto"/>
        <w:right w:val="none" w:sz="0" w:space="0" w:color="auto"/>
      </w:divBdr>
    </w:div>
    <w:div w:id="492376475">
      <w:bodyDiv w:val="1"/>
      <w:marLeft w:val="0"/>
      <w:marRight w:val="0"/>
      <w:marTop w:val="0"/>
      <w:marBottom w:val="0"/>
      <w:divBdr>
        <w:top w:val="none" w:sz="0" w:space="0" w:color="auto"/>
        <w:left w:val="none" w:sz="0" w:space="0" w:color="auto"/>
        <w:bottom w:val="none" w:sz="0" w:space="0" w:color="auto"/>
        <w:right w:val="none" w:sz="0" w:space="0" w:color="auto"/>
      </w:divBdr>
    </w:div>
    <w:div w:id="573783355">
      <w:bodyDiv w:val="1"/>
      <w:marLeft w:val="0"/>
      <w:marRight w:val="0"/>
      <w:marTop w:val="0"/>
      <w:marBottom w:val="0"/>
      <w:divBdr>
        <w:top w:val="none" w:sz="0" w:space="0" w:color="auto"/>
        <w:left w:val="none" w:sz="0" w:space="0" w:color="auto"/>
        <w:bottom w:val="none" w:sz="0" w:space="0" w:color="auto"/>
        <w:right w:val="none" w:sz="0" w:space="0" w:color="auto"/>
      </w:divBdr>
    </w:div>
    <w:div w:id="747651309">
      <w:bodyDiv w:val="1"/>
      <w:marLeft w:val="0"/>
      <w:marRight w:val="0"/>
      <w:marTop w:val="0"/>
      <w:marBottom w:val="0"/>
      <w:divBdr>
        <w:top w:val="none" w:sz="0" w:space="0" w:color="auto"/>
        <w:left w:val="none" w:sz="0" w:space="0" w:color="auto"/>
        <w:bottom w:val="none" w:sz="0" w:space="0" w:color="auto"/>
        <w:right w:val="none" w:sz="0" w:space="0" w:color="auto"/>
      </w:divBdr>
    </w:div>
    <w:div w:id="807363226">
      <w:bodyDiv w:val="1"/>
      <w:marLeft w:val="0"/>
      <w:marRight w:val="0"/>
      <w:marTop w:val="0"/>
      <w:marBottom w:val="0"/>
      <w:divBdr>
        <w:top w:val="none" w:sz="0" w:space="0" w:color="auto"/>
        <w:left w:val="none" w:sz="0" w:space="0" w:color="auto"/>
        <w:bottom w:val="none" w:sz="0" w:space="0" w:color="auto"/>
        <w:right w:val="none" w:sz="0" w:space="0" w:color="auto"/>
      </w:divBdr>
    </w:div>
    <w:div w:id="809246207">
      <w:bodyDiv w:val="1"/>
      <w:marLeft w:val="0"/>
      <w:marRight w:val="0"/>
      <w:marTop w:val="0"/>
      <w:marBottom w:val="0"/>
      <w:divBdr>
        <w:top w:val="none" w:sz="0" w:space="0" w:color="auto"/>
        <w:left w:val="none" w:sz="0" w:space="0" w:color="auto"/>
        <w:bottom w:val="none" w:sz="0" w:space="0" w:color="auto"/>
        <w:right w:val="none" w:sz="0" w:space="0" w:color="auto"/>
      </w:divBdr>
    </w:div>
    <w:div w:id="1217397614">
      <w:bodyDiv w:val="1"/>
      <w:marLeft w:val="0"/>
      <w:marRight w:val="0"/>
      <w:marTop w:val="0"/>
      <w:marBottom w:val="0"/>
      <w:divBdr>
        <w:top w:val="none" w:sz="0" w:space="0" w:color="auto"/>
        <w:left w:val="none" w:sz="0" w:space="0" w:color="auto"/>
        <w:bottom w:val="none" w:sz="0" w:space="0" w:color="auto"/>
        <w:right w:val="none" w:sz="0" w:space="0" w:color="auto"/>
      </w:divBdr>
    </w:div>
    <w:div w:id="1453740998">
      <w:bodyDiv w:val="1"/>
      <w:marLeft w:val="0"/>
      <w:marRight w:val="0"/>
      <w:marTop w:val="0"/>
      <w:marBottom w:val="0"/>
      <w:divBdr>
        <w:top w:val="none" w:sz="0" w:space="0" w:color="auto"/>
        <w:left w:val="none" w:sz="0" w:space="0" w:color="auto"/>
        <w:bottom w:val="none" w:sz="0" w:space="0" w:color="auto"/>
        <w:right w:val="none" w:sz="0" w:space="0" w:color="auto"/>
      </w:divBdr>
    </w:div>
    <w:div w:id="1552035569">
      <w:bodyDiv w:val="1"/>
      <w:marLeft w:val="0"/>
      <w:marRight w:val="0"/>
      <w:marTop w:val="0"/>
      <w:marBottom w:val="0"/>
      <w:divBdr>
        <w:top w:val="none" w:sz="0" w:space="0" w:color="auto"/>
        <w:left w:val="none" w:sz="0" w:space="0" w:color="auto"/>
        <w:bottom w:val="none" w:sz="0" w:space="0" w:color="auto"/>
        <w:right w:val="none" w:sz="0" w:space="0" w:color="auto"/>
      </w:divBdr>
    </w:div>
    <w:div w:id="1916668573">
      <w:bodyDiv w:val="1"/>
      <w:marLeft w:val="0"/>
      <w:marRight w:val="0"/>
      <w:marTop w:val="0"/>
      <w:marBottom w:val="0"/>
      <w:divBdr>
        <w:top w:val="none" w:sz="0" w:space="0" w:color="auto"/>
        <w:left w:val="none" w:sz="0" w:space="0" w:color="auto"/>
        <w:bottom w:val="none" w:sz="0" w:space="0" w:color="auto"/>
        <w:right w:val="none" w:sz="0" w:space="0" w:color="auto"/>
      </w:divBdr>
    </w:div>
    <w:div w:id="1924947660">
      <w:bodyDiv w:val="1"/>
      <w:marLeft w:val="0"/>
      <w:marRight w:val="0"/>
      <w:marTop w:val="0"/>
      <w:marBottom w:val="0"/>
      <w:divBdr>
        <w:top w:val="none" w:sz="0" w:space="0" w:color="auto"/>
        <w:left w:val="none" w:sz="0" w:space="0" w:color="auto"/>
        <w:bottom w:val="none" w:sz="0" w:space="0" w:color="auto"/>
        <w:right w:val="none" w:sz="0" w:space="0" w:color="auto"/>
      </w:divBdr>
    </w:div>
    <w:div w:id="1980114818">
      <w:bodyDiv w:val="1"/>
      <w:marLeft w:val="0"/>
      <w:marRight w:val="0"/>
      <w:marTop w:val="0"/>
      <w:marBottom w:val="0"/>
      <w:divBdr>
        <w:top w:val="none" w:sz="0" w:space="0" w:color="auto"/>
        <w:left w:val="none" w:sz="0" w:space="0" w:color="auto"/>
        <w:bottom w:val="none" w:sz="0" w:space="0" w:color="auto"/>
        <w:right w:val="none" w:sz="0" w:space="0" w:color="auto"/>
      </w:divBdr>
    </w:div>
    <w:div w:id="2081293382">
      <w:bodyDiv w:val="1"/>
      <w:marLeft w:val="0"/>
      <w:marRight w:val="0"/>
      <w:marTop w:val="0"/>
      <w:marBottom w:val="0"/>
      <w:divBdr>
        <w:top w:val="none" w:sz="0" w:space="0" w:color="auto"/>
        <w:left w:val="none" w:sz="0" w:space="0" w:color="auto"/>
        <w:bottom w:val="none" w:sz="0" w:space="0" w:color="auto"/>
        <w:right w:val="none" w:sz="0" w:space="0" w:color="auto"/>
      </w:divBdr>
    </w:div>
    <w:div w:id="21311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ccrm@ccrm.m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lex:LPLP19970424116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a_certan\Desktop\SFS_2021\facilitati%20fiscale\Registru%20NUMARUL%20facilitatilor\REGISTRU%20facilit&#259;&#539;ilor%20MF%2020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a_certan\Desktop\SFS_2021\facilitati%20fiscale\diagrame%20facilitati.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d:\a_certan\Desktop\SFS_2021\facilitati%20fiscale\Registru%20NUMARUL%20facilitatilor\numar_diagrame%20facilitati%20SF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lumMod val="65000"/>
                    <a:lumOff val="35000"/>
                  </a:sysClr>
                </a:solidFill>
                <a:latin typeface="+mn-lt"/>
                <a:ea typeface="+mn-ea"/>
                <a:cs typeface="+mn-cs"/>
              </a:defRPr>
            </a:pPr>
            <a:r>
              <a:rPr lang="ro-MD" sz="1100" b="1" i="0" cap="all" baseline="0">
                <a:effectLst/>
              </a:rPr>
              <a:t>numărul facilităților fiscale, pe tipuri de impozite și taxe,</a:t>
            </a:r>
            <a:r>
              <a:rPr lang="ro-MD" sz="1100" b="1" i="0" u="none" strike="noStrike" kern="1200" cap="all" baseline="0">
                <a:solidFill>
                  <a:sysClr val="windowText" lastClr="000000">
                    <a:lumMod val="65000"/>
                    <a:lumOff val="35000"/>
                  </a:sysClr>
                </a:solidFill>
                <a:effectLst/>
                <a:latin typeface="+mn-lt"/>
                <a:ea typeface="+mn-ea"/>
                <a:cs typeface="+mn-cs"/>
              </a:rPr>
              <a:t>     </a:t>
            </a:r>
            <a:r>
              <a:rPr lang="en-US" sz="1100" b="1" i="0" u="none" strike="noStrike" kern="1200" cap="all" baseline="0">
                <a:solidFill>
                  <a:sysClr val="windowText" lastClr="000000">
                    <a:lumMod val="65000"/>
                    <a:lumOff val="35000"/>
                  </a:sysClr>
                </a:solidFill>
                <a:effectLst/>
                <a:latin typeface="+mn-lt"/>
                <a:ea typeface="+mn-ea"/>
                <a:cs typeface="+mn-cs"/>
              </a:rPr>
              <a:t>  </a:t>
            </a:r>
            <a:r>
              <a:rPr lang="ro-MD" sz="1100" b="1" i="0" u="none" strike="noStrike" kern="1200" cap="all" baseline="0">
                <a:solidFill>
                  <a:sysClr val="windowText" lastClr="000000">
                    <a:lumMod val="65000"/>
                    <a:lumOff val="35000"/>
                  </a:sysClr>
                </a:solidFill>
                <a:effectLst/>
                <a:latin typeface="+mn-lt"/>
                <a:ea typeface="+mn-ea"/>
                <a:cs typeface="+mn-cs"/>
              </a:rPr>
              <a:t> </a:t>
            </a:r>
            <a:r>
              <a:rPr lang="ro-MD" sz="1100" b="1" i="0" cap="all" baseline="0">
                <a:effectLst/>
              </a:rPr>
              <a:t>Total 384</a:t>
            </a:r>
            <a:r>
              <a:rPr lang="ro-MD" sz="1100" b="1" i="0" u="none" strike="noStrike" kern="1200" cap="all" baseline="0">
                <a:solidFill>
                  <a:sysClr val="windowText" lastClr="000000">
                    <a:lumMod val="65000"/>
                    <a:lumOff val="35000"/>
                  </a:sysClr>
                </a:solidFill>
                <a:effectLst/>
                <a:latin typeface="+mn-lt"/>
                <a:ea typeface="+mn-ea"/>
                <a:cs typeface="+mn-cs"/>
              </a:rPr>
              <a:t> </a:t>
            </a:r>
            <a:endParaRPr lang="en-US"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endParaRPr lang="en-US" sz="1100"/>
          </a:p>
        </c:rich>
      </c:tx>
      <c:layout>
        <c:manualLayout>
          <c:xMode val="edge"/>
          <c:yMode val="edge"/>
          <c:x val="0.25447903715982872"/>
          <c:y val="2.2285896211397645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3.0433305211848522E-2"/>
          <c:y val="0.12161063200433279"/>
          <c:w val="0.95175438596491224"/>
          <c:h val="0.39273038577914149"/>
        </c:manualLayout>
      </c:layout>
      <c:barChart>
        <c:barDir val="col"/>
        <c:grouping val="clustered"/>
        <c:varyColors val="0"/>
        <c:ser>
          <c:idx val="0"/>
          <c:order val="0"/>
          <c:tx>
            <c:v>Nr. total de facilități de stat</c:v>
          </c:tx>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w="19050"/>
              <a:bevelB w="635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'Totalizator (3)'!$A$3:$A$14</c:f>
              <c:strCache>
                <c:ptCount val="12"/>
                <c:pt idx="0">
                  <c:v>Impozit pe venit</c:v>
                </c:pt>
                <c:pt idx="1">
                  <c:v>TVA</c:v>
                </c:pt>
                <c:pt idx="2">
                  <c:v>Taxele vamale</c:v>
                </c:pt>
                <c:pt idx="3">
                  <c:v>Accize</c:v>
                </c:pt>
                <c:pt idx="4">
                  <c:v>Impozit pe bunurile imobiliare/funciar</c:v>
                </c:pt>
                <c:pt idx="5">
                  <c:v>Taxele proceduri vamale</c:v>
                </c:pt>
                <c:pt idx="6">
                  <c:v>Facilități în baza acordurilor internaționale</c:v>
                </c:pt>
                <c:pt idx="7">
                  <c:v>Taxele locale</c:v>
                </c:pt>
                <c:pt idx="8">
                  <c:v>Taxele resurse naturale</c:v>
                </c:pt>
                <c:pt idx="9">
                  <c:v>Facilități privind eșalonarea și amînarea termenilor de stingere a obligațiilor fiscale</c:v>
                </c:pt>
                <c:pt idx="10">
                  <c:v>Taxele rutiere</c:v>
                </c:pt>
                <c:pt idx="11">
                  <c:v>IImpozitul unic rezidenților parcurilor  IT</c:v>
                </c:pt>
              </c:strCache>
            </c:strRef>
          </c:cat>
          <c:val>
            <c:numRef>
              <c:f>'Totalizator (3)'!$B$3:$B$14</c:f>
              <c:numCache>
                <c:formatCode>General</c:formatCode>
                <c:ptCount val="12"/>
                <c:pt idx="0">
                  <c:v>85</c:v>
                </c:pt>
                <c:pt idx="1">
                  <c:v>82</c:v>
                </c:pt>
                <c:pt idx="2">
                  <c:v>58</c:v>
                </c:pt>
                <c:pt idx="3">
                  <c:v>37</c:v>
                </c:pt>
                <c:pt idx="4">
                  <c:v>35</c:v>
                </c:pt>
                <c:pt idx="5">
                  <c:v>34</c:v>
                </c:pt>
                <c:pt idx="6">
                  <c:v>20</c:v>
                </c:pt>
                <c:pt idx="7">
                  <c:v>15</c:v>
                </c:pt>
                <c:pt idx="8">
                  <c:v>10</c:v>
                </c:pt>
                <c:pt idx="9">
                  <c:v>5</c:v>
                </c:pt>
                <c:pt idx="10">
                  <c:v>2</c:v>
                </c:pt>
                <c:pt idx="11">
                  <c:v>1</c:v>
                </c:pt>
              </c:numCache>
            </c:numRef>
          </c:val>
          <c:extLst>
            <c:ext xmlns:c16="http://schemas.microsoft.com/office/drawing/2014/chart" uri="{C3380CC4-5D6E-409C-BE32-E72D297353CC}">
              <c16:uniqueId val="{00000000-D640-49AD-BF9D-386A5C06D67A}"/>
            </c:ext>
          </c:extLst>
        </c:ser>
        <c:dLbls>
          <c:showLegendKey val="0"/>
          <c:showVal val="0"/>
          <c:showCatName val="0"/>
          <c:showSerName val="0"/>
          <c:showPercent val="0"/>
          <c:showBubbleSize val="0"/>
        </c:dLbls>
        <c:gapWidth val="219"/>
        <c:overlap val="-27"/>
        <c:axId val="150718712"/>
        <c:axId val="150727288"/>
      </c:barChart>
      <c:lineChart>
        <c:grouping val="standard"/>
        <c:varyColors val="0"/>
        <c:ser>
          <c:idx val="1"/>
          <c:order val="1"/>
          <c:tx>
            <c:v>Nr. facilități fiscale (SFS)</c:v>
          </c:tx>
          <c:spPr>
            <a:ln w="12700" cap="rnd" cmpd="dbl">
              <a:solidFill>
                <a:schemeClr val="tx1"/>
              </a:solidFill>
              <a:round/>
            </a:ln>
            <a:effectLst>
              <a:outerShdw blurRad="57150" dist="19050" dir="5400000" algn="ctr" rotWithShape="0">
                <a:schemeClr val="tx1">
                  <a:lumMod val="75000"/>
                  <a:lumOff val="25000"/>
                  <a:alpha val="63000"/>
                </a:schemeClr>
              </a:outerShdw>
            </a:effectLst>
          </c:spPr>
          <c:marker>
            <c:symbol val="none"/>
          </c:marker>
          <c:dLbls>
            <c:dLbl>
              <c:idx val="0"/>
              <c:layout>
                <c:manualLayout>
                  <c:x val="-2.1258503401360642E-3"/>
                  <c:y val="3.527336860670193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40-49AD-BF9D-386A5C06D67A}"/>
                </c:ext>
              </c:extLst>
            </c:dLbl>
            <c:dLbl>
              <c:idx val="1"/>
              <c:layout>
                <c:manualLayout>
                  <c:x val="1.9486736338806111E-17"/>
                  <c:y val="-3.527336860670226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640-49AD-BF9D-386A5C06D67A}"/>
                </c:ext>
              </c:extLst>
            </c:dLbl>
            <c:dLbl>
              <c:idx val="4"/>
              <c:layout>
                <c:manualLayout>
                  <c:x val="6.3775510204081634E-3"/>
                  <c:y val="1.76366843033509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640-49AD-BF9D-386A5C06D67A}"/>
                </c:ext>
              </c:extLst>
            </c:dLbl>
            <c:dLbl>
              <c:idx val="7"/>
              <c:layout>
                <c:manualLayout>
                  <c:x val="0"/>
                  <c:y val="4.23280423280422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640-49AD-BF9D-386A5C06D67A}"/>
                </c:ext>
              </c:extLst>
            </c:dLbl>
            <c:dLbl>
              <c:idx val="8"/>
              <c:layout>
                <c:manualLayout>
                  <c:x val="-6.3775510204081634E-3"/>
                  <c:y val="2.4691358024691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640-49AD-BF9D-386A5C06D67A}"/>
                </c:ext>
              </c:extLst>
            </c:dLbl>
            <c:dLbl>
              <c:idx val="9"/>
              <c:layout>
                <c:manualLayout>
                  <c:x val="6.3775510204083195E-3"/>
                  <c:y val="-1.05820105820105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640-49AD-BF9D-386A5C06D67A}"/>
                </c:ext>
              </c:extLst>
            </c:dLbl>
            <c:dLbl>
              <c:idx val="10"/>
              <c:layout>
                <c:manualLayout>
                  <c:x val="4.2517006802721092E-3"/>
                  <c:y val="-1.05820105820106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640-49AD-BF9D-386A5C06D67A}"/>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'Totalizator (3)'!$A$3:$A$14</c:f>
              <c:strCache>
                <c:ptCount val="12"/>
                <c:pt idx="0">
                  <c:v>Impozit pe venit</c:v>
                </c:pt>
                <c:pt idx="1">
                  <c:v>TVA</c:v>
                </c:pt>
                <c:pt idx="2">
                  <c:v>Taxele vamale</c:v>
                </c:pt>
                <c:pt idx="3">
                  <c:v>Accize</c:v>
                </c:pt>
                <c:pt idx="4">
                  <c:v>Impozit pe bunurile imobiliare/funciar</c:v>
                </c:pt>
                <c:pt idx="5">
                  <c:v>Taxele proceduri vamale</c:v>
                </c:pt>
                <c:pt idx="6">
                  <c:v>Facilități în baza acordurilor internaționale</c:v>
                </c:pt>
                <c:pt idx="7">
                  <c:v>Taxele locale</c:v>
                </c:pt>
                <c:pt idx="8">
                  <c:v>Taxele resurse naturale</c:v>
                </c:pt>
                <c:pt idx="9">
                  <c:v>Facilități privind eșalonarea și amînarea termenilor de stingere a obligațiilor fiscale</c:v>
                </c:pt>
                <c:pt idx="10">
                  <c:v>Taxele rutiere</c:v>
                </c:pt>
                <c:pt idx="11">
                  <c:v>IImpozitul unic rezidenților parcurilor  IT</c:v>
                </c:pt>
              </c:strCache>
            </c:strRef>
          </c:cat>
          <c:val>
            <c:numRef>
              <c:f>'Totalizator (3)'!$C$3:$C$14</c:f>
              <c:numCache>
                <c:formatCode>General</c:formatCode>
                <c:ptCount val="12"/>
                <c:pt idx="0">
                  <c:v>85</c:v>
                </c:pt>
                <c:pt idx="1">
                  <c:v>56</c:v>
                </c:pt>
                <c:pt idx="2">
                  <c:v>0</c:v>
                </c:pt>
                <c:pt idx="3">
                  <c:v>8</c:v>
                </c:pt>
                <c:pt idx="4">
                  <c:v>35</c:v>
                </c:pt>
                <c:pt idx="5">
                  <c:v>0</c:v>
                </c:pt>
                <c:pt idx="6">
                  <c:v>0</c:v>
                </c:pt>
                <c:pt idx="7">
                  <c:v>15</c:v>
                </c:pt>
                <c:pt idx="8">
                  <c:v>10</c:v>
                </c:pt>
                <c:pt idx="9">
                  <c:v>5</c:v>
                </c:pt>
                <c:pt idx="10">
                  <c:v>2</c:v>
                </c:pt>
                <c:pt idx="11">
                  <c:v>1</c:v>
                </c:pt>
              </c:numCache>
            </c:numRef>
          </c:val>
          <c:smooth val="0"/>
          <c:extLst>
            <c:ext xmlns:c16="http://schemas.microsoft.com/office/drawing/2014/chart" uri="{C3380CC4-5D6E-409C-BE32-E72D297353CC}">
              <c16:uniqueId val="{00000008-D640-49AD-BF9D-386A5C06D67A}"/>
            </c:ext>
          </c:extLst>
        </c:ser>
        <c:dLbls>
          <c:showLegendKey val="0"/>
          <c:showVal val="0"/>
          <c:showCatName val="0"/>
          <c:showSerName val="0"/>
          <c:showPercent val="0"/>
          <c:showBubbleSize val="0"/>
        </c:dLbls>
        <c:marker val="1"/>
        <c:smooth val="0"/>
        <c:axId val="150728056"/>
        <c:axId val="150727672"/>
      </c:lineChart>
      <c:catAx>
        <c:axId val="150718712"/>
        <c:scaling>
          <c:orientation val="minMax"/>
        </c:scaling>
        <c:delete val="0"/>
        <c:axPos val="b"/>
        <c:numFmt formatCode="General" sourceLinked="1"/>
        <c:majorTickMark val="none"/>
        <c:minorTickMark val="out"/>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rgbClr val="002060"/>
                </a:solidFill>
                <a:latin typeface="+mn-lt"/>
                <a:ea typeface="+mn-ea"/>
                <a:cs typeface="+mn-cs"/>
              </a:defRPr>
            </a:pPr>
            <a:endParaRPr lang="en-US"/>
          </a:p>
        </c:txPr>
        <c:crossAx val="150727288"/>
        <c:crosses val="autoZero"/>
        <c:auto val="0"/>
        <c:lblAlgn val="ctr"/>
        <c:lblOffset val="100"/>
        <c:noMultiLvlLbl val="0"/>
      </c:catAx>
      <c:valAx>
        <c:axId val="150727288"/>
        <c:scaling>
          <c:orientation val="minMax"/>
        </c:scaling>
        <c:delete val="1"/>
        <c:axPos val="l"/>
        <c:majorGridlines>
          <c:spPr>
            <a:ln w="9525" cap="flat" cmpd="sng" algn="ctr">
              <a:solidFill>
                <a:schemeClr val="tx1">
                  <a:lumMod val="15000"/>
                  <a:lumOff val="85000"/>
                </a:schemeClr>
              </a:solidFill>
              <a:round/>
            </a:ln>
            <a:effectLst>
              <a:glow rad="127000">
                <a:schemeClr val="bg1"/>
              </a:glow>
            </a:effectLst>
          </c:spPr>
        </c:majorGridlines>
        <c:numFmt formatCode="General" sourceLinked="1"/>
        <c:majorTickMark val="none"/>
        <c:minorTickMark val="none"/>
        <c:tickLblPos val="nextTo"/>
        <c:crossAx val="150718712"/>
        <c:crosses val="autoZero"/>
        <c:crossBetween val="between"/>
      </c:valAx>
      <c:valAx>
        <c:axId val="150727672"/>
        <c:scaling>
          <c:orientation val="minMax"/>
        </c:scaling>
        <c:delete val="1"/>
        <c:axPos val="r"/>
        <c:numFmt formatCode="General" sourceLinked="1"/>
        <c:majorTickMark val="out"/>
        <c:minorTickMark val="none"/>
        <c:tickLblPos val="nextTo"/>
        <c:crossAx val="150728056"/>
        <c:crosses val="max"/>
        <c:crossBetween val="between"/>
      </c:valAx>
      <c:catAx>
        <c:axId val="150728056"/>
        <c:scaling>
          <c:orientation val="minMax"/>
        </c:scaling>
        <c:delete val="1"/>
        <c:axPos val="b"/>
        <c:numFmt formatCode="General" sourceLinked="1"/>
        <c:majorTickMark val="out"/>
        <c:minorTickMark val="none"/>
        <c:tickLblPos val="nextTo"/>
        <c:crossAx val="150727672"/>
        <c:crosses val="autoZero"/>
        <c:auto val="0"/>
        <c:lblAlgn val="ctr"/>
        <c:lblOffset val="100"/>
        <c:noMultiLvlLbl val="0"/>
      </c:catAx>
      <c:spPr>
        <a:noFill/>
        <a:ln>
          <a:noFill/>
        </a:ln>
        <a:effectLst/>
      </c:spPr>
    </c:plotArea>
    <c:legend>
      <c:legendPos val="b"/>
      <c:layout>
        <c:manualLayout>
          <c:xMode val="edge"/>
          <c:yMode val="edge"/>
          <c:x val="0.72704081632653061"/>
          <c:y val="0.13046952464275297"/>
          <c:w val="0.24445906315282018"/>
          <c:h val="6.0800177755558335E-2"/>
        </c:manualLayout>
      </c:layout>
      <c:overlay val="0"/>
      <c:spPr>
        <a:noFill/>
        <a:ln>
          <a:noFill/>
        </a:ln>
        <a:effectLst>
          <a:outerShdw dist="50800" dir="2820000" sx="1000" sy="1000" algn="ctr" rotWithShape="0">
            <a:srgbClr val="000000">
              <a:alpha val="43137"/>
            </a:srgbClr>
          </a:outerShdw>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Arial Rounded MT Bold" panose="020F0704030504030204" pitchFamily="34" charset="0"/>
                <a:ea typeface="+mn-ea"/>
                <a:cs typeface="+mn-cs"/>
              </a:defRPr>
            </a:pPr>
            <a:r>
              <a:rPr lang="ro-MD">
                <a:solidFill>
                  <a:srgbClr val="002060"/>
                </a:solidFill>
                <a:latin typeface="Arial Rounded MT Bold" panose="020F0704030504030204" pitchFamily="34" charset="0"/>
              </a:rPr>
              <a:t>ANUL </a:t>
            </a:r>
            <a:r>
              <a:rPr lang="en-US">
                <a:solidFill>
                  <a:srgbClr val="002060"/>
                </a:solidFill>
                <a:latin typeface="Arial Rounded MT Bold" panose="020F0704030504030204" pitchFamily="34" charset="0"/>
              </a:rPr>
              <a:t>2020</a:t>
            </a:r>
          </a:p>
        </c:rich>
      </c:tx>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Arial Rounded MT Bold" panose="020F0704030504030204" pitchFamily="34" charset="0"/>
              <a:ea typeface="+mn-ea"/>
              <a:cs typeface="+mn-cs"/>
            </a:defRPr>
          </a:pPr>
          <a:endParaRPr lang="en-US"/>
        </a:p>
      </c:txPr>
    </c:title>
    <c:autoTitleDeleted val="0"/>
    <c:plotArea>
      <c:layout>
        <c:manualLayout>
          <c:layoutTarget val="inner"/>
          <c:xMode val="edge"/>
          <c:yMode val="edge"/>
          <c:x val="0.14000197026310049"/>
          <c:y val="0.20838415418660902"/>
          <c:w val="0.75574226143984014"/>
          <c:h val="0.69091143018887347"/>
        </c:manualLayout>
      </c:layout>
      <c:doughnutChart>
        <c:varyColors val="1"/>
        <c:ser>
          <c:idx val="0"/>
          <c:order val="0"/>
          <c:spPr>
            <a:solidFill>
              <a:schemeClr val="lt1"/>
            </a:solidFill>
            <a:ln w="19050">
              <a:solidFill>
                <a:schemeClr val="accent1"/>
              </a:solidFill>
            </a:ln>
            <a:effectLst/>
          </c:spPr>
          <c:explosion val="6"/>
          <c:dPt>
            <c:idx val="0"/>
            <c:bubble3D val="0"/>
            <c:spPr>
              <a:solidFill>
                <a:srgbClr val="002060"/>
              </a:solidFill>
              <a:ln w="19050">
                <a:solidFill>
                  <a:schemeClr val="accent4">
                    <a:lumMod val="40000"/>
                    <a:lumOff val="60000"/>
                  </a:schemeClr>
                </a:solidFill>
              </a:ln>
              <a:effectLst/>
            </c:spPr>
            <c:extLst>
              <c:ext xmlns:c16="http://schemas.microsoft.com/office/drawing/2014/chart" uri="{C3380CC4-5D6E-409C-BE32-E72D297353CC}">
                <c16:uniqueId val="{00000001-CC5B-4E0D-8CD9-A91BF72F9886}"/>
              </c:ext>
            </c:extLst>
          </c:dPt>
          <c:dPt>
            <c:idx val="1"/>
            <c:bubble3D val="0"/>
            <c:spPr>
              <a:solidFill>
                <a:schemeClr val="accent4">
                  <a:lumMod val="20000"/>
                  <a:lumOff val="80000"/>
                </a:schemeClr>
              </a:solidFill>
              <a:ln w="19050">
                <a:solidFill>
                  <a:srgbClr val="002060"/>
                </a:solidFill>
              </a:ln>
              <a:effectLst/>
            </c:spPr>
            <c:extLst>
              <c:ext xmlns:c16="http://schemas.microsoft.com/office/drawing/2014/chart" uri="{C3380CC4-5D6E-409C-BE32-E72D297353CC}">
                <c16:uniqueId val="{00000003-CC5B-4E0D-8CD9-A91BF72F9886}"/>
              </c:ext>
            </c:extLst>
          </c:dPt>
          <c:dLbls>
            <c:dLbl>
              <c:idx val="0"/>
              <c:layout>
                <c:manualLayout>
                  <c:x val="8.0444083229542662E-2"/>
                  <c:y val="-0.24537037037037041"/>
                </c:manualLayout>
              </c:layout>
              <c:tx>
                <c:rich>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mn-lt"/>
                        <a:ea typeface="+mn-ea"/>
                        <a:cs typeface="+mn-cs"/>
                      </a:defRPr>
                    </a:pPr>
                    <a:fld id="{21A63E2F-1905-4994-B338-6717B60FD1E3}" type="CATEGORYNAME">
                      <a:rPr lang="en-US"/>
                      <a:pPr>
                        <a:defRPr>
                          <a:solidFill>
                            <a:srgbClr val="002060"/>
                          </a:solidFill>
                        </a:defRPr>
                      </a:pPr>
                      <a:t>[CATEGORY NAME]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9821831922484213"/>
                      <c:h val="0.27273148148148146"/>
                    </c:manualLayout>
                  </c15:layout>
                  <c15:dlblFieldTable/>
                  <c15:showDataLabelsRange val="0"/>
                </c:ext>
                <c:ext xmlns:c16="http://schemas.microsoft.com/office/drawing/2014/chart" uri="{C3380CC4-5D6E-409C-BE32-E72D297353CC}">
                  <c16:uniqueId val="{00000001-CC5B-4E0D-8CD9-A91BF72F9886}"/>
                </c:ext>
              </c:extLst>
            </c:dLbl>
            <c:dLbl>
              <c:idx val="1"/>
              <c:layout>
                <c:manualLayout>
                  <c:x val="-4.9181544486083625E-2"/>
                  <c:y val="-0.40532840407144227"/>
                </c:manualLayout>
              </c:layout>
              <c:tx>
                <c:rich>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mn-lt"/>
                        <a:ea typeface="+mn-ea"/>
                        <a:cs typeface="+mn-cs"/>
                      </a:defRPr>
                    </a:pPr>
                    <a:fld id="{50A4739D-0ABE-4E01-B1EA-AB05C258AA00}" type="CATEGORYNAME">
                      <a:rPr lang="en-US"/>
                      <a:pPr>
                        <a:defRPr>
                          <a:solidFill>
                            <a:srgbClr val="002060"/>
                          </a:solidFill>
                        </a:defRPr>
                      </a:pPr>
                      <a:t>[CATEGORY NAME]</a:t>
                    </a:fld>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0902591599642537"/>
                      <c:h val="0.20805555555555555"/>
                    </c:manualLayout>
                  </c15:layout>
                  <c15:dlblFieldTable/>
                  <c15:showDataLabelsRange val="0"/>
                </c:ext>
                <c:ext xmlns:c16="http://schemas.microsoft.com/office/drawing/2014/chart" uri="{C3380CC4-5D6E-409C-BE32-E72D297353CC}">
                  <c16:uniqueId val="{00000003-CC5B-4E0D-8CD9-A91BF72F98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Sheet1!$B$5:$B$6</c:f>
              <c:strCache>
                <c:ptCount val="2"/>
                <c:pt idx="0">
                  <c:v>Facilități fiscale la care SFS a cuantificat valoarea </c:v>
                </c:pt>
                <c:pt idx="1">
                  <c:v>Facilități fiscale fără sumă</c:v>
                </c:pt>
              </c:strCache>
            </c:strRef>
          </c:cat>
          <c:val>
            <c:numRef>
              <c:f>Sheet1!$C$5:$C$6</c:f>
              <c:numCache>
                <c:formatCode>General</c:formatCode>
                <c:ptCount val="2"/>
                <c:pt idx="0">
                  <c:v>75</c:v>
                </c:pt>
                <c:pt idx="1">
                  <c:v>127</c:v>
                </c:pt>
              </c:numCache>
            </c:numRef>
          </c:val>
          <c:extLst>
            <c:ext xmlns:c16="http://schemas.microsoft.com/office/drawing/2014/chart" uri="{C3380CC4-5D6E-409C-BE32-E72D297353CC}">
              <c16:uniqueId val="{00000004-CC5B-4E0D-8CD9-A91BF72F9886}"/>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rgbClr val="D2A6B5"/>
    </a:solidFill>
    <a:ln w="9525" cap="flat" cmpd="sng" algn="ctr">
      <a:solidFill>
        <a:schemeClr val="accent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2060"/>
                </a:solidFill>
                <a:latin typeface="Arial Rounded MT Bold" panose="020F0704030504030204" pitchFamily="34" charset="0"/>
                <a:ea typeface="+mn-ea"/>
                <a:cs typeface="+mn-cs"/>
              </a:defRPr>
            </a:pPr>
            <a:r>
              <a:rPr lang="en-US" sz="1400" i="1">
                <a:solidFill>
                  <a:srgbClr val="002060"/>
                </a:solidFill>
                <a:latin typeface="Arial Rounded MT Bold" panose="020F0704030504030204" pitchFamily="34" charset="0"/>
              </a:rPr>
              <a:t>Valoarea </a:t>
            </a:r>
            <a:r>
              <a:rPr lang="en-US" sz="1400" i="1">
                <a:solidFill>
                  <a:sysClr val="windowText" lastClr="000000"/>
                </a:solidFill>
                <a:latin typeface="Arial Rounded MT Bold" panose="020F0704030504030204" pitchFamily="34" charset="0"/>
              </a:rPr>
              <a:t>facilit</a:t>
            </a:r>
            <a:r>
              <a:rPr lang="ro-RO" sz="1400" i="1">
                <a:solidFill>
                  <a:sysClr val="windowText" lastClr="000000"/>
                </a:solidFill>
                <a:latin typeface="Arial Rounded MT Bold" panose="020F0704030504030204" pitchFamily="34" charset="0"/>
              </a:rPr>
              <a:t>ăți</a:t>
            </a:r>
            <a:r>
              <a:rPr lang="en-US" sz="1400" i="1">
                <a:solidFill>
                  <a:sysClr val="windowText" lastClr="000000"/>
                </a:solidFill>
                <a:latin typeface="Arial Rounded MT Bold" panose="020F0704030504030204" pitchFamily="34" charset="0"/>
              </a:rPr>
              <a:t>lor fiscale </a:t>
            </a:r>
            <a:r>
              <a:rPr lang="en-US" sz="1400" i="1">
                <a:solidFill>
                  <a:srgbClr val="002060"/>
                </a:solidFill>
                <a:latin typeface="Arial Rounded MT Bold" panose="020F0704030504030204" pitchFamily="34" charset="0"/>
              </a:rPr>
              <a:t>administrate de SFS în anul 2020, pe tipuri de taxe </a:t>
            </a:r>
            <a:r>
              <a:rPr lang="en-US" sz="1400" i="1">
                <a:solidFill>
                  <a:sysClr val="windowText" lastClr="000000"/>
                </a:solidFill>
                <a:latin typeface="Arial Rounded MT Bold" panose="020F0704030504030204" pitchFamily="34" charset="0"/>
              </a:rPr>
              <a:t>și impozite</a:t>
            </a:r>
          </a:p>
        </c:rich>
      </c:tx>
      <c:layout>
        <c:manualLayout>
          <c:xMode val="edge"/>
          <c:yMode val="edge"/>
          <c:x val="0.14322111178410388"/>
          <c:y val="1.7608733932030288E-2"/>
        </c:manualLayout>
      </c:layout>
      <c:overlay val="0"/>
      <c:spPr>
        <a:noFill/>
        <a:ln>
          <a:noFill/>
        </a:ln>
        <a:effectLst/>
      </c:spPr>
      <c:txPr>
        <a:bodyPr rot="0" spcFirstLastPara="1" vertOverflow="ellipsis" vert="horz" wrap="square" anchor="ctr" anchorCtr="1"/>
        <a:lstStyle/>
        <a:p>
          <a:pPr>
            <a:defRPr sz="1800" b="1" i="0" u="none" strike="noStrike" kern="1200" baseline="0">
              <a:solidFill>
                <a:srgbClr val="002060"/>
              </a:solidFill>
              <a:latin typeface="Arial Rounded MT Bold" panose="020F0704030504030204" pitchFamily="34" charset="0"/>
              <a:ea typeface="+mn-ea"/>
              <a:cs typeface="+mn-cs"/>
            </a:defRPr>
          </a:pPr>
          <a:endParaRPr lang="en-US"/>
        </a:p>
      </c:txPr>
    </c:title>
    <c:autoTitleDeleted val="0"/>
    <c:view3D>
      <c:rotX val="0"/>
      <c:rotY val="0"/>
      <c:depthPercent val="60"/>
      <c:rAngAx val="0"/>
      <c:perspective val="16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6308658176987135"/>
          <c:y val="0.17840284513417395"/>
          <c:w val="0.60399160753054015"/>
          <c:h val="0.78926608470740378"/>
        </c:manualLayout>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rgbClr val="C00000">
                  <a:alpha val="85000"/>
                </a:srgbClr>
              </a:solidFill>
              <a:ln w="9525" cap="flat" cmpd="sng" algn="ctr">
                <a:solidFill>
                  <a:srgbClr val="C00000"/>
                </a:solidFill>
                <a:round/>
              </a:ln>
              <a:effectLst>
                <a:innerShdw blurRad="63500" dist="50800" dir="13500000">
                  <a:prstClr val="black">
                    <a:alpha val="0"/>
                  </a:prstClr>
                </a:innerShdw>
              </a:effectLst>
              <a:sp3d contourW="9525">
                <a:contourClr>
                  <a:srgbClr val="C00000"/>
                </a:contourClr>
              </a:sp3d>
            </c:spPr>
            <c:extLst>
              <c:ext xmlns:c16="http://schemas.microsoft.com/office/drawing/2014/chart" uri="{C3380CC4-5D6E-409C-BE32-E72D297353CC}">
                <c16:uniqueId val="{00000001-E3D3-4603-9628-FDFB8D03FAC6}"/>
              </c:ext>
            </c:extLst>
          </c:dPt>
          <c:dPt>
            <c:idx val="1"/>
            <c:invertIfNegative val="0"/>
            <c:bubble3D val="0"/>
            <c:spPr>
              <a:solidFill>
                <a:srgbClr val="FFFF00">
                  <a:alpha val="85000"/>
                </a:srgbClr>
              </a:solidFill>
              <a:ln w="9525" cap="flat" cmpd="sng" algn="ctr">
                <a:solidFill>
                  <a:srgbClr val="FFFF00"/>
                </a:solidFill>
                <a:round/>
              </a:ln>
              <a:effectLst/>
              <a:sp3d contourW="9525">
                <a:contourClr>
                  <a:srgbClr val="FFFF00"/>
                </a:contourClr>
              </a:sp3d>
            </c:spPr>
            <c:extLst>
              <c:ext xmlns:c16="http://schemas.microsoft.com/office/drawing/2014/chart" uri="{C3380CC4-5D6E-409C-BE32-E72D297353CC}">
                <c16:uniqueId val="{00000003-E3D3-4603-9628-FDFB8D03FAC6}"/>
              </c:ext>
            </c:extLst>
          </c:dPt>
          <c:dPt>
            <c:idx val="2"/>
            <c:invertIfNegative val="0"/>
            <c:bubble3D val="0"/>
            <c:spPr>
              <a:solidFill>
                <a:srgbClr val="00B0F0">
                  <a:alpha val="85000"/>
                </a:srgbClr>
              </a:solidFill>
              <a:ln w="9525" cap="flat" cmpd="sng" algn="ctr">
                <a:solidFill>
                  <a:srgbClr val="00B0F0"/>
                </a:solidFill>
                <a:round/>
              </a:ln>
              <a:effectLst/>
              <a:sp3d contourW="9525">
                <a:contourClr>
                  <a:srgbClr val="00B0F0"/>
                </a:contourClr>
              </a:sp3d>
            </c:spPr>
            <c:extLst>
              <c:ext xmlns:c16="http://schemas.microsoft.com/office/drawing/2014/chart" uri="{C3380CC4-5D6E-409C-BE32-E72D297353CC}">
                <c16:uniqueId val="{00000005-E3D3-4603-9628-FDFB8D03FAC6}"/>
              </c:ext>
            </c:extLst>
          </c:dPt>
          <c:dPt>
            <c:idx val="3"/>
            <c:invertIfNegative val="0"/>
            <c:bubble3D val="0"/>
            <c:spPr>
              <a:solidFill>
                <a:srgbClr val="FF0066">
                  <a:alpha val="85000"/>
                </a:srgbClr>
              </a:solidFill>
              <a:ln w="9525" cap="flat" cmpd="sng" algn="ctr">
                <a:solidFill>
                  <a:srgbClr val="FF0000"/>
                </a:solidFill>
                <a:round/>
              </a:ln>
              <a:effectLst/>
              <a:sp3d contourW="9525">
                <a:contourClr>
                  <a:srgbClr val="FF0000"/>
                </a:contourClr>
              </a:sp3d>
            </c:spPr>
            <c:extLst>
              <c:ext xmlns:c16="http://schemas.microsoft.com/office/drawing/2014/chart" uri="{C3380CC4-5D6E-409C-BE32-E72D297353CC}">
                <c16:uniqueId val="{00000007-E3D3-4603-9628-FDFB8D03FAC6}"/>
              </c:ext>
            </c:extLst>
          </c:dPt>
          <c:dPt>
            <c:idx val="4"/>
            <c:invertIfNegative val="0"/>
            <c:bubble3D val="0"/>
            <c:spPr>
              <a:solidFill>
                <a:schemeClr val="accent6">
                  <a:lumMod val="75000"/>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c:ext xmlns:c16="http://schemas.microsoft.com/office/drawing/2014/chart" uri="{C3380CC4-5D6E-409C-BE32-E72D297353CC}">
                <c16:uniqueId val="{00000009-E3D3-4603-9628-FDFB8D03FAC6}"/>
              </c:ext>
            </c:extLst>
          </c:dPt>
          <c:dPt>
            <c:idx val="5"/>
            <c:invertIfNegative val="0"/>
            <c:bubble3D val="0"/>
            <c:spPr>
              <a:solidFill>
                <a:srgbClr val="002060">
                  <a:alpha val="85000"/>
                </a:srgbClr>
              </a:solidFill>
              <a:ln w="9525" cap="flat" cmpd="sng" algn="ctr">
                <a:solidFill>
                  <a:srgbClr val="002060"/>
                </a:solidFill>
                <a:round/>
              </a:ln>
              <a:effectLst/>
              <a:sp3d contourW="9525">
                <a:contourClr>
                  <a:srgbClr val="002060"/>
                </a:contourClr>
              </a:sp3d>
            </c:spPr>
            <c:extLst>
              <c:ext xmlns:c16="http://schemas.microsoft.com/office/drawing/2014/chart" uri="{C3380CC4-5D6E-409C-BE32-E72D297353CC}">
                <c16:uniqueId val="{0000000B-E3D3-4603-9628-FDFB8D03FAC6}"/>
              </c:ext>
            </c:extLst>
          </c:dPt>
          <c:dLbls>
            <c:dLbl>
              <c:idx val="0"/>
              <c:layout>
                <c:manualLayout>
                  <c:x val="-2.3492433816143352E-5"/>
                  <c:y val="-1.0172672973355442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fld id="{DC113BCA-A000-4855-8F5D-724243D9A977}" type="VALUE">
                      <a:rPr lang="en-US" sz="1000" b="1">
                        <a:solidFill>
                          <a:sysClr val="windowText" lastClr="000000"/>
                        </a:solidFill>
                      </a:rPr>
                      <a:pPr>
                        <a:defRPr sz="1000">
                          <a:solidFill>
                            <a:sysClr val="windowText" lastClr="000000"/>
                          </a:solidFill>
                        </a:defRPr>
                      </a:pPr>
                      <a:t>[VALUE]</a:t>
                    </a:fld>
                    <a:r>
                      <a:rPr lang="en-US" sz="1000" b="1">
                        <a:solidFill>
                          <a:sysClr val="windowText" lastClr="000000"/>
                        </a:solidFill>
                      </a:rPr>
                      <a:t> mil. lei</a:t>
                    </a:r>
                    <a:r>
                      <a:rPr lang="en-US" sz="1000" b="1" i="0" u="none" strike="noStrike" kern="1200" baseline="0">
                        <a:solidFill>
                          <a:sysClr val="windowText" lastClr="000000"/>
                        </a:solidFill>
                        <a:latin typeface="+mn-lt"/>
                        <a:ea typeface="+mn-ea"/>
                        <a:cs typeface="+mn-cs"/>
                      </a:rPr>
                      <a:t> </a:t>
                    </a:r>
                    <a:r>
                      <a:rPr lang="en-US" sz="1000" b="1">
                        <a:solidFill>
                          <a:sysClr val="windowText" lastClr="000000"/>
                        </a:solidFill>
                      </a:rPr>
                      <a:t>(46%)</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726029616668287"/>
                      <c:h val="0.12202454855910051"/>
                    </c:manualLayout>
                  </c15:layout>
                  <c15:dlblFieldTable/>
                  <c15:showDataLabelsRange val="0"/>
                </c:ext>
                <c:ext xmlns:c16="http://schemas.microsoft.com/office/drawing/2014/chart" uri="{C3380CC4-5D6E-409C-BE32-E72D297353CC}">
                  <c16:uniqueId val="{00000001-E3D3-4603-9628-FDFB8D03FAC6}"/>
                </c:ext>
              </c:extLst>
            </c:dLbl>
            <c:dLbl>
              <c:idx val="1"/>
              <c:layout>
                <c:manualLayout>
                  <c:x val="4.5267489711934082E-2"/>
                  <c:y val="-1.2433449676194499E-16"/>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fld id="{25F67D88-716B-457F-86E5-955D3C01C442}" type="VALUE">
                      <a:rPr lang="en-US" sz="1000" b="1">
                        <a:solidFill>
                          <a:sysClr val="windowText" lastClr="000000"/>
                        </a:solidFill>
                      </a:rPr>
                      <a:pPr>
                        <a:defRPr sz="1000">
                          <a:solidFill>
                            <a:sysClr val="windowText" lastClr="000000"/>
                          </a:solidFill>
                        </a:defRPr>
                      </a:pPr>
                      <a:t>[VALUE]</a:t>
                    </a:fld>
                    <a:r>
                      <a:rPr lang="en-US" sz="1000" b="1">
                        <a:solidFill>
                          <a:sysClr val="windowText" lastClr="000000"/>
                        </a:solidFill>
                      </a:rPr>
                      <a:t> mil. lei (27%)</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E3D3-4603-9628-FDFB8D03FAC6}"/>
                </c:ext>
              </c:extLst>
            </c:dLbl>
            <c:dLbl>
              <c:idx val="2"/>
              <c:layout>
                <c:manualLayout>
                  <c:x val="3.4835309938109585E-2"/>
                  <c:y val="3.3909799932180401E-3"/>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fld id="{C230318B-828D-4C96-A9B0-18E9ABE38270}" type="VALUE">
                      <a:rPr lang="en-US" sz="1000" b="1">
                        <a:solidFill>
                          <a:sysClr val="windowText" lastClr="000000"/>
                        </a:solidFill>
                      </a:rPr>
                      <a:pPr>
                        <a:defRPr sz="1000">
                          <a:solidFill>
                            <a:sysClr val="windowText" lastClr="000000"/>
                          </a:solidFill>
                        </a:defRPr>
                      </a:pPr>
                      <a:t>[VALUE]</a:t>
                    </a:fld>
                    <a:r>
                      <a:rPr lang="en-US" sz="1000" b="1">
                        <a:solidFill>
                          <a:sysClr val="windowText" lastClr="000000"/>
                        </a:solidFill>
                      </a:rPr>
                      <a:t> mil. lei (15,5%)</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1423868312757197"/>
                      <c:h val="4.477802431359356E-2"/>
                    </c:manualLayout>
                  </c15:layout>
                  <c15:dlblFieldTable/>
                  <c15:showDataLabelsRange val="0"/>
                </c:ext>
                <c:ext xmlns:c16="http://schemas.microsoft.com/office/drawing/2014/chart" uri="{C3380CC4-5D6E-409C-BE32-E72D297353CC}">
                  <c16:uniqueId val="{00000005-E3D3-4603-9628-FDFB8D03FAC6}"/>
                </c:ext>
              </c:extLst>
            </c:dLbl>
            <c:dLbl>
              <c:idx val="3"/>
              <c:layout>
                <c:manualLayout>
                  <c:x val="3.9094650205761319E-2"/>
                  <c:y val="-3.3909799932181021E-3"/>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fld id="{25509DCF-B19E-442F-8331-7674E6435040}" type="VALUE">
                      <a:rPr lang="en-US" sz="1000" b="1">
                        <a:solidFill>
                          <a:sysClr val="windowText" lastClr="000000"/>
                        </a:solidFill>
                      </a:rPr>
                      <a:pPr>
                        <a:defRPr sz="1000">
                          <a:solidFill>
                            <a:sysClr val="windowText" lastClr="000000"/>
                          </a:solidFill>
                        </a:defRPr>
                      </a:pPr>
                      <a:t>[VALUE]</a:t>
                    </a:fld>
                    <a:r>
                      <a:rPr lang="en-US" sz="1000" b="1">
                        <a:solidFill>
                          <a:sysClr val="windowText" lastClr="000000"/>
                        </a:solidFill>
                      </a:rPr>
                      <a:t> mil.lei</a:t>
                    </a:r>
                    <a:r>
                      <a:rPr lang="en-US" sz="1000" b="1" i="0" u="none" strike="noStrike" kern="1200" baseline="0">
                        <a:solidFill>
                          <a:sysClr val="windowText" lastClr="000000"/>
                        </a:solidFill>
                        <a:latin typeface="+mn-lt"/>
                        <a:ea typeface="+mn-ea"/>
                        <a:cs typeface="+mn-cs"/>
                      </a:rPr>
                      <a:t> </a:t>
                    </a:r>
                    <a:r>
                      <a:rPr lang="en-US" sz="1000" b="1" baseline="0">
                        <a:solidFill>
                          <a:sysClr val="windowText" lastClr="000000"/>
                        </a:solidFill>
                      </a:rPr>
                      <a:t>(10%)</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3D3-4603-9628-FDFB8D03FAC6}"/>
                </c:ext>
              </c:extLst>
            </c:dLbl>
            <c:dLbl>
              <c:idx val="4"/>
              <c:layout>
                <c:manualLayout>
                  <c:x val="3.7037037037036959E-2"/>
                  <c:y val="3.3909799932180713E-3"/>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fld id="{C2499227-6923-4284-9AEC-01D14911D850}" type="VALUE">
                      <a:rPr lang="en-US" sz="1000" b="1">
                        <a:solidFill>
                          <a:sysClr val="windowText" lastClr="000000"/>
                        </a:solidFill>
                      </a:rPr>
                      <a:pPr>
                        <a:defRPr sz="1000">
                          <a:solidFill>
                            <a:sysClr val="windowText" lastClr="000000"/>
                          </a:solidFill>
                        </a:defRPr>
                      </a:pPr>
                      <a:t>[VALUE]</a:t>
                    </a:fld>
                    <a:r>
                      <a:rPr lang="en-US" sz="1000" b="1">
                        <a:solidFill>
                          <a:sysClr val="windowText" lastClr="000000"/>
                        </a:solidFill>
                      </a:rPr>
                      <a:t> mil. lei (1%)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E3D3-4603-9628-FDFB8D03FAC6}"/>
                </c:ext>
              </c:extLst>
            </c:dLbl>
            <c:dLbl>
              <c:idx val="5"/>
              <c:layout>
                <c:manualLayout>
                  <c:x val="4.5411504869685211E-2"/>
                  <c:y val="-3.1083624190486246E-17"/>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fld id="{66041CC2-9694-49CB-BB2A-375245A4069E}" type="VALUE">
                      <a:rPr lang="en-US" sz="1000" b="1">
                        <a:solidFill>
                          <a:sysClr val="windowText" lastClr="000000"/>
                        </a:solidFill>
                      </a:rPr>
                      <a:pPr>
                        <a:defRPr sz="1000">
                          <a:solidFill>
                            <a:sysClr val="windowText" lastClr="000000"/>
                          </a:solidFill>
                        </a:defRPr>
                      </a:pPr>
                      <a:t>[VALUE]</a:t>
                    </a:fld>
                    <a:r>
                      <a:rPr lang="en-US" sz="1000" b="1">
                        <a:solidFill>
                          <a:sysClr val="windowText" lastClr="000000"/>
                        </a:solidFill>
                      </a:rPr>
                      <a:t> mil. lei (0,5%)</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E3D3-4603-9628-FDFB8D03FA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diagrama1!$B$4:$B$9</c:f>
              <c:strCache>
                <c:ptCount val="6"/>
                <c:pt idx="0">
                  <c:v>Taxa pe Valoare Adăugată (TVA)</c:v>
                </c:pt>
                <c:pt idx="1">
                  <c:v>Impozit pe Venit</c:v>
                </c:pt>
                <c:pt idx="2">
                  <c:v>Imp. pe bun. imobiliare/funciar</c:v>
                </c:pt>
                <c:pt idx="3">
                  <c:v>Accize</c:v>
                </c:pt>
                <c:pt idx="4">
                  <c:v>Taxele pe resurse naturale</c:v>
                </c:pt>
                <c:pt idx="5">
                  <c:v>Taxele locale</c:v>
                </c:pt>
              </c:strCache>
            </c:strRef>
          </c:cat>
          <c:val>
            <c:numRef>
              <c:f>diagrama1!$C$4:$C$9</c:f>
              <c:numCache>
                <c:formatCode>#,##0.00</c:formatCode>
                <c:ptCount val="6"/>
                <c:pt idx="0">
                  <c:v>1048.5</c:v>
                </c:pt>
                <c:pt idx="1">
                  <c:v>613.6</c:v>
                </c:pt>
                <c:pt idx="2">
                  <c:v>359.2</c:v>
                </c:pt>
                <c:pt idx="3">
                  <c:v>238.3</c:v>
                </c:pt>
                <c:pt idx="4">
                  <c:v>20.8</c:v>
                </c:pt>
                <c:pt idx="5">
                  <c:v>11.3</c:v>
                </c:pt>
              </c:numCache>
            </c:numRef>
          </c:val>
          <c:extLst>
            <c:ext xmlns:c16="http://schemas.microsoft.com/office/drawing/2014/chart" uri="{C3380CC4-5D6E-409C-BE32-E72D297353CC}">
              <c16:uniqueId val="{0000000C-E3D3-4603-9628-FDFB8D03FAC6}"/>
            </c:ext>
          </c:extLst>
        </c:ser>
        <c:dLbls>
          <c:showLegendKey val="0"/>
          <c:showVal val="1"/>
          <c:showCatName val="0"/>
          <c:showSerName val="0"/>
          <c:showPercent val="0"/>
          <c:showBubbleSize val="0"/>
        </c:dLbls>
        <c:gapWidth val="65"/>
        <c:shape val="box"/>
        <c:axId val="150481432"/>
        <c:axId val="150481816"/>
        <c:axId val="0"/>
      </c:bar3DChart>
      <c:catAx>
        <c:axId val="1504814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en-US"/>
          </a:p>
        </c:txPr>
        <c:crossAx val="150481816"/>
        <c:crosses val="autoZero"/>
        <c:auto val="1"/>
        <c:lblAlgn val="ctr"/>
        <c:lblOffset val="100"/>
        <c:noMultiLvlLbl val="0"/>
      </c:catAx>
      <c:valAx>
        <c:axId val="150481816"/>
        <c:scaling>
          <c:orientation val="minMax"/>
        </c:scaling>
        <c:delete val="1"/>
        <c:axPos val="b"/>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1504814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bg2">
          <a:lumMod val="90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50" baseline="0">
                <a:solidFill>
                  <a:schemeClr val="accent5">
                    <a:lumMod val="50000"/>
                  </a:schemeClr>
                </a:solidFill>
                <a:latin typeface="+mj-lt"/>
                <a:ea typeface="+mn-ea"/>
                <a:cs typeface="+mn-cs"/>
              </a:defRPr>
            </a:pPr>
            <a:r>
              <a:rPr lang="en-US" sz="1100">
                <a:solidFill>
                  <a:schemeClr val="accent5">
                    <a:lumMod val="50000"/>
                  </a:schemeClr>
                </a:solidFill>
                <a:latin typeface="+mj-lt"/>
              </a:rPr>
              <a:t>Dinamica</a:t>
            </a:r>
            <a:r>
              <a:rPr lang="ro-RO" sz="1100">
                <a:solidFill>
                  <a:schemeClr val="accent5">
                    <a:lumMod val="50000"/>
                  </a:schemeClr>
                </a:solidFill>
                <a:latin typeface="+mj-lt"/>
              </a:rPr>
              <a:t> scutirtii de acciz a alcoolului etilic nedenaturat</a:t>
            </a:r>
            <a:r>
              <a:rPr lang="ro-RO" sz="1100" b="1" i="0" u="none" strike="noStrike" kern="1200" cap="all" spc="150" baseline="0">
                <a:solidFill>
                  <a:schemeClr val="accent5">
                    <a:lumMod val="50000"/>
                  </a:schemeClr>
                </a:solidFill>
                <a:latin typeface="+mj-lt"/>
                <a:ea typeface="+mn-ea"/>
                <a:cs typeface="+mn-cs"/>
              </a:rPr>
              <a:t> </a:t>
            </a:r>
            <a:r>
              <a:rPr lang="ro-RO" sz="1100">
                <a:solidFill>
                  <a:schemeClr val="accent5">
                    <a:lumMod val="50000"/>
                  </a:schemeClr>
                </a:solidFill>
                <a:latin typeface="+mj-lt"/>
              </a:rPr>
              <a:t>(mil.lei)</a:t>
            </a:r>
            <a:endParaRPr lang="en-US" sz="1100">
              <a:solidFill>
                <a:schemeClr val="accent5">
                  <a:lumMod val="50000"/>
                </a:schemeClr>
              </a:solidFill>
              <a:latin typeface="+mj-lt"/>
            </a:endParaRPr>
          </a:p>
        </c:rich>
      </c:tx>
      <c:layout>
        <c:manualLayout>
          <c:xMode val="edge"/>
          <c:yMode val="edge"/>
          <c:x val="0.22956933508311461"/>
          <c:y val="0"/>
        </c:manualLayout>
      </c:layout>
      <c:overlay val="0"/>
      <c:spPr>
        <a:noFill/>
        <a:ln>
          <a:noFill/>
        </a:ln>
        <a:effectLst/>
      </c:spPr>
      <c:txPr>
        <a:bodyPr rot="0" spcFirstLastPara="1" vertOverflow="ellipsis" vert="horz" wrap="square" anchor="ctr" anchorCtr="1"/>
        <a:lstStyle/>
        <a:p>
          <a:pPr>
            <a:defRPr sz="1100" b="1" i="0" u="none" strike="noStrike" kern="1200" cap="all" spc="150" baseline="0">
              <a:solidFill>
                <a:schemeClr val="accent5">
                  <a:lumMod val="50000"/>
                </a:schemeClr>
              </a:solidFill>
              <a:latin typeface="+mj-lt"/>
              <a:ea typeface="+mn-ea"/>
              <a:cs typeface="+mn-cs"/>
            </a:defRPr>
          </a:pPr>
          <a:endParaRPr lang="en-US"/>
        </a:p>
      </c:tx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136570721301978E-2"/>
          <c:y val="0.28555612925433499"/>
          <c:w val="0.81416185476815395"/>
          <c:h val="0.53767752989209683"/>
        </c:manualLayout>
      </c:layout>
      <c:bar3DChart>
        <c:barDir val="bar"/>
        <c:grouping val="stack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Sheet2!$A$2:$C$4</c:f>
              <c:strCache>
                <c:ptCount val="3"/>
                <c:pt idx="0">
                  <c:v>anul 2019</c:v>
                </c:pt>
                <c:pt idx="1">
                  <c:v>anul 2020</c:v>
                </c:pt>
                <c:pt idx="2">
                  <c:v>anul 2021</c:v>
                </c:pt>
              </c:strCache>
            </c:strRef>
          </c:cat>
          <c:val>
            <c:numRef>
              <c:f>Sheet2!$A$5:$C$5</c:f>
              <c:numCache>
                <c:formatCode>General</c:formatCode>
                <c:ptCount val="3"/>
                <c:pt idx="0">
                  <c:v>28.1</c:v>
                </c:pt>
                <c:pt idx="1">
                  <c:v>666.1</c:v>
                </c:pt>
                <c:pt idx="2">
                  <c:v>229.5</c:v>
                </c:pt>
              </c:numCache>
            </c:numRef>
          </c:val>
          <c:extLst>
            <c:ext xmlns:c16="http://schemas.microsoft.com/office/drawing/2014/chart" uri="{C3380CC4-5D6E-409C-BE32-E72D297353CC}">
              <c16:uniqueId val="{00000000-5CF0-4B5B-A234-990E87B7E9AD}"/>
            </c:ext>
          </c:extLst>
        </c:ser>
        <c:ser>
          <c:idx val="1"/>
          <c:order val="1"/>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Sheet2!$A$2:$C$4</c:f>
              <c:strCache>
                <c:ptCount val="3"/>
                <c:pt idx="0">
                  <c:v>anul 2019</c:v>
                </c:pt>
                <c:pt idx="1">
                  <c:v>anul 2020</c:v>
                </c:pt>
                <c:pt idx="2">
                  <c:v>anul 2021</c:v>
                </c:pt>
              </c:strCache>
            </c:strRef>
          </c:cat>
          <c:val>
            <c:numRef>
              <c:f>Sheet2!#REF!</c:f>
              <c:numCache>
                <c:formatCode>General</c:formatCode>
                <c:ptCount val="1"/>
                <c:pt idx="0">
                  <c:v>1</c:v>
                </c:pt>
              </c:numCache>
            </c:numRef>
          </c:val>
          <c:extLst>
            <c:ext xmlns:c16="http://schemas.microsoft.com/office/drawing/2014/chart" uri="{C3380CC4-5D6E-409C-BE32-E72D297353CC}">
              <c16:uniqueId val="{00000001-5CF0-4B5B-A234-990E87B7E9AD}"/>
            </c:ext>
          </c:extLst>
        </c:ser>
        <c:dLbls>
          <c:showLegendKey val="0"/>
          <c:showVal val="1"/>
          <c:showCatName val="0"/>
          <c:showSerName val="0"/>
          <c:showPercent val="0"/>
          <c:showBubbleSize val="0"/>
        </c:dLbls>
        <c:gapWidth val="150"/>
        <c:shape val="box"/>
        <c:axId val="151030088"/>
        <c:axId val="149383016"/>
        <c:axId val="0"/>
      </c:bar3DChart>
      <c:catAx>
        <c:axId val="15103008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3016"/>
        <c:crosses val="autoZero"/>
        <c:auto val="1"/>
        <c:lblAlgn val="ctr"/>
        <c:lblOffset val="100"/>
        <c:noMultiLvlLbl val="0"/>
      </c:catAx>
      <c:valAx>
        <c:axId val="149383016"/>
        <c:scaling>
          <c:orientation val="minMax"/>
        </c:scaling>
        <c:delete val="0"/>
        <c:axPos val="b"/>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30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0.21448</cdr:x>
      <cdr:y>0.30776</cdr:y>
    </cdr:from>
    <cdr:to>
      <cdr:x>0.41287</cdr:x>
      <cdr:y>0.40498</cdr:y>
    </cdr:to>
    <cdr:sp macro="" textlink="">
      <cdr:nvSpPr>
        <cdr:cNvPr id="2" name="TextBox 1"/>
        <cdr:cNvSpPr txBox="1"/>
      </cdr:nvSpPr>
      <cdr:spPr>
        <a:xfrm xmlns:a="http://schemas.openxmlformats.org/drawingml/2006/main">
          <a:off x="609600" y="956818"/>
          <a:ext cx="563880" cy="302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800" b="1">
              <a:solidFill>
                <a:srgbClr val="002060"/>
              </a:solidFill>
            </a:rPr>
            <a:t>141</a:t>
          </a:r>
          <a:endParaRPr lang="en-US" sz="1800" b="1">
            <a:solidFill>
              <a:srgbClr val="002060"/>
            </a:solidFill>
          </a:endParaRPr>
        </a:p>
      </cdr:txBody>
    </cdr:sp>
  </cdr:relSizeAnchor>
  <cdr:relSizeAnchor xmlns:cdr="http://schemas.openxmlformats.org/drawingml/2006/chartDrawing">
    <cdr:from>
      <cdr:x>0.6756</cdr:x>
      <cdr:y>0.32851</cdr:y>
    </cdr:from>
    <cdr:to>
      <cdr:x>0.87399</cdr:x>
      <cdr:y>0.47851</cdr:y>
    </cdr:to>
    <cdr:sp macro="" textlink="">
      <cdr:nvSpPr>
        <cdr:cNvPr id="3" name="TextBox 2"/>
        <cdr:cNvSpPr txBox="1"/>
      </cdr:nvSpPr>
      <cdr:spPr>
        <a:xfrm xmlns:a="http://schemas.openxmlformats.org/drawingml/2006/main">
          <a:off x="1920240" y="1021334"/>
          <a:ext cx="563880" cy="466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indent="0"/>
          <a:r>
            <a:rPr lang="ro-MD" sz="1800" b="1">
              <a:solidFill>
                <a:schemeClr val="accent4">
                  <a:lumMod val="20000"/>
                  <a:lumOff val="80000"/>
                </a:schemeClr>
              </a:solidFill>
              <a:latin typeface="+mn-lt"/>
              <a:ea typeface="+mn-ea"/>
              <a:cs typeface="+mn-cs"/>
            </a:rPr>
            <a:t>76</a:t>
          </a:r>
          <a:endParaRPr lang="en-US" sz="1800" b="1">
            <a:solidFill>
              <a:schemeClr val="accent4">
                <a:lumMod val="20000"/>
                <a:lumOff val="80000"/>
              </a:schemeClr>
            </a:solidFill>
            <a:latin typeface="+mn-lt"/>
            <a:ea typeface="+mn-ea"/>
            <a:cs typeface="+mn-cs"/>
          </a:endParaRPr>
        </a:p>
      </cdr:txBody>
    </cdr:sp>
  </cdr:relSizeAnchor>
  <cdr:relSizeAnchor xmlns:cdr="http://schemas.openxmlformats.org/drawingml/2006/chartDrawing">
    <cdr:from>
      <cdr:x>0.18499</cdr:x>
      <cdr:y>0.55025</cdr:y>
    </cdr:from>
    <cdr:to>
      <cdr:x>0.30295</cdr:x>
      <cdr:y>0.63603</cdr:y>
    </cdr:to>
    <cdr:sp macro="" textlink="">
      <cdr:nvSpPr>
        <cdr:cNvPr id="4" name="TextBox 3"/>
        <cdr:cNvSpPr txBox="1"/>
      </cdr:nvSpPr>
      <cdr:spPr>
        <a:xfrm xmlns:a="http://schemas.openxmlformats.org/drawingml/2006/main">
          <a:off x="525780" y="1710690"/>
          <a:ext cx="33528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b="1">
            <a:solidFill>
              <a:srgbClr val="00206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0.38573</cdr:x>
      <cdr:y>0.93489</cdr:y>
    </cdr:from>
    <cdr:to>
      <cdr:x>0.87715</cdr:x>
      <cdr:y>0.98576</cdr:y>
    </cdr:to>
    <cdr:sp macro="" textlink="">
      <cdr:nvSpPr>
        <cdr:cNvPr id="2" name="TextBox 1"/>
        <cdr:cNvSpPr txBox="1"/>
      </cdr:nvSpPr>
      <cdr:spPr>
        <a:xfrm xmlns:a="http://schemas.openxmlformats.org/drawingml/2006/main">
          <a:off x="2225040" y="3501390"/>
          <a:ext cx="283464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MD" sz="1100" b="1"/>
            <a:t>TOTAL Facilități fiscale = 2,291.70</a:t>
          </a:r>
          <a:r>
            <a:rPr lang="ro-MD" sz="1100" b="1" baseline="0"/>
            <a:t> mil. lei</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7FCF-26E2-4481-BB24-92F534C2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22596</Words>
  <Characters>128803</Characters>
  <Application>Microsoft Office Word</Application>
  <DocSecurity>0</DocSecurity>
  <Lines>1073</Lines>
  <Paragraphs>302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4</cp:revision>
  <cp:lastPrinted>2022-08-15T11:09:00Z</cp:lastPrinted>
  <dcterms:created xsi:type="dcterms:W3CDTF">2022-08-15T12:43:00Z</dcterms:created>
  <dcterms:modified xsi:type="dcterms:W3CDTF">2022-08-15T18:59:00Z</dcterms:modified>
</cp:coreProperties>
</file>